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Interior Kantor Badan Pertanahan Kota Surakarta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Interior Kantor </w:t>
        <w:br w:type="textWrapping"/>
        <w:t xml:space="preserve">Client</w:t>
        <w:tab/>
        <w:tab/>
        <w:tab/>
        <w:t xml:space="preserve"> : </w:t>
      </w:r>
      <w:r w:rsidDel="00000000" w:rsidR="00000000" w:rsidRPr="00000000">
        <w:rPr>
          <w:rtl w:val="0"/>
        </w:rPr>
        <w:t xml:space="preserve">Kantor ATR/ Badan Pertanahan Nasional Kota Surakarta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Jebres, Surakarta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Complete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