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Rumah Tinggal 1 Lantai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Nama Project</w:t>
        <w:tab/>
        <w:tab/>
        <w:t xml:space="preserve"> : MA House</w:t>
        <w:br w:type="textWrapping"/>
        <w:t xml:space="preserve">Client</w:t>
        <w:tab/>
        <w:tab/>
        <w:tab/>
        <w:t xml:space="preserve"> : Bp Andy</w:t>
        <w:br w:type="textWrapping"/>
        <w:t xml:space="preserve">Luas Bangunan</w:t>
        <w:tab/>
        <w:t xml:space="preserve"> : 90 m2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Luas Tanah</w:t>
        <w:tab/>
        <w:tab/>
        <w:t xml:space="preserve"> : 150 m2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Lokasi</w:t>
        <w:tab/>
        <w:tab/>
        <w:tab/>
        <w:t xml:space="preserve"> : Makamhaji, Surakarta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Status</w:t>
        <w:tab/>
        <w:tab/>
        <w:tab/>
        <w:t xml:space="preserve"> : Final Design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