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1719" w14:textId="77777777" w:rsidR="008B6CCA" w:rsidRDefault="008B6CCA" w:rsidP="003A4F2A"/>
    <w:p w14:paraId="58ECFE00" w14:textId="16D92E61" w:rsidR="003A4F2A" w:rsidRDefault="003A4F2A" w:rsidP="003A4F2A">
      <w:pPr>
        <w:pStyle w:val="Heading1"/>
      </w:pPr>
    </w:p>
    <w:p w14:paraId="24D4F3B1" w14:textId="46266CF1" w:rsidR="003A4F2A" w:rsidRDefault="003A4F2A" w:rsidP="003A4F2A">
      <w:pPr>
        <w:pStyle w:val="Heading1"/>
      </w:pPr>
    </w:p>
    <w:p w14:paraId="4B2E265A" w14:textId="31DA6A8E" w:rsidR="003A4F2A" w:rsidRDefault="003A4F2A" w:rsidP="003A4F2A">
      <w:pPr>
        <w:pStyle w:val="Heading1"/>
      </w:pPr>
    </w:p>
    <w:p w14:paraId="23369843" w14:textId="007C118B" w:rsidR="003A4F2A" w:rsidRDefault="003A4F2A" w:rsidP="003A4F2A"/>
    <w:p w14:paraId="32B9B4C0" w14:textId="1957E685" w:rsidR="003A4F2A" w:rsidRDefault="003A4F2A" w:rsidP="003A4F2A"/>
    <w:p w14:paraId="5C334735" w14:textId="363F9801" w:rsidR="003A4F2A" w:rsidRDefault="003A4F2A" w:rsidP="003A4F2A"/>
    <w:p w14:paraId="40B73521" w14:textId="4F7E19DD" w:rsidR="003A4F2A" w:rsidRDefault="003A4F2A" w:rsidP="003A4F2A"/>
    <w:p w14:paraId="33B31C30" w14:textId="794D1C4D" w:rsidR="003A4F2A" w:rsidRDefault="003A4F2A" w:rsidP="003A4F2A"/>
    <w:p w14:paraId="1E439F06" w14:textId="23387622" w:rsidR="003A4F2A" w:rsidRDefault="003A4F2A" w:rsidP="003A4F2A"/>
    <w:p w14:paraId="4818BEBB" w14:textId="7859F79A" w:rsidR="003A4F2A" w:rsidRDefault="003A4F2A" w:rsidP="003A4F2A"/>
    <w:p w14:paraId="2E7CCFD3" w14:textId="053D9551" w:rsidR="003A4F2A" w:rsidRDefault="003A4F2A" w:rsidP="003A4F2A"/>
    <w:p w14:paraId="2695F8BA" w14:textId="6273C92A" w:rsidR="003A4F2A" w:rsidRDefault="003A4F2A" w:rsidP="003A4F2A"/>
    <w:p w14:paraId="0EF9490C" w14:textId="0C73FD59" w:rsidR="003A4F2A" w:rsidRDefault="003A4F2A" w:rsidP="003A4F2A"/>
    <w:p w14:paraId="58CAE458" w14:textId="7AA6F9D4" w:rsidR="003A4F2A" w:rsidRDefault="003A4F2A" w:rsidP="003A4F2A"/>
    <w:p w14:paraId="72CB2F80" w14:textId="77EA3A82" w:rsidR="003A4F2A" w:rsidRDefault="003A4F2A" w:rsidP="003A4F2A"/>
    <w:p w14:paraId="6FD3748D" w14:textId="1E2B31A5" w:rsidR="003A4F2A" w:rsidRDefault="003A4F2A" w:rsidP="003A4F2A"/>
    <w:p w14:paraId="7A1C5A7C" w14:textId="2CC83531" w:rsidR="003A4F2A" w:rsidRDefault="003A4F2A" w:rsidP="003A4F2A"/>
    <w:p w14:paraId="17AD733E" w14:textId="742ACE36" w:rsidR="003A4F2A" w:rsidRDefault="003A4F2A" w:rsidP="003A4F2A"/>
    <w:p w14:paraId="2935F2C4" w14:textId="15AF1A81" w:rsidR="003A4F2A" w:rsidRDefault="003A4F2A" w:rsidP="003A4F2A"/>
    <w:p w14:paraId="79987D68" w14:textId="6A1007F9" w:rsidR="003A4F2A" w:rsidRDefault="003A4F2A" w:rsidP="003A4F2A"/>
    <w:p w14:paraId="040ECBC7" w14:textId="46AC4F7C" w:rsidR="003A4F2A" w:rsidRDefault="003A4F2A" w:rsidP="003A4F2A"/>
    <w:p w14:paraId="5B7218BE" w14:textId="432C22EA" w:rsidR="003A4F2A" w:rsidRDefault="003A4F2A" w:rsidP="003A4F2A"/>
    <w:p w14:paraId="0F444872" w14:textId="499C044C" w:rsidR="003A4F2A" w:rsidRDefault="003A4F2A" w:rsidP="003A4F2A"/>
    <w:p w14:paraId="015DAB02" w14:textId="01762593" w:rsidR="003A4F2A" w:rsidRDefault="003A4F2A" w:rsidP="003A4F2A"/>
    <w:p w14:paraId="2C8C3493" w14:textId="19C9A4E9" w:rsidR="003A4F2A" w:rsidRDefault="003A4F2A" w:rsidP="003A4F2A"/>
    <w:p w14:paraId="67C83DFF" w14:textId="07FF3C70" w:rsidR="003A4F2A" w:rsidRDefault="003A4F2A" w:rsidP="003A4F2A"/>
    <w:p w14:paraId="65BE59EB" w14:textId="528C8647" w:rsidR="003A4F2A" w:rsidRDefault="003A4F2A" w:rsidP="003A4F2A"/>
    <w:p w14:paraId="0C5B62CB" w14:textId="28E9BF98" w:rsidR="003A4F2A" w:rsidRDefault="003A4F2A" w:rsidP="003A4F2A"/>
    <w:p w14:paraId="2A67E663" w14:textId="3730581E" w:rsidR="003A4F2A" w:rsidRDefault="003A4F2A" w:rsidP="00DA54D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3A4F2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Analisis</w:t>
      </w:r>
      <w:proofErr w:type="spellEnd"/>
      <w:r w:rsidRPr="003A4F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dan </w:t>
      </w:r>
      <w:proofErr w:type="spellStart"/>
      <w:r w:rsidRPr="003A4F2A">
        <w:rPr>
          <w:rFonts w:ascii="Times New Roman" w:hAnsi="Times New Roman" w:cs="Times New Roman"/>
          <w:b/>
          <w:bCs/>
          <w:color w:val="auto"/>
          <w:sz w:val="28"/>
          <w:szCs w:val="28"/>
        </w:rPr>
        <w:t>Pembahasan</w:t>
      </w:r>
      <w:proofErr w:type="spellEnd"/>
    </w:p>
    <w:p w14:paraId="54B14A84" w14:textId="0E264801" w:rsidR="003A4F2A" w:rsidRDefault="003A4F2A" w:rsidP="00DA54D3">
      <w:pPr>
        <w:pStyle w:val="Heading2"/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A54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DA54D3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Pr="00DA54D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50255830" w14:textId="77777777" w:rsidR="00C96538" w:rsidRDefault="00DA54D3" w:rsidP="00DA5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diikutsertakan</w:t>
      </w:r>
      <w:proofErr w:type="spellEnd"/>
    </w:p>
    <w:p w14:paraId="25C3192F" w14:textId="77777777" w:rsidR="00896DF4" w:rsidRDefault="00DA54D3" w:rsidP="00DA5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1427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B14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B14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1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42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CB1427">
        <w:rPr>
          <w:rFonts w:ascii="Times New Roman" w:hAnsi="Times New Roman" w:cs="Times New Roman"/>
          <w:sz w:val="24"/>
          <w:szCs w:val="24"/>
        </w:rPr>
        <w:t xml:space="preserve"> pada Lampiran 2. </w:t>
      </w:r>
      <w:proofErr w:type="spellStart"/>
      <w:r w:rsidR="00CB142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B1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1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B1427">
        <w:rPr>
          <w:rFonts w:ascii="Times New Roman" w:hAnsi="Times New Roman" w:cs="Times New Roman"/>
          <w:sz w:val="24"/>
          <w:szCs w:val="24"/>
        </w:rPr>
        <w:t xml:space="preserve"> </w:t>
      </w:r>
      <w:r w:rsidR="00625A11">
        <w:rPr>
          <w:rFonts w:ascii="Times New Roman" w:hAnsi="Times New Roman" w:cs="Times New Roman"/>
          <w:sz w:val="24"/>
          <w:szCs w:val="24"/>
        </w:rPr>
        <w:t xml:space="preserve">Gambar IV.1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r w:rsidR="00625A11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625A11">
        <w:rPr>
          <w:rFonts w:ascii="Times New Roman" w:hAnsi="Times New Roman" w:cs="Times New Roman"/>
          <w:sz w:val="24"/>
          <w:szCs w:val="24"/>
        </w:rPr>
        <w:t xml:space="preserve"> local. Adapun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A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25A11">
        <w:rPr>
          <w:rFonts w:ascii="Times New Roman" w:hAnsi="Times New Roman" w:cs="Times New Roman"/>
          <w:sz w:val="24"/>
          <w:szCs w:val="24"/>
        </w:rPr>
        <w:t xml:space="preserve"> </w:t>
      </w:r>
      <w:r w:rsidR="004F5268">
        <w:rPr>
          <w:rFonts w:ascii="Times New Roman" w:hAnsi="Times New Roman" w:cs="Times New Roman"/>
          <w:sz w:val="24"/>
          <w:szCs w:val="24"/>
        </w:rPr>
        <w:t xml:space="preserve">Sumatera Selatan, Nusa Tenggara Timur, Gorontalo, Sulawesi Tengah, Maluku Utara, dan Papua Barat.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r w:rsidR="004F5268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Banten, Kalimantan Utara, dan Sulawesi Barat,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r w:rsidR="004F5268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 w:rsidR="004F526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2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52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A4F83F" w14:textId="70DB3D14" w:rsidR="00DA54D3" w:rsidRPr="00C96538" w:rsidRDefault="004F5268" w:rsidP="00DA5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listing,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C96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di Indonesia. Adapun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r w:rsidR="00C96538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r w:rsidR="00C96538">
        <w:rPr>
          <w:rFonts w:ascii="Times New Roman" w:hAnsi="Times New Roman" w:cs="Times New Roman"/>
          <w:i/>
          <w:iCs/>
          <w:sz w:val="24"/>
          <w:szCs w:val="24"/>
        </w:rPr>
        <w:t xml:space="preserve">digital,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i/>
          <w:iCs/>
          <w:sz w:val="24"/>
          <w:szCs w:val="24"/>
        </w:rPr>
        <w:t>koran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beritanya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r w:rsidR="00C96538">
        <w:rPr>
          <w:rFonts w:ascii="Times New Roman" w:hAnsi="Times New Roman" w:cs="Times New Roman"/>
          <w:i/>
          <w:iCs/>
          <w:sz w:val="24"/>
          <w:szCs w:val="24"/>
        </w:rPr>
        <w:t>listing</w:t>
      </w:r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r w:rsidR="00C96538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38">
        <w:rPr>
          <w:rFonts w:ascii="Times New Roman" w:hAnsi="Times New Roman" w:cs="Times New Roman"/>
          <w:sz w:val="24"/>
          <w:szCs w:val="24"/>
        </w:rPr>
        <w:t>infrastrukturnya</w:t>
      </w:r>
      <w:proofErr w:type="spellEnd"/>
      <w:r w:rsidR="00C96538">
        <w:rPr>
          <w:rFonts w:ascii="Times New Roman" w:hAnsi="Times New Roman" w:cs="Times New Roman"/>
          <w:sz w:val="24"/>
          <w:szCs w:val="24"/>
        </w:rPr>
        <w:t>.</w:t>
      </w:r>
    </w:p>
    <w:p w14:paraId="7825D0E0" w14:textId="2A7A6C44" w:rsidR="00625A11" w:rsidRDefault="00625A11" w:rsidP="00DA5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A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983562" wp14:editId="57072BAD">
            <wp:extent cx="5039995" cy="30873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BAF" w14:textId="4217EE1E" w:rsidR="00DA54D3" w:rsidRDefault="00625A11" w:rsidP="000552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IV.1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</w:p>
    <w:p w14:paraId="2B16DB7A" w14:textId="6EE51EE4" w:rsidR="000552B2" w:rsidRDefault="000552B2" w:rsidP="000552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online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</w:t>
      </w:r>
      <w:r w:rsidR="00DB0B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9DF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 w:rsidR="009A39DF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Rakyat, 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 w:rsidRPr="00DB0B5D">
        <w:rPr>
          <w:rFonts w:ascii="Times New Roman" w:hAnsi="Times New Roman" w:cs="Times New Roman"/>
          <w:sz w:val="24"/>
          <w:szCs w:val="24"/>
        </w:rPr>
        <w:t>.</w:t>
      </w:r>
      <w:r w:rsidR="009A39DF" w:rsidRPr="00DB0B5D">
        <w:rPr>
          <w:rFonts w:ascii="Times New Roman" w:hAnsi="Times New Roman" w:cs="Times New Roman"/>
          <w:sz w:val="24"/>
          <w:szCs w:val="24"/>
        </w:rPr>
        <w:t xml:space="preserve"> Dari </w:t>
      </w:r>
      <w:r w:rsidR="00DB0B5D" w:rsidRPr="00DB0B5D">
        <w:rPr>
          <w:rFonts w:ascii="Times New Roman" w:hAnsi="Times New Roman" w:cs="Times New Roman"/>
          <w:sz w:val="24"/>
          <w:szCs w:val="24"/>
        </w:rPr>
        <w:t>3.081</w:t>
      </w:r>
      <w:r w:rsidR="009A39DF" w:rsidRPr="00DB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F" w:rsidRPr="00DB0B5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9A39DF" w:rsidRPr="00DB0B5D">
        <w:rPr>
          <w:rFonts w:ascii="Times New Roman" w:hAnsi="Times New Roman" w:cs="Times New Roman"/>
          <w:sz w:val="24"/>
          <w:szCs w:val="24"/>
        </w:rPr>
        <w:t xml:space="preserve">, </w:t>
      </w:r>
      <w:r w:rsidR="00DB0B5D" w:rsidRPr="00DB0B5D">
        <w:rPr>
          <w:rFonts w:ascii="Times New Roman" w:hAnsi="Times New Roman" w:cs="Times New Roman"/>
          <w:sz w:val="24"/>
          <w:szCs w:val="24"/>
        </w:rPr>
        <w:t>2.698</w:t>
      </w:r>
      <w:r w:rsidR="009A39DF" w:rsidRPr="00DB0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39DF" w:rsidRPr="00DB0B5D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A39DF" w:rsidRPr="00DB0B5D">
        <w:rPr>
          <w:rFonts w:ascii="Times New Roman" w:hAnsi="Times New Roman" w:cs="Times New Roman"/>
          <w:sz w:val="24"/>
          <w:szCs w:val="24"/>
        </w:rPr>
        <w:t xml:space="preserve"> </w:t>
      </w:r>
      <w:r w:rsidR="009A39DF" w:rsidRPr="00DB0B5D">
        <w:rPr>
          <w:rFonts w:ascii="Times New Roman" w:hAnsi="Times New Roman" w:cs="Times New Roman"/>
          <w:i/>
          <w:iCs/>
          <w:sz w:val="24"/>
          <w:szCs w:val="24"/>
        </w:rPr>
        <w:t>training data</w:t>
      </w:r>
      <w:r w:rsidR="009A39DF" w:rsidRPr="00DB0B5D">
        <w:rPr>
          <w:rFonts w:ascii="Times New Roman" w:hAnsi="Times New Roman" w:cs="Times New Roman"/>
          <w:sz w:val="24"/>
          <w:szCs w:val="24"/>
        </w:rPr>
        <w:t xml:space="preserve">, </w:t>
      </w:r>
      <w:r w:rsidR="00DB0B5D" w:rsidRPr="00DB0B5D">
        <w:rPr>
          <w:rFonts w:ascii="Times New Roman" w:hAnsi="Times New Roman" w:cs="Times New Roman"/>
          <w:sz w:val="24"/>
          <w:szCs w:val="24"/>
        </w:rPr>
        <w:t xml:space="preserve">383 </w:t>
      </w:r>
      <w:proofErr w:type="spellStart"/>
      <w:r w:rsidR="009A39DF" w:rsidRPr="00DB0B5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A39DF" w:rsidRPr="00DB0B5D">
        <w:rPr>
          <w:rFonts w:ascii="Times New Roman" w:hAnsi="Times New Roman" w:cs="Times New Roman"/>
          <w:sz w:val="24"/>
          <w:szCs w:val="24"/>
        </w:rPr>
        <w:t xml:space="preserve"> </w:t>
      </w:r>
      <w:r w:rsidR="009A39DF" w:rsidRPr="00DB0B5D">
        <w:rPr>
          <w:rFonts w:ascii="Times New Roman" w:hAnsi="Times New Roman" w:cs="Times New Roman"/>
          <w:i/>
          <w:iCs/>
          <w:sz w:val="24"/>
          <w:szCs w:val="24"/>
        </w:rPr>
        <w:t>testing data</w:t>
      </w:r>
      <w:r w:rsidR="009A39DF" w:rsidRPr="00DB0B5D">
        <w:rPr>
          <w:rFonts w:ascii="Times New Roman" w:hAnsi="Times New Roman" w:cs="Times New Roman"/>
          <w:sz w:val="24"/>
          <w:szCs w:val="24"/>
        </w:rPr>
        <w:t>.</w:t>
      </w:r>
    </w:p>
    <w:p w14:paraId="3C0708C4" w14:textId="041FBD85" w:rsidR="00C56F02" w:rsidRDefault="00C56F02" w:rsidP="00C56F02">
      <w:pPr>
        <w:pStyle w:val="Heading2"/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56F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56F0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Pengujian</w:t>
      </w:r>
      <w:proofErr w:type="spellEnd"/>
      <w:r w:rsidRPr="00C56F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</w:t>
      </w:r>
    </w:p>
    <w:p w14:paraId="50B65C79" w14:textId="76CF1C47" w:rsidR="00157332" w:rsidRDefault="00157332" w:rsidP="00157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dan </w:t>
      </w:r>
      <w:r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training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pengklasifiasian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>testing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IV.2.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mengklasifikasi</w:t>
      </w:r>
      <w:r w:rsidR="00F72BB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F7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BB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F7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B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2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B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72BBA">
        <w:rPr>
          <w:rFonts w:ascii="Times New Roman" w:hAnsi="Times New Roman" w:cs="Times New Roman"/>
          <w:sz w:val="24"/>
          <w:szCs w:val="24"/>
        </w:rPr>
        <w:t>.</w:t>
      </w:r>
    </w:p>
    <w:p w14:paraId="027CB57A" w14:textId="7F5D314A" w:rsidR="00F72BBA" w:rsidRDefault="00F72BBA" w:rsidP="00157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B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BE818A" wp14:editId="11FF0486">
            <wp:extent cx="5039995" cy="23145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CEF5" w14:textId="2D4F7568" w:rsidR="00F72BBA" w:rsidRPr="00F72BBA" w:rsidRDefault="00F72BBA" w:rsidP="00F72B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IV.2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Naïve Bayes dan </w:t>
      </w:r>
      <w:r>
        <w:rPr>
          <w:rFonts w:ascii="Times New Roman" w:hAnsi="Times New Roman" w:cs="Times New Roman"/>
          <w:i/>
          <w:iCs/>
          <w:sz w:val="24"/>
          <w:szCs w:val="24"/>
        </w:rPr>
        <w:t>Support Vector Machine</w:t>
      </w:r>
    </w:p>
    <w:p w14:paraId="5A30C9FB" w14:textId="5C57CFCD" w:rsidR="00E97E66" w:rsidRDefault="00E97E66" w:rsidP="00F72BBA">
      <w:pPr>
        <w:pStyle w:val="Heading2"/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</w:t>
      </w:r>
    </w:p>
    <w:p w14:paraId="2FCBCE14" w14:textId="1D55B321" w:rsidR="00F72BBA" w:rsidRDefault="009D60BB" w:rsidP="00B610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IV.1.</w:t>
      </w:r>
      <w:r w:rsidR="00B646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646B5">
        <w:rPr>
          <w:rFonts w:ascii="Times New Roman" w:hAnsi="Times New Roman" w:cs="Times New Roman"/>
          <w:sz w:val="24"/>
          <w:szCs w:val="24"/>
        </w:rPr>
        <w:t xml:space="preserve"> 2020</w:t>
      </w:r>
      <w:r w:rsidR="003176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3D79" w:rsidRPr="003176F7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="00E43D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r w:rsidR="00B610FD"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10F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B610FD">
        <w:rPr>
          <w:rFonts w:ascii="Times New Roman" w:hAnsi="Times New Roman" w:cs="Times New Roman"/>
          <w:sz w:val="24"/>
          <w:szCs w:val="24"/>
        </w:rPr>
        <w:t xml:space="preserve"> di Indonesia. </w:t>
      </w:r>
    </w:p>
    <w:p w14:paraId="59DD2641" w14:textId="2C9CDA81" w:rsidR="00B610FD" w:rsidRPr="00B610FD" w:rsidRDefault="00B610FD" w:rsidP="00B610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IV.1 Hasil Pengukuran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B610FD" w14:paraId="7CD2A934" w14:textId="77777777" w:rsidTr="00FC0EB0"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35CCFA6F" w14:textId="4BDEBE27" w:rsidR="00B610FD" w:rsidRDefault="00B610FD" w:rsidP="00B610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13B04A7F" w14:textId="09DE58E1" w:rsidR="00B610FD" w:rsidRPr="00B610FD" w:rsidRDefault="00B610FD" w:rsidP="00B610F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Sentiment Analysis</w:t>
            </w:r>
          </w:p>
        </w:tc>
        <w:tc>
          <w:tcPr>
            <w:tcW w:w="2643" w:type="dxa"/>
            <w:tcBorders>
              <w:top w:val="single" w:sz="4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6D269944" w14:textId="68012F5B" w:rsidR="00B610FD" w:rsidRDefault="00B610FD" w:rsidP="00B610F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Demokrasi</w:t>
            </w:r>
            <w:proofErr w:type="spellEnd"/>
          </w:p>
        </w:tc>
      </w:tr>
      <w:tr w:rsidR="00B610FD" w14:paraId="4AAC6CAB" w14:textId="77777777" w:rsidTr="00FC0EB0">
        <w:tc>
          <w:tcPr>
            <w:tcW w:w="2642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38B2387C" w14:textId="410ED6DB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642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82DCBFC" w14:textId="4B6312A6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643" w:type="dxa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7FF73B57" w14:textId="7DE6B7A8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B610FD" w14:paraId="36A23F1F" w14:textId="77777777" w:rsidTr="003176F7">
        <w:tc>
          <w:tcPr>
            <w:tcW w:w="2642" w:type="dxa"/>
            <w:shd w:val="clear" w:color="auto" w:fill="8EAADB" w:themeFill="accent1" w:themeFillTint="99"/>
          </w:tcPr>
          <w:p w14:paraId="53D1C3E5" w14:textId="36084E6E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642" w:type="dxa"/>
            <w:shd w:val="clear" w:color="auto" w:fill="8EAADB" w:themeFill="accent1" w:themeFillTint="99"/>
          </w:tcPr>
          <w:p w14:paraId="315517FC" w14:textId="54F48B6C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643" w:type="dxa"/>
            <w:shd w:val="clear" w:color="auto" w:fill="8EAADB" w:themeFill="accent1" w:themeFillTint="99"/>
          </w:tcPr>
          <w:p w14:paraId="2885F8B0" w14:textId="5B0B15BB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B610FD" w14:paraId="5BAEA848" w14:textId="77777777" w:rsidTr="003176F7">
        <w:tc>
          <w:tcPr>
            <w:tcW w:w="2642" w:type="dxa"/>
            <w:shd w:val="clear" w:color="auto" w:fill="D9E2F3" w:themeFill="accent1" w:themeFillTint="33"/>
          </w:tcPr>
          <w:p w14:paraId="095C512C" w14:textId="3F58D64F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642" w:type="dxa"/>
            <w:shd w:val="clear" w:color="auto" w:fill="D9E2F3" w:themeFill="accent1" w:themeFillTint="33"/>
          </w:tcPr>
          <w:p w14:paraId="35A2AE59" w14:textId="3913413F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43" w:type="dxa"/>
            <w:shd w:val="clear" w:color="auto" w:fill="D9E2F3" w:themeFill="accent1" w:themeFillTint="33"/>
          </w:tcPr>
          <w:p w14:paraId="3D074A00" w14:textId="63263180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B610FD" w14:paraId="13F396EC" w14:textId="77777777" w:rsidTr="003176F7">
        <w:tc>
          <w:tcPr>
            <w:tcW w:w="2642" w:type="dxa"/>
            <w:shd w:val="clear" w:color="auto" w:fill="8EAADB" w:themeFill="accent1" w:themeFillTint="99"/>
          </w:tcPr>
          <w:p w14:paraId="567ABA88" w14:textId="07CBAF6F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642" w:type="dxa"/>
            <w:shd w:val="clear" w:color="auto" w:fill="8EAADB" w:themeFill="accent1" w:themeFillTint="99"/>
          </w:tcPr>
          <w:p w14:paraId="3D52CE38" w14:textId="4502B724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643" w:type="dxa"/>
            <w:shd w:val="clear" w:color="auto" w:fill="8EAADB" w:themeFill="accent1" w:themeFillTint="99"/>
          </w:tcPr>
          <w:p w14:paraId="2CBE19E1" w14:textId="5324449C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B610FD" w14:paraId="05751C67" w14:textId="77777777" w:rsidTr="003176F7">
        <w:tc>
          <w:tcPr>
            <w:tcW w:w="2642" w:type="dxa"/>
            <w:shd w:val="clear" w:color="auto" w:fill="D9E2F3" w:themeFill="accent1" w:themeFillTint="33"/>
          </w:tcPr>
          <w:p w14:paraId="02F18878" w14:textId="38679E93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642" w:type="dxa"/>
            <w:shd w:val="clear" w:color="auto" w:fill="D9E2F3" w:themeFill="accent1" w:themeFillTint="33"/>
          </w:tcPr>
          <w:p w14:paraId="070D27EF" w14:textId="6129E80E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643" w:type="dxa"/>
            <w:shd w:val="clear" w:color="auto" w:fill="D9E2F3" w:themeFill="accent1" w:themeFillTint="33"/>
          </w:tcPr>
          <w:p w14:paraId="1EC1A21E" w14:textId="2378B368" w:rsidR="00B610FD" w:rsidRDefault="003176F7" w:rsidP="003176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14:paraId="705DF79D" w14:textId="386FD579" w:rsidR="00FC0EB0" w:rsidRDefault="00FC0EB0" w:rsidP="00FC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5D5441" w14:textId="58761E86" w:rsidR="00B66EED" w:rsidRDefault="00B66EED" w:rsidP="00FC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DDD83" w14:textId="65A7B478" w:rsidR="00B66EED" w:rsidRDefault="00B66EED" w:rsidP="00FC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33D2D" w14:textId="760EE287" w:rsidR="00B66EED" w:rsidRDefault="00B66EED" w:rsidP="00FC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15468F" w14:textId="77777777" w:rsidR="00B66EED" w:rsidRDefault="00B66EED" w:rsidP="00FC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13F7C" w14:textId="7B7B0DF6" w:rsidR="00FC0EB0" w:rsidRPr="00132C4F" w:rsidRDefault="00B66EED" w:rsidP="00132C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sentiment </w:t>
      </w:r>
      <w:r w:rsidR="00132C4F">
        <w:rPr>
          <w:rFonts w:ascii="Times New Roman" w:hAnsi="Times New Roman" w:cs="Times New Roman"/>
          <w:i/>
          <w:iCs/>
          <w:sz w:val="24"/>
          <w:szCs w:val="24"/>
        </w:rPr>
        <w:t xml:space="preserve">analysis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132C4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E45AB9">
        <w:rPr>
          <w:rFonts w:ascii="Times New Roman" w:hAnsi="Times New Roman" w:cs="Times New Roman"/>
          <w:sz w:val="24"/>
          <w:szCs w:val="24"/>
        </w:rPr>
        <w:t xml:space="preserve"> pada Gambar IV.3</w:t>
      </w:r>
      <w:r w:rsidR="00132C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r w:rsidR="00132C4F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r w:rsidR="00132C4F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</w:t>
      </w:r>
      <w:r w:rsidR="00132C4F">
        <w:rPr>
          <w:rFonts w:ascii="Times New Roman" w:hAnsi="Times New Roman" w:cs="Times New Roman"/>
          <w:i/>
          <w:iCs/>
          <w:sz w:val="24"/>
          <w:szCs w:val="24"/>
        </w:rPr>
        <w:t>extract</w:t>
      </w:r>
      <w:r w:rsidR="00132C4F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32C4F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132C4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45A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4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AB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45AB9">
        <w:rPr>
          <w:rFonts w:ascii="Times New Roman" w:hAnsi="Times New Roman" w:cs="Times New Roman"/>
          <w:sz w:val="24"/>
          <w:szCs w:val="24"/>
        </w:rPr>
        <w:t>.</w:t>
      </w:r>
    </w:p>
    <w:p w14:paraId="60CDF23E" w14:textId="2F40BCFC" w:rsidR="00B66EED" w:rsidRDefault="00B66EED" w:rsidP="00FC0E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A5422" wp14:editId="6F5C066F">
            <wp:extent cx="44386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CBA3" w14:textId="3AD382F0" w:rsidR="00B66EED" w:rsidRDefault="00B66EED" w:rsidP="00B66EE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IV.3 Hasil Pengukuran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Analyis</w:t>
      </w:r>
      <w:proofErr w:type="spellEnd"/>
    </w:p>
    <w:p w14:paraId="5F5312AB" w14:textId="1F194D09" w:rsidR="00E45AB9" w:rsidRPr="00E45AB9" w:rsidRDefault="00E45AB9" w:rsidP="00E45A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Rakyat, Antara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Tribun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4E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C10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4E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104E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104E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10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4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0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4E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C10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4EF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C104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04EF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="00C104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4626D2" w14:textId="4165A58F" w:rsidR="00B66EED" w:rsidRDefault="00B66EED" w:rsidP="00B66EE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0E164211" wp14:editId="7A4F5E59">
            <wp:extent cx="45339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3E7B" w14:textId="08780C46" w:rsidR="00F078DE" w:rsidRDefault="00F078DE" w:rsidP="00B66EE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IV.4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Per Surat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Kabar</w:t>
      </w:r>
      <w:proofErr w:type="spellEnd"/>
    </w:p>
    <w:p w14:paraId="69E83B21" w14:textId="1EF4772D" w:rsidR="00F078DE" w:rsidRPr="00C104EF" w:rsidRDefault="00C104EF" w:rsidP="00F07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IV.5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IV.7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Gambar IV.8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pengukuran </w:t>
      </w:r>
      <w:r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192D64" w14:textId="13EF36AA" w:rsidR="00F078DE" w:rsidRDefault="00F078DE" w:rsidP="00F07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0C95C" w14:textId="2E09B1B4" w:rsidR="00F078DE" w:rsidRDefault="00F078DE" w:rsidP="00F07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A5675" w14:textId="1D0F9A26" w:rsidR="00F078DE" w:rsidRDefault="00F078DE" w:rsidP="00F07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6EB372" wp14:editId="1BF36F16">
            <wp:extent cx="5039995" cy="28797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912B" w14:textId="0965FA95" w:rsidR="00F078DE" w:rsidRDefault="00F078DE" w:rsidP="00F0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IV.5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B50652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81EA1" wp14:editId="35B57B72">
            <wp:extent cx="5039995" cy="28797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A5AE" w14:textId="4A5422CD" w:rsidR="00B50652" w:rsidRDefault="00B50652" w:rsidP="00F0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IV.6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5A2C053F" w14:textId="3D7241AC" w:rsidR="00B50652" w:rsidRDefault="00B50652" w:rsidP="00F0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219010" wp14:editId="34A1C794">
            <wp:extent cx="5039995" cy="28797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3335" w14:textId="5507FE34" w:rsidR="00B50652" w:rsidRDefault="00B50652" w:rsidP="00F0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IV.7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EB004A8" w14:textId="453064A0" w:rsidR="00A663F4" w:rsidRDefault="00A663F4" w:rsidP="00F0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44F68" wp14:editId="3B7DDB24">
            <wp:extent cx="5039995" cy="28797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3825" w14:textId="6E83B7D2" w:rsidR="00134CBA" w:rsidRPr="00134CBA" w:rsidRDefault="00134CBA" w:rsidP="00F0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IV.8 Pola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Sentiment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26EDBE80" w14:textId="37AA1A55" w:rsidR="00E97E66" w:rsidRDefault="00B50652" w:rsidP="00E97E66">
      <w:pPr>
        <w:pStyle w:val="Heading2"/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E97E66" w:rsidRPr="00C56F02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Pengujian</w:t>
      </w:r>
      <w:proofErr w:type="spellEnd"/>
      <w:r w:rsidR="00E97E66" w:rsidRPr="00C56F0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97E66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</w:t>
      </w:r>
    </w:p>
    <w:p w14:paraId="13C10E44" w14:textId="572C4F05" w:rsidR="00B50652" w:rsidRPr="00134CBA" w:rsidRDefault="00B50652" w:rsidP="00365D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D51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uji T test yang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lastRenderedPageBreak/>
        <w:t>dijelaskan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D5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365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E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pada</w:t>
      </w:r>
      <w:r w:rsidR="00D42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E4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42E4C">
        <w:rPr>
          <w:rFonts w:ascii="Times New Roman" w:hAnsi="Times New Roman" w:cs="Times New Roman"/>
          <w:sz w:val="24"/>
          <w:szCs w:val="24"/>
        </w:rPr>
        <w:t xml:space="preserve"> IV.2.</w:t>
      </w:r>
      <w:r w:rsidR="00DB6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r w:rsidR="00134CBA">
        <w:rPr>
          <w:rFonts w:ascii="Times New Roman" w:hAnsi="Times New Roman" w:cs="Times New Roman"/>
          <w:i/>
          <w:iCs/>
          <w:sz w:val="24"/>
          <w:szCs w:val="24"/>
        </w:rPr>
        <w:t>P Value</w:t>
      </w:r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t statistic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bukati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pengukuran </w:t>
      </w:r>
      <w:r w:rsidR="00134CBA"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  <w:r w:rsidR="00134C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, </w:t>
      </w:r>
      <w:r w:rsidR="00134CBA">
        <w:rPr>
          <w:rFonts w:ascii="Times New Roman" w:hAnsi="Times New Roman" w:cs="Times New Roman"/>
          <w:i/>
          <w:iCs/>
          <w:sz w:val="24"/>
          <w:szCs w:val="24"/>
        </w:rPr>
        <w:t xml:space="preserve">sentiment </w:t>
      </w:r>
      <w:r w:rsidR="00DB0B5D">
        <w:rPr>
          <w:rFonts w:ascii="Times New Roman" w:hAnsi="Times New Roman" w:cs="Times New Roman"/>
          <w:i/>
          <w:iCs/>
          <w:sz w:val="24"/>
          <w:szCs w:val="24"/>
        </w:rPr>
        <w:t xml:space="preserve">analysis </w:t>
      </w:r>
      <w:proofErr w:type="spellStart"/>
      <w:r w:rsidR="00DB0B5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pengukuran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CBA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134CBA">
        <w:rPr>
          <w:rFonts w:ascii="Times New Roman" w:hAnsi="Times New Roman" w:cs="Times New Roman"/>
          <w:sz w:val="24"/>
          <w:szCs w:val="24"/>
        </w:rPr>
        <w:t>.</w:t>
      </w:r>
    </w:p>
    <w:p w14:paraId="3EF98DFB" w14:textId="4A6B5B1C" w:rsidR="00D42E4C" w:rsidRDefault="00D42E4C" w:rsidP="00D42E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IV.2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</w:rPr>
        <w:t>Sentiment Analysis</w:t>
      </w:r>
    </w:p>
    <w:tbl>
      <w:tblPr>
        <w:tblStyle w:val="GridTable2-Accent4"/>
        <w:tblW w:w="0" w:type="auto"/>
        <w:tblInd w:w="1042" w:type="dxa"/>
        <w:tblLook w:val="04A0" w:firstRow="1" w:lastRow="0" w:firstColumn="1" w:lastColumn="0" w:noHBand="0" w:noVBand="1"/>
      </w:tblPr>
      <w:tblGrid>
        <w:gridCol w:w="2263"/>
        <w:gridCol w:w="473"/>
        <w:gridCol w:w="2572"/>
      </w:tblGrid>
      <w:tr w:rsidR="00D42E4C" w14:paraId="49B186C1" w14:textId="77777777" w:rsidTr="00DB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A6F0CC" w14:textId="4015BD6F" w:rsidR="00D42E4C" w:rsidRDefault="00D42E4C" w:rsidP="00D42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Value</w:t>
            </w:r>
          </w:p>
        </w:tc>
        <w:tc>
          <w:tcPr>
            <w:tcW w:w="473" w:type="dxa"/>
          </w:tcPr>
          <w:p w14:paraId="56DA91E4" w14:textId="0B6FAFE4" w:rsidR="00D42E4C" w:rsidRDefault="00D42E4C" w:rsidP="00D42E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572" w:type="dxa"/>
          </w:tcPr>
          <w:p w14:paraId="05708BD8" w14:textId="6A3F47B5" w:rsidR="00D42E4C" w:rsidRPr="00DB68F2" w:rsidRDefault="00D42E4C" w:rsidP="00D42E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B68F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0,2623</w:t>
            </w:r>
          </w:p>
        </w:tc>
      </w:tr>
      <w:tr w:rsidR="00D42E4C" w14:paraId="0ECD84C1" w14:textId="77777777" w:rsidTr="00DB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8B772D" w14:textId="36142F2B" w:rsidR="00D42E4C" w:rsidRDefault="00D42E4C" w:rsidP="00D42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Confident Interval</w:t>
            </w:r>
          </w:p>
        </w:tc>
        <w:tc>
          <w:tcPr>
            <w:tcW w:w="473" w:type="dxa"/>
          </w:tcPr>
          <w:p w14:paraId="37C5CD64" w14:textId="3F624895" w:rsidR="00D42E4C" w:rsidRDefault="00D42E4C" w:rsidP="00D42E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572" w:type="dxa"/>
          </w:tcPr>
          <w:p w14:paraId="1367C3C1" w14:textId="0D1BC8B3" w:rsidR="00D42E4C" w:rsidRDefault="00D42E4C" w:rsidP="00D42E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D42E4C" w14:paraId="66A2BB05" w14:textId="77777777" w:rsidTr="00DB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6A9815" w14:textId="0F3866DB" w:rsidR="00D42E4C" w:rsidRDefault="00134CBA" w:rsidP="00D42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473" w:type="dxa"/>
          </w:tcPr>
          <w:p w14:paraId="5B55F965" w14:textId="6B4CD947" w:rsidR="00D42E4C" w:rsidRDefault="00D42E4C" w:rsidP="00D42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572" w:type="dxa"/>
          </w:tcPr>
          <w:p w14:paraId="7D5951C4" w14:textId="45F09C66" w:rsidR="00D42E4C" w:rsidRDefault="00D42E4C" w:rsidP="00D42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1,2060</w:t>
            </w:r>
          </w:p>
        </w:tc>
      </w:tr>
      <w:tr w:rsidR="00D42E4C" w14:paraId="51E2347B" w14:textId="77777777" w:rsidTr="00DB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EDA189" w14:textId="29F43A87" w:rsidR="00D42E4C" w:rsidRDefault="00D42E4C" w:rsidP="00D42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 of Freedom</w:t>
            </w:r>
          </w:p>
        </w:tc>
        <w:tc>
          <w:tcPr>
            <w:tcW w:w="473" w:type="dxa"/>
          </w:tcPr>
          <w:p w14:paraId="154ADA94" w14:textId="19762250" w:rsidR="00D42E4C" w:rsidRDefault="00D42E4C" w:rsidP="00D42E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572" w:type="dxa"/>
          </w:tcPr>
          <w:p w14:paraId="365ABBC5" w14:textId="640F25A9" w:rsidR="00D42E4C" w:rsidRDefault="00D42E4C" w:rsidP="00D42E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2E4C" w14:paraId="476D9D8D" w14:textId="77777777" w:rsidTr="00DB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042A33" w14:textId="49DF29B1" w:rsidR="00D42E4C" w:rsidRDefault="00D42E4C" w:rsidP="00D42E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473" w:type="dxa"/>
          </w:tcPr>
          <w:p w14:paraId="43ED8E0F" w14:textId="114F57F3" w:rsidR="00D42E4C" w:rsidRDefault="00D42E4C" w:rsidP="00D42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572" w:type="dxa"/>
          </w:tcPr>
          <w:p w14:paraId="30D3C65D" w14:textId="394100DA" w:rsidR="00D42E4C" w:rsidRDefault="00D42E4C" w:rsidP="00D42E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1,990</w:t>
            </w:r>
          </w:p>
        </w:tc>
      </w:tr>
    </w:tbl>
    <w:p w14:paraId="13931804" w14:textId="77777777" w:rsidR="00D42E4C" w:rsidRPr="00D42E4C" w:rsidRDefault="00D42E4C" w:rsidP="00D42E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BD6E3A" w14:textId="77777777" w:rsidR="00F078DE" w:rsidRPr="00F078DE" w:rsidRDefault="00F078DE" w:rsidP="00F078DE"/>
    <w:p w14:paraId="6C0C177B" w14:textId="77777777" w:rsidR="00E97E66" w:rsidRPr="00E97E66" w:rsidRDefault="00E97E66" w:rsidP="00E97E66"/>
    <w:p w14:paraId="382E9D6D" w14:textId="77777777" w:rsidR="00C56F02" w:rsidRPr="00C56F02" w:rsidRDefault="00C56F02" w:rsidP="00C56F02"/>
    <w:p w14:paraId="0BE704CD" w14:textId="7A1470D7" w:rsidR="000552B2" w:rsidRPr="000552B2" w:rsidRDefault="000552B2" w:rsidP="00C56F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552B2" w:rsidRPr="000552B2" w:rsidSect="003A4F2A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2806D5A"/>
    <w:multiLevelType w:val="multilevel"/>
    <w:tmpl w:val="E59ACDA4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80689460">
    <w:abstractNumId w:val="0"/>
  </w:num>
  <w:num w:numId="2" w16cid:durableId="193674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2A"/>
    <w:rsid w:val="000552B2"/>
    <w:rsid w:val="00132C4F"/>
    <w:rsid w:val="00134CBA"/>
    <w:rsid w:val="00157332"/>
    <w:rsid w:val="003176F7"/>
    <w:rsid w:val="003508A1"/>
    <w:rsid w:val="00365D51"/>
    <w:rsid w:val="003A4F2A"/>
    <w:rsid w:val="004F5268"/>
    <w:rsid w:val="00625A11"/>
    <w:rsid w:val="006E446B"/>
    <w:rsid w:val="00896DF4"/>
    <w:rsid w:val="008B6CCA"/>
    <w:rsid w:val="009A39DF"/>
    <w:rsid w:val="009D60BB"/>
    <w:rsid w:val="00A663F4"/>
    <w:rsid w:val="00AA471F"/>
    <w:rsid w:val="00B50652"/>
    <w:rsid w:val="00B610FD"/>
    <w:rsid w:val="00B646B5"/>
    <w:rsid w:val="00B66EED"/>
    <w:rsid w:val="00C104EF"/>
    <w:rsid w:val="00C56F02"/>
    <w:rsid w:val="00C96538"/>
    <w:rsid w:val="00CB1427"/>
    <w:rsid w:val="00D42E4C"/>
    <w:rsid w:val="00DA54D3"/>
    <w:rsid w:val="00DB0B5D"/>
    <w:rsid w:val="00DB68F2"/>
    <w:rsid w:val="00E43D79"/>
    <w:rsid w:val="00E45AB9"/>
    <w:rsid w:val="00E97E66"/>
    <w:rsid w:val="00F078DE"/>
    <w:rsid w:val="00F72BBA"/>
    <w:rsid w:val="00F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9A9"/>
  <w15:chartTrackingRefBased/>
  <w15:docId w15:val="{5A36A4F7-0A78-4A61-A76E-A82CFC5D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F2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F2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F2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3">
    <w:name w:val="Style3"/>
    <w:uiPriority w:val="99"/>
    <w:rsid w:val="003508A1"/>
  </w:style>
  <w:style w:type="character" w:customStyle="1" w:styleId="Heading1Char">
    <w:name w:val="Heading 1 Char"/>
    <w:basedOn w:val="DefaultParagraphFont"/>
    <w:link w:val="Heading1"/>
    <w:uiPriority w:val="9"/>
    <w:rsid w:val="003A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F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F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1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B68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4">
    <w:name w:val="Grid Table 3 Accent 4"/>
    <w:basedOn w:val="TableNormal"/>
    <w:uiPriority w:val="48"/>
    <w:rsid w:val="00DB68F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2-Accent4">
    <w:name w:val="Grid Table 2 Accent 4"/>
    <w:basedOn w:val="TableNormal"/>
    <w:uiPriority w:val="47"/>
    <w:rsid w:val="00DB68F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51B7F-24DB-44C6-BA6E-4E2D7E6A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Nurviana</dc:creator>
  <cp:keywords/>
  <dc:description/>
  <cp:lastModifiedBy>Nova Nurviana</cp:lastModifiedBy>
  <cp:revision>11</cp:revision>
  <dcterms:created xsi:type="dcterms:W3CDTF">2022-04-23T23:05:00Z</dcterms:created>
  <dcterms:modified xsi:type="dcterms:W3CDTF">2022-04-25T22:54:00Z</dcterms:modified>
</cp:coreProperties>
</file>