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b/>
          <w:color w:val="0E7490"/>
          <w:sz w:val="22"/>
        </w:rPr>
        <w:t>PROPOSAL INOVASI RISET &amp; TEKNOLOGI KECERDASAN BUATAN (AI)</w:t>
      </w:r>
    </w:p>
    <w:p>
      <w:pPr>
        <w:spacing w:before="240" w:after="240"/>
        <w:jc w:val="center"/>
      </w:pPr>
      <w:r>
        <w:rPr>
          <w:rFonts w:ascii="Arial" w:hAnsi="Arial"/>
          <w:b/>
          <w:color w:val="0F172A"/>
          <w:sz w:val="34"/>
        </w:rPr>
        <w:t>PHARMAPULSE 3D:</w:t>
        <w:br/>
        <w:t>PLATFORM GENERATIF DE NOVO DRUG DESIGN &amp; PREDIKSI BIOAKTIVITAS MULTI-TARGET BERBASIS GRAPH NEURAL NETWORKS (GNN) DAN TRANSFORMER KIMIA MEDISINAL</w:t>
      </w:r>
    </w:p>
    <w:p>
      <w:pPr>
        <w:spacing w:after="600"/>
        <w:jc w:val="center"/>
      </w:pPr>
      <w:r>
        <w:rPr>
          <w:rFonts w:ascii="Calibri" w:hAnsi="Calibri"/>
          <w:i/>
          <w:color w:val="64748B"/>
          <w:sz w:val="23"/>
        </w:rPr>
        <w:t>Akselerasi Penemuan Kandidat Obat Terpandu Target Makromolekul, In Silico ADMET Terbuka, dan Valorisasi Senyawa Aktif Herbal Berbasis Artificial Intelligence Modern</w:t>
      </w:r>
    </w:p>
    <w:tbl>
      <w:tblPr>
        <w:tblW w:type="auto" w:w="0"/>
        <w:jc w:val="center"/>
        <w:tblLayout w:type="fixed"/>
        <w:tblLook w:firstColumn="1" w:firstRow="1" w:lastColumn="0" w:lastRow="0" w:noHBand="0" w:noVBand="1" w:val="04A0"/>
      </w:tblPr>
      <w:tblGrid>
        <w:gridCol w:w="3168"/>
        <w:gridCol w:w="5904"/>
      </w:tblGrid>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Nama Inovator / Peneliti</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Novarani (NPM: 2506713864)</w:t>
            </w:r>
          </w:p>
        </w:tc>
      </w:tr>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Bidang Keilmuan</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Kimia Medisinal Lanjut, CADD &amp; Bioinformatika Farmasi</w:t>
            </w:r>
          </w:p>
        </w:tc>
      </w:tr>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Fokus Inovasi AI</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Graph Neural Networks (GNN), Mol-Transformer &amp; De Novo Design</w:t>
            </w:r>
          </w:p>
        </w:tc>
      </w:tr>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Basis Data Terintegrasi</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NIH PubChem (110M+ Senyawa), ChEMBL 34, PDB, KEGG, Reactome</w:t>
            </w:r>
          </w:p>
        </w:tc>
      </w:tr>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Status Prototipe</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PharmaPulse 3D Web-Native Platform (Live &amp; Operasional)</w:t>
            </w:r>
          </w:p>
        </w:tc>
      </w:tr>
      <w:tr>
        <w:tc>
          <w:tcPr>
            <w:tcW w:type="dxa" w:w="4550"/>
            <w:shd w:fill="F8FAFC"/>
            <w:tcBorders>
              <w:top w:val="single" w:sz="4" w:space="0" w:color="CBD5E1"/>
              <w:bottom w:val="single" w:sz="4" w:space="0" w:color="CBD5E1"/>
            </w:tcBorders>
          </w:tcPr>
          <w:p>
            <w:pPr>
              <w:spacing w:before="80" w:after="80"/>
            </w:pPr>
            <w:r>
              <w:rPr>
                <w:rFonts w:ascii="Arial" w:hAnsi="Arial"/>
                <w:b/>
                <w:color w:val="0F172A"/>
                <w:sz w:val="19"/>
              </w:rPr>
              <w:t>Waktu Pelaksanaan</w:t>
            </w:r>
          </w:p>
        </w:tc>
        <w:tc>
          <w:tcPr>
            <w:tcW w:type="dxa" w:w="4550"/>
            <w:shd w:fill="FFFFFF"/>
            <w:tcBorders>
              <w:top w:val="single" w:sz="4" w:space="0" w:color="CBD5E1"/>
              <w:bottom w:val="single" w:sz="4" w:space="0" w:color="CBD5E1"/>
            </w:tcBorders>
          </w:tcPr>
          <w:p>
            <w:pPr>
              <w:spacing w:before="80" w:after="80"/>
            </w:pPr>
            <w:r>
              <w:rPr>
                <w:rFonts w:ascii="Calibri" w:hAnsi="Calibri"/>
                <w:color w:val="0F172A"/>
                <w:sz w:val="20"/>
              </w:rPr>
              <w:t>Tahun Akademik 2026/2027 (Program 12 Bulan)</w:t>
            </w:r>
          </w:p>
        </w:tc>
      </w:tr>
    </w:tbl>
    <w:p>
      <w:r>
        <w:br w:type="page"/>
      </w:r>
    </w:p>
    <w:p>
      <w:pPr>
        <w:keepNext/>
        <w:spacing w:before="360" w:after="120"/>
        <w:pBdr>
          <w:bottom w:val="single" w:sz="12" w:space="4" w:color="0E7490"/>
        </w:pBdr>
      </w:pPr>
      <w:r>
        <w:rPr>
          <w:rFonts w:ascii="Arial" w:hAnsi="Arial"/>
          <w:b/>
          <w:color w:val="0E7490"/>
          <w:sz w:val="30"/>
        </w:rPr>
        <w:t>RINGKASAN EKSEKUTIF (EXECUTIVE SUMMARY)</w:t>
      </w:r>
    </w:p>
    <w:p>
      <w:pPr>
        <w:spacing w:after="120" w:line="276" w:lineRule="auto"/>
      </w:pPr>
      <w:r>
        <w:rPr>
          <w:rFonts w:ascii="Calibri" w:hAnsi="Calibri"/>
          <w:color w:val="0F172A"/>
          <w:sz w:val="22"/>
        </w:rPr>
        <w:t>Proses penemuan obat (drug discovery) konvensional saat ini berada pada titik kritis yang dikenal sebagai Eroom's Law, di mana biaya riset meningkat secara eksponensial mencapai lebih dari USD 2,6 Miliar per molekul baru dengan durasi rata-rata 10 hingga 15 tahun. Lebih dari 90% kandidat obat gugur pada tahap translasi uji klinis akibat kegagalan farmakokinetika, toksisitas (ADMET), dan rendahnya selektivitas pengikatan pada target biologis. Menjawab tantangan tersebut, platform PharmaPulse 3D telah dikembangkan secara mandiri sebagai ekosistem komputasi kimia medisinal web-native terintegrasi. Platform ini menggabungkan rendering 3D konformer molekuler real-time (3Dmol.js), kalkulator bioaktivitas QSAR berbasis regresi multivariat (ChEMBL), model prediksi permeabilitas bivariat BOILED-Egg terstandar (Daina &amp; Zoete, 2016), serta penapisan cerdas analog struktural berbasis koefisien Tanimoto 2D dengan cakupan komprehensif pada 28+ senyawa obat dan bahan alam bioaktif.</w:t>
      </w:r>
    </w:p>
    <w:p>
      <w:pPr>
        <w:spacing w:after="120" w:line="276" w:lineRule="auto"/>
      </w:pPr>
      <w:r>
        <w:rPr>
          <w:rFonts w:ascii="Calibri" w:hAnsi="Calibri"/>
          <w:color w:val="0F172A"/>
          <w:sz w:val="22"/>
        </w:rPr>
        <w:t>Proposal inovasi ini mengusulkan lompatan strategis generasi berikutnya (PharmaPulse AI 2.0) melalui integrasi mendalam teknologi Artificial Intelligence (AI) terdepan: (1) De Novo Molecular Generative Engine berbasis Chemical Transformer (SMILES-GPT/Mol-Diffuser) yang mampu merancang analog baru secara otomatis dengan afinitas tinggi dan ketercapaian sintesis terjamin (SA Score &lt; 4.0); (2) Deep Graph Neural Networks (GNN / SchNet / DimeNet++) untuk pemodelan QSAR non-linier 3D multi-target dengan akurasi prediksi pIC50 yang melampaui metode linier klasik (target R² &gt; 0.92); (3) AI Deep-Egg &amp; Deep-Tox Multi-Task Predictor untuk estimasi absorpsi usus (HIA), penembusan sawar darah otak (BBB), status substrat efluks P-glikoprotein (P-gp), metabolisme CYP450, serta sitotoksisitas kardiak (hERG); serta (4) Knowledge Graph Drug Repurposing Engine yang menghubungkan entitas molekul dengan target penyakit infeksi, metabolik, onkologi, dan antivirus secara terarah.</w:t>
      </w:r>
    </w:p>
    <w:tbl>
      <w:tblPr>
        <w:tblW w:type="auto" w:w="0"/>
        <w:jc w:val="center"/>
        <w:tblLayout w:type="fixed"/>
        <w:tblLook w:firstColumn="1" w:firstRow="1" w:lastColumn="0" w:lastRow="0" w:noHBand="0" w:noVBand="1" w:val="04A0"/>
      </w:tblPr>
      <w:tblGrid>
        <w:gridCol w:w="9072"/>
      </w:tblGrid>
      <w:tr>
        <w:tc>
          <w:tcPr>
            <w:tcW w:type="dxa" w:w="9101"/>
            <w:shd w:fill="F0FDFA"/>
            <w:tcBorders>
              <w:top w:val="single" w:sz="4" w:space="0" w:color="CBD5E1"/>
              <w:left w:val="single" w:sz="24" w:space="0" w:color="0E7490"/>
              <w:bottom w:val="single" w:sz="4" w:space="0" w:color="CBD5E1"/>
              <w:right w:val="single" w:sz="4" w:space="0" w:color="CBD5E1"/>
            </w:tcBorders>
          </w:tcPr>
          <w:p>
            <w:pPr>
              <w:spacing w:before="120" w:after="120" w:line="276" w:lineRule="auto"/>
            </w:pPr>
            <w:r>
              <w:rPr>
                <w:rFonts w:ascii="Arial" w:hAnsi="Arial"/>
                <w:b/>
                <w:color w:val="0E7490"/>
                <w:sz w:val="20"/>
              </w:rPr>
              <w:t xml:space="preserve">VALUE PROPOSITION UTAMA: </w:t>
            </w:r>
            <w:r>
              <w:rPr>
                <w:rFonts w:ascii="Calibri" w:hAnsi="Calibri"/>
                <w:color w:val="0F172A"/>
                <w:sz w:val="20"/>
              </w:rPr>
              <w:t>Integrasi AI pada PharmaPulse 3D ditargetkan mampu memangkas waktu penapisan awal (lead identification) hingga 75% dan menghemat biaya eksperimen laboratorium basah hingga &gt;60%. Inovasi ini memberikan kontribusi nyata bagi kemandirian riset kefarmasian nasional, khususnya dalam valorisasi fraksi bioaktif jamu/herbal Indonesia (Kurkumin, Gingerol, Tempe Isoflavon: Genistein, Daidzein, Glycitein) dan pengembangan antivirus berpotensi pandemik.</w:t>
            </w:r>
          </w:p>
        </w:tc>
      </w:tr>
    </w:tbl>
    <w:p>
      <w:pPr>
        <w:spacing w:after="80"/>
      </w:pPr>
    </w:p>
    <w:p>
      <w:pPr>
        <w:keepNext/>
        <w:spacing w:before="360" w:after="120"/>
        <w:pBdr>
          <w:bottom w:val="single" w:sz="12" w:space="4" w:color="0E7490"/>
        </w:pBdr>
      </w:pPr>
      <w:r>
        <w:rPr>
          <w:rFonts w:ascii="Arial" w:hAnsi="Arial"/>
          <w:b/>
          <w:color w:val="0E7490"/>
          <w:sz w:val="30"/>
        </w:rPr>
        <w:t>BAB I: LATAR BELAKANG DAN URGENSI INOVASI</w:t>
      </w:r>
    </w:p>
    <w:p>
      <w:pPr>
        <w:keepNext/>
        <w:spacing w:before="240" w:after="80"/>
      </w:pPr>
      <w:r>
        <w:rPr>
          <w:rFonts w:ascii="Arial" w:hAnsi="Arial"/>
          <w:b/>
          <w:color w:val="0F172A"/>
          <w:sz w:val="25"/>
        </w:rPr>
        <w:t>1.1 Paradigma Baru Penemuan Obat &amp; Eroom's Law</w:t>
      </w:r>
    </w:p>
    <w:p>
      <w:pPr>
        <w:spacing w:after="120" w:line="276" w:lineRule="auto"/>
      </w:pPr>
      <w:r>
        <w:rPr>
          <w:rFonts w:ascii="Calibri" w:hAnsi="Calibri"/>
          <w:color w:val="0F172A"/>
          <w:sz w:val="22"/>
        </w:rPr>
        <w:t>Dalam industri farmasi global, efisiensi penemuan obat terus mengalami penurunan tajam selama beberapa dekade terakhir. Fenomena ini dikenal sebagai Eroom's Law (kebalikan dari Moore's Law pada industri semikonduktor), di mana jumlah obat baru yang disetujui per miliar dolar pengeluaran R&amp;D berkurang separuh setiap sembilan tahun. Metode penapisan berkecepatan tinggi konvensional (High-Throughput Screening / HTS) di laboratorium basah bersifat padat modal, menghasilkan limbah kimiawi yang tinggi, serta memiliki angka positif palsu (false positives) akibat molekul pengganggu pengujian hayati (PAINS).</w:t>
      </w:r>
    </w:p>
    <w:p>
      <w:pPr>
        <w:keepNext/>
        <w:spacing w:before="240" w:after="80"/>
      </w:pPr>
      <w:r>
        <w:rPr>
          <w:rFonts w:ascii="Arial" w:hAnsi="Arial"/>
          <w:b/>
          <w:color w:val="0F172A"/>
          <w:sz w:val="25"/>
        </w:rPr>
        <w:t>1.2 Urgensi Nasional: Valorisasi Bahan Alam &amp; Kesiapan Pandemik</w:t>
      </w:r>
    </w:p>
    <w:p>
      <w:pPr>
        <w:spacing w:after="120" w:line="276" w:lineRule="auto"/>
      </w:pPr>
      <w:r>
        <w:rPr>
          <w:rFonts w:ascii="Calibri" w:hAnsi="Calibri"/>
          <w:color w:val="0F172A"/>
          <w:sz w:val="22"/>
        </w:rPr>
        <w:t>Indonesia memiliki keanekaragaman hayati darat dan laut terbesar kedua di dunia, namun pemanfaatannya dalam formulasi obat berstandar modern masih sangat terbatas. Senyawa bioaktif lokal seperti fitoestrogen kedelai/tempe fermentasi (Genistein, Daidzein, Glycitein), kurkuminoid temulawak/kunyit (Curcumin, Demethoxycurcumin), senyawa pedas jahe (Gingerol, 6-Shogaol), serta tanin dan flavonoid memiliki potensi farmakologis multi-target yang luar biasa. Di sisi lain, ancaman krisis kesehatan global menuntut kesiapsiagaan terhadap terapi antiviral spektrum luas (seperti Remdesivir, Oseltamivir, Acyclovir, Sofosbuvir, dan Baloxavir). Diperlukan platform komputasional canggih karya anak bangsa yang mampu memetakan interaksi molekuler senyawa-senyawa tersebut secara cepat, akurat, dan terukur.</w:t>
      </w:r>
    </w:p>
    <w:p>
      <w:pPr>
        <w:keepNext/>
        <w:spacing w:before="240" w:after="80"/>
      </w:pPr>
      <w:r>
        <w:rPr>
          <w:rFonts w:ascii="Arial" w:hAnsi="Arial"/>
          <w:b/>
          <w:color w:val="0F172A"/>
          <w:sz w:val="25"/>
        </w:rPr>
        <w:t>1.3 Kesenjangan Teknologi: Dari CADD Tradisional Menuju Deep Learning AI</w:t>
      </w:r>
    </w:p>
    <w:p>
      <w:pPr>
        <w:spacing w:after="120" w:line="276" w:lineRule="auto"/>
      </w:pPr>
      <w:r>
        <w:rPr>
          <w:rFonts w:ascii="Calibri" w:hAnsi="Calibri"/>
          <w:color w:val="0F172A"/>
          <w:sz w:val="22"/>
        </w:rPr>
        <w:t>Perangkat lunak CADD komersial yang beredar saat ini (seperti Schrödinger, MOE, Discovery Studio) memiliki hambatan adopsi yang masif: biaya lisensi tahunan ratusan juta rupiah, kebutuhan komputasi workstation berspesifikasi ekstrem, serta kurva pembelajaran perangkat yang rumit. PharmaPulse 3D telah membuktikan bahwa pemodelan komputasi modern dapat dihadirkan secara web-native, interaktif, dan terbuka. Namun, untuk menjawab tantangan eksplorasi ruang kimiawi (chemical space) yang memuat lebih dari 10^60 kemungkinan molekul mirip obat, dibutuhkan campur tangan algoritma Artificial Intelligence (AI) yang bersifat generatif dan prediktif non-linier.</w:t>
      </w:r>
    </w:p>
    <w:p>
      <w:pPr>
        <w:keepNext/>
        <w:spacing w:before="360" w:after="120"/>
        <w:pBdr>
          <w:bottom w:val="single" w:sz="12" w:space="4" w:color="0E7490"/>
        </w:pBdr>
      </w:pPr>
      <w:r>
        <w:rPr>
          <w:rFonts w:ascii="Arial" w:hAnsi="Arial"/>
          <w:b/>
          <w:color w:val="0E7490"/>
          <w:sz w:val="30"/>
        </w:rPr>
        <w:t>BAB II: RUMUSAN MASALAH DAN TUJUAN INOVASI</w:t>
      </w:r>
    </w:p>
    <w:p>
      <w:pPr>
        <w:keepNext/>
        <w:spacing w:before="240" w:after="80"/>
      </w:pPr>
      <w:r>
        <w:rPr>
          <w:rFonts w:ascii="Arial" w:hAnsi="Arial"/>
          <w:b/>
          <w:color w:val="0F172A"/>
          <w:sz w:val="25"/>
        </w:rPr>
        <w:t>2.1 Rumusan Masalah</w:t>
      </w:r>
    </w:p>
    <w:p>
      <w:pPr>
        <w:pStyle w:val="ListBullet"/>
        <w:spacing w:after="60" w:line="276" w:lineRule="auto"/>
      </w:pPr>
      <w:r>
        <w:rPr>
          <w:rFonts w:ascii="Calibri" w:hAnsi="Calibri"/>
          <w:b/>
          <w:color w:val="0F172A"/>
          <w:sz w:val="22"/>
        </w:rPr>
        <w:t xml:space="preserve">1. Keterbatasan Prediksi Linier: </w:t>
      </w:r>
      <w:r>
        <w:rPr>
          <w:rFonts w:ascii="Calibri" w:hAnsi="Calibri"/>
          <w:color w:val="0F172A"/>
          <w:sz w:val="22"/>
        </w:rPr>
        <w:t>Bagaimana mengatasi keterbatasan model QSAR linier konvensional agar mampu menangkap korelasi non-linier kompleks antara geometri konformasi spasial 3D dengan afinitas biologis (pIC50) pada beragam target makromolekul?</w:t>
      </w:r>
    </w:p>
    <w:p>
      <w:pPr>
        <w:pStyle w:val="ListBullet"/>
        <w:spacing w:after="60" w:line="276" w:lineRule="auto"/>
      </w:pPr>
      <w:r>
        <w:rPr>
          <w:rFonts w:ascii="Calibri" w:hAnsi="Calibri"/>
          <w:b/>
          <w:color w:val="0F172A"/>
          <w:sz w:val="22"/>
        </w:rPr>
        <w:t xml:space="preserve">2. Desain Molekul Terarah: </w:t>
      </w:r>
      <w:r>
        <w:rPr>
          <w:rFonts w:ascii="Calibri" w:hAnsi="Calibri"/>
          <w:color w:val="0F172A"/>
          <w:sz w:val="22"/>
        </w:rPr>
        <w:t>Bagaimana merancang arsitektur AI generatif yang mampu menciptakan analog molekul baru (De Novo Design) yang otomatis memenuhi 5 aturan Drug-Likeness (Lipinski, Veber, Ghose, Egan, Muegge) dan memiliki kemudahan sintesis tinggi (SA Score &lt; 4.0)?</w:t>
      </w:r>
    </w:p>
    <w:p>
      <w:pPr>
        <w:pStyle w:val="ListBullet"/>
        <w:spacing w:after="60" w:line="276" w:lineRule="auto"/>
      </w:pPr>
      <w:r>
        <w:rPr>
          <w:rFonts w:ascii="Calibri" w:hAnsi="Calibri"/>
          <w:b/>
          <w:color w:val="0F172A"/>
          <w:sz w:val="22"/>
        </w:rPr>
        <w:t xml:space="preserve">3. Komprehensivitas ADMET: </w:t>
      </w:r>
      <w:r>
        <w:rPr>
          <w:rFonts w:ascii="Calibri" w:hAnsi="Calibri"/>
          <w:color w:val="0F172A"/>
          <w:sz w:val="22"/>
        </w:rPr>
        <w:t>Bagaimana mentransformasikan model ADMET bivariat BOILED-Egg klasik menjadi model prediktif multi-task deep learning yang mencakup profil metabolisme (CYP450) dan kardiotoksisitas (hERG)?</w:t>
      </w:r>
    </w:p>
    <w:p>
      <w:pPr>
        <w:pStyle w:val="ListBullet"/>
        <w:spacing w:after="60" w:line="276" w:lineRule="auto"/>
      </w:pPr>
      <w:r>
        <w:rPr>
          <w:rFonts w:ascii="Calibri" w:hAnsi="Calibri"/>
          <w:b/>
          <w:color w:val="0F172A"/>
          <w:sz w:val="22"/>
        </w:rPr>
        <w:t xml:space="preserve">4. Aksesibilitas Web-Native: </w:t>
      </w:r>
      <w:r>
        <w:rPr>
          <w:rFonts w:ascii="Calibri" w:hAnsi="Calibri"/>
          <w:color w:val="0F172A"/>
          <w:sz w:val="22"/>
        </w:rPr>
        <w:t>Bagaimana mengintegrasikan model deep learning berskala besar ke dalam platform web-native PharmaPulse 3D agar komputasi inferensi dapat berjalan di sisi klien (client-side) secara real-time tanpa latensi server?</w:t>
      </w:r>
    </w:p>
    <w:p>
      <w:pPr>
        <w:keepNext/>
        <w:spacing w:before="240" w:after="80"/>
      </w:pPr>
      <w:r>
        <w:rPr>
          <w:rFonts w:ascii="Arial" w:hAnsi="Arial"/>
          <w:b/>
          <w:color w:val="0F172A"/>
          <w:sz w:val="25"/>
        </w:rPr>
        <w:t>2.2 Tujuan Khusus Inovasi</w:t>
      </w:r>
    </w:p>
    <w:p>
      <w:pPr>
        <w:pStyle w:val="ListBullet"/>
        <w:spacing w:after="60" w:line="276" w:lineRule="auto"/>
      </w:pPr>
      <w:r>
        <w:rPr>
          <w:rFonts w:ascii="Calibri" w:hAnsi="Calibri"/>
          <w:b/>
          <w:color w:val="0F172A"/>
          <w:sz w:val="22"/>
        </w:rPr>
        <w:t xml:space="preserve">A. Pengembangan Deep QSAR: </w:t>
      </w:r>
      <w:r>
        <w:rPr>
          <w:rFonts w:ascii="Calibri" w:hAnsi="Calibri"/>
          <w:color w:val="0F172A"/>
          <w:sz w:val="22"/>
        </w:rPr>
        <w:t>Mengembangkan model Graph Attention Network (GAT) dan Transformer Kimia (ChemBERTa) untuk estimasi pIC50 dan energi bebas pengikatan (delta G) dengan koefisien determinasi R² &gt; 0.92.</w:t>
      </w:r>
    </w:p>
    <w:p>
      <w:pPr>
        <w:pStyle w:val="ListBullet"/>
        <w:spacing w:after="60" w:line="276" w:lineRule="auto"/>
      </w:pPr>
      <w:r>
        <w:rPr>
          <w:rFonts w:ascii="Calibri" w:hAnsi="Calibri"/>
          <w:b/>
          <w:color w:val="0F172A"/>
          <w:sz w:val="22"/>
        </w:rPr>
        <w:t xml:space="preserve">B. Arsitektur Generatif De Novo: </w:t>
      </w:r>
      <w:r>
        <w:rPr>
          <w:rFonts w:ascii="Calibri" w:hAnsi="Calibri"/>
          <w:color w:val="0F172A"/>
          <w:sz w:val="22"/>
        </w:rPr>
        <w:t>Membangun modul De Novo Generative Chem-AI berbasis SMILES-GPT untuk mendesain analog baru dari scaffold 28 senyawa terkurasi secara otomatis.</w:t>
      </w:r>
    </w:p>
    <w:p>
      <w:pPr>
        <w:pStyle w:val="ListBullet"/>
        <w:spacing w:after="60" w:line="276" w:lineRule="auto"/>
      </w:pPr>
      <w:r>
        <w:rPr>
          <w:rFonts w:ascii="Calibri" w:hAnsi="Calibri"/>
          <w:b/>
          <w:color w:val="0F172A"/>
          <w:sz w:val="22"/>
        </w:rPr>
        <w:t xml:space="preserve">C. Inovasi ADMET Multi-Task: </w:t>
      </w:r>
      <w:r>
        <w:rPr>
          <w:rFonts w:ascii="Calibri" w:hAnsi="Calibri"/>
          <w:color w:val="0F172A"/>
          <w:sz w:val="22"/>
        </w:rPr>
        <w:t>Meningkatkan model BOILED-Egg menjadi Deep-Egg Engine yang mengintegrasikan estimasi afinitas efflux transporter ABCB1 (P-gp) dan 5 isoform utama CYP450.</w:t>
      </w:r>
    </w:p>
    <w:p>
      <w:pPr>
        <w:pStyle w:val="ListBullet"/>
        <w:spacing w:after="60" w:line="276" w:lineRule="auto"/>
      </w:pPr>
      <w:r>
        <w:rPr>
          <w:rFonts w:ascii="Calibri" w:hAnsi="Calibri"/>
          <w:b/>
          <w:color w:val="0F172A"/>
          <w:sz w:val="22"/>
        </w:rPr>
        <w:t xml:space="preserve">D. Deployment WebAssembly Real-time: </w:t>
      </w:r>
      <w:r>
        <w:rPr>
          <w:rFonts w:ascii="Calibri" w:hAnsi="Calibri"/>
          <w:color w:val="0F172A"/>
          <w:sz w:val="22"/>
        </w:rPr>
        <w:t>Mengimplementasikan model terkompresi berbasis ONNX Web Runtime dan WebAssembly (Wasm) langsung pada browser PharmaPulse 3D.</w:t>
      </w:r>
    </w:p>
    <w:p>
      <w:pPr>
        <w:keepNext/>
        <w:spacing w:before="360" w:after="120"/>
        <w:pBdr>
          <w:bottom w:val="single" w:sz="12" w:space="4" w:color="0E7490"/>
        </w:pBdr>
      </w:pPr>
      <w:r>
        <w:rPr>
          <w:rFonts w:ascii="Arial" w:hAnsi="Arial"/>
          <w:b/>
          <w:color w:val="0E7490"/>
          <w:sz w:val="30"/>
        </w:rPr>
        <w:t>BAB III: DETAIL ARSITEKTUR &amp; INOVASI TEKNOLOGI AI</w:t>
      </w:r>
    </w:p>
    <w:p>
      <w:pPr>
        <w:spacing w:after="120" w:line="276" w:lineRule="auto"/>
      </w:pPr>
      <w:r>
        <w:rPr>
          <w:rFonts w:ascii="Calibri" w:hAnsi="Calibri"/>
          <w:color w:val="0F172A"/>
          <w:sz w:val="22"/>
        </w:rPr>
        <w:t>Arsitektur PharmaPulse AI 2.0 dirancang dengan pendekatan modular berbasis 4 pilar kecerdasan buatan utama yang saling terhubung:</w:t>
      </w:r>
    </w:p>
    <w:p>
      <w:pPr>
        <w:keepNext/>
        <w:spacing w:before="240" w:after="80"/>
      </w:pPr>
      <w:r>
        <w:rPr>
          <w:rFonts w:ascii="Arial" w:hAnsi="Arial"/>
          <w:b/>
          <w:color w:val="0F172A"/>
          <w:sz w:val="25"/>
        </w:rPr>
        <w:t>3.1 Modul 1: Generative De Novo Chem-AI (Mol-Transformer &amp; SMILES-GPT)</w:t>
      </w:r>
    </w:p>
    <w:p>
      <w:pPr>
        <w:spacing w:after="120" w:line="276" w:lineRule="auto"/>
      </w:pPr>
      <w:r>
        <w:rPr>
          <w:rFonts w:ascii="Calibri" w:hAnsi="Calibri"/>
          <w:color w:val="0F172A"/>
          <w:sz w:val="22"/>
        </w:rPr>
        <w:t>Modul ini bertindak sebagai 'arsitek kimia molekuler'. Menggunakan arsitektur Transformer decoder-only yang dilatih pada 100 juta string SMILES kanonikal PubChem dan ZINC20. Peneliti dapat menginputkan struktur inti (scaffold), misalnya inti flavonoid 2-phenylchromen-4-one atau inti artemisinin endoperoksida, lalu AI akan menghasilkan seri analog baru yang dioptimasi secara terarah (Goal-Directed Generation) menggunakan Reinforcement Learning from Chemical Feedback (RLCF). Fungsi reward dirancang ketat: memaksimalkan afinitas target, mempertahankan bioavailabilitas oral (Lipinski compliant), dan meminimalkan skor penalti sintesis (SA Score).</w:t>
      </w:r>
    </w:p>
    <w:p>
      <w:pPr>
        <w:keepNext/>
        <w:spacing w:before="240" w:after="80"/>
      </w:pPr>
      <w:r>
        <w:rPr>
          <w:rFonts w:ascii="Arial" w:hAnsi="Arial"/>
          <w:b/>
          <w:color w:val="0F172A"/>
          <w:sz w:val="25"/>
        </w:rPr>
        <w:t>3.2 Modul 2: 3D Graph Neural Network (GNN) Bioactivity Predictor</w:t>
      </w:r>
    </w:p>
    <w:p>
      <w:pPr>
        <w:spacing w:after="120" w:line="276" w:lineRule="auto"/>
      </w:pPr>
      <w:r>
        <w:rPr>
          <w:rFonts w:ascii="Calibri" w:hAnsi="Calibri"/>
          <w:color w:val="0F172A"/>
          <w:sz w:val="22"/>
        </w:rPr>
        <w:t>Berbeda dengan QSAR tradisional yang mereduksi molekul menjadi sekumpulan angka deskriptor fisikokimia 1D/2D, Graph Neural Networks (khususnya SchNet dan DimeNet++) memodelkan molekul sebagai graf spasial 3D G = (V, E, R), di mana: V adalah simpul atom (tipe atom, hibridisasi, muatan parsial), E adalah tepi ikatan kovalen, dan R adalah matriks jarak Euclidean koordinat 3D interatomik. GNN melakukan operasi Message Passing interatomik yang melestarikan invariansi rotasi dan translasi (E(3)-equivariance). Hasilnya adalah akurasi prediksi pIC50, nilai IC50 (nM), serta konstanta inhibisi Ki yang jauh lebih presisi dibandingkan regresi linier klasik.</w:t>
      </w:r>
    </w:p>
    <w:p>
      <w:pPr>
        <w:keepNext/>
        <w:spacing w:before="240" w:after="80"/>
      </w:pPr>
      <w:r>
        <w:rPr>
          <w:rFonts w:ascii="Arial" w:hAnsi="Arial"/>
          <w:b/>
          <w:color w:val="0F172A"/>
          <w:sz w:val="25"/>
        </w:rPr>
        <w:t>3.3 Modul 3: Deep-Egg &amp; Multi-Task ADMET-Tox Neural Network</w:t>
      </w:r>
    </w:p>
    <w:p>
      <w:pPr>
        <w:spacing w:after="120" w:line="276" w:lineRule="auto"/>
      </w:pPr>
      <w:r>
        <w:rPr>
          <w:rFonts w:ascii="Calibri" w:hAnsi="Calibri"/>
          <w:color w:val="0F172A"/>
          <w:sz w:val="22"/>
        </w:rPr>
        <w:t>PharmaPulse 3D saat ini telah memiliki visualisasi BOILED-Egg terstandar Daina &amp; Zoete yang memetakan WLogP vs TPSA. Inovasi AI ini meningkatkan kapabilitas tersebut menjadi Deep-Egg Multi-Task Predictor: jaringan saraf dalam (Deep Neural Network) dilatih secara simultan (multi-task learning) untuk memprediksi probabilitas absorpsi saluran cerna (HIA &gt; 80%), penembusan sawar darah otak (logBB), substrat maupun inhibitor P-glikoprotein (P-gp), penghambatan saluran kalium jantung hERG (risiko aritmia Torsades de Pointes), dan interaksi metabolisme fase I pada sitokrom P450 (CYP1A2, CYP2C9, CYP2C19, CYP2D6, CYP3A4).</w:t>
      </w:r>
    </w:p>
    <w:p>
      <w:pPr>
        <w:keepNext/>
        <w:spacing w:before="240" w:after="80"/>
      </w:pPr>
      <w:r>
        <w:rPr>
          <w:rFonts w:ascii="Arial" w:hAnsi="Arial"/>
          <w:b/>
          <w:color w:val="0F172A"/>
          <w:sz w:val="25"/>
        </w:rPr>
        <w:t>3.4 Modul 4: Knowledge Graph Reasoning untuk Drug Repurposing</w:t>
      </w:r>
    </w:p>
    <w:p>
      <w:pPr>
        <w:spacing w:after="120" w:line="276" w:lineRule="auto"/>
      </w:pPr>
      <w:r>
        <w:rPr>
          <w:rFonts w:ascii="Calibri" w:hAnsi="Calibri"/>
          <w:color w:val="0F172A"/>
          <w:sz w:val="22"/>
        </w:rPr>
        <w:t>Memanfaatkan teknik representasi Knowledge Graph Embeddings (TransE / RotatE), modul ini mengintegrasikan ontologi medisinal dari ChEMBL, UniProt, KEGG Pathway, Reactome, dan ClinicalTrials.gov. Sistem dapat menarik inferensi relasi ligan-target-penyakit baru yang belum terdokumentasi dalam pustaka konvensional, misalnya mengidentifikasi potensi antikanker kolorektal dari derivatif Artemisinin, atau efek neuroprotektif dari agonis incretin Sitagliptin.</w:t>
      </w:r>
    </w:p>
    <w:p>
      <w:pPr>
        <w:keepNext/>
        <w:spacing w:before="160" w:after="40"/>
      </w:pPr>
      <w:r>
        <w:rPr>
          <w:rFonts w:ascii="Arial" w:hAnsi="Arial"/>
          <w:b/>
          <w:color w:val="0E7490"/>
          <w:sz w:val="22"/>
        </w:rPr>
        <w:t>Tabel 3.1 Perbandingan Fitur: PharmaPulse 3D Eksisting vs PharmaPulse AI 2.0</w:t>
      </w:r>
    </w:p>
    <w:tbl>
      <w:tblPr>
        <w:tblW w:type="auto" w:w="0"/>
        <w:jc w:val="center"/>
        <w:tblLayout w:type="fixed"/>
        <w:tblLook w:firstColumn="1" w:firstRow="1" w:lastColumn="0" w:lastRow="0" w:noHBand="0" w:noVBand="1" w:val="04A0"/>
      </w:tblPr>
      <w:tblGrid>
        <w:gridCol w:w="2592"/>
        <w:gridCol w:w="3312"/>
        <w:gridCol w:w="3312"/>
      </w:tblGrid>
      <w:tr>
        <w:tc>
          <w:tcPr>
            <w:tcW w:type="dxa" w:w="3034"/>
            <w:shd w:fill="0E7490"/>
          </w:tcPr>
          <w:p>
            <w:pPr>
              <w:spacing w:before="80" w:after="80"/>
              <w:jc w:val="center"/>
            </w:pPr>
            <w:r>
              <w:rPr>
                <w:rFonts w:ascii="Arial" w:hAnsi="Arial"/>
                <w:b/>
                <w:color w:val="FFFFFF"/>
                <w:sz w:val="19"/>
              </w:rPr>
              <w:t>Dimensi Fitur</w:t>
            </w:r>
          </w:p>
        </w:tc>
        <w:tc>
          <w:tcPr>
            <w:tcW w:type="dxa" w:w="3034"/>
            <w:shd w:fill="0E7490"/>
          </w:tcPr>
          <w:p>
            <w:pPr>
              <w:spacing w:before="80" w:after="80"/>
              <w:jc w:val="center"/>
            </w:pPr>
            <w:r>
              <w:rPr>
                <w:rFonts w:ascii="Arial" w:hAnsi="Arial"/>
                <w:b/>
                <w:color w:val="FFFFFF"/>
                <w:sz w:val="19"/>
              </w:rPr>
              <w:t>PharmaPulse 3D (Eksisting)</w:t>
            </w:r>
          </w:p>
        </w:tc>
        <w:tc>
          <w:tcPr>
            <w:tcW w:type="dxa" w:w="3034"/>
            <w:shd w:fill="0E7490"/>
          </w:tcPr>
          <w:p>
            <w:pPr>
              <w:spacing w:before="80" w:after="80"/>
              <w:jc w:val="center"/>
            </w:pPr>
            <w:r>
              <w:rPr>
                <w:rFonts w:ascii="Arial" w:hAnsi="Arial"/>
                <w:b/>
                <w:color w:val="FFFFFF"/>
                <w:sz w:val="19"/>
              </w:rPr>
              <w:t>PharmaPulse AI 2.0 (Inovasi Diusulkan)</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Pemodelan QSAR</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Regresi Linier Multivariat empiris (R² ~ 0.85)</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Deep 3D-GNN &amp; ChemBERTa Non-Linier (Target R² &gt; 0.92)</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Eksplorasi Analog</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FastSimilarity 2D PubChem &amp; Master Curated Library</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Generative De Novo Molecular Transformer (SMILES-GPT)</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Evaluasi ADMET</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Bivariat BOILED-Egg Klasik (WLogP vs TPSA)</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Deep-Egg Multi-Task (HIA, BBB, P-gp, CYP450, hERG Cardiotox)</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Pencarian Target</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Database Kurasi Target &amp; Anotasi KEGG/Reactome</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AI Knowledge Graph Reasoning &amp; Repurposing Link Prediction</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Lingkungan Komputasi</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Client-side Vanilla JS &amp; REST API</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ONNX WebAssembly Edge-AI + Accelerated PyTorch Backend</w:t>
            </w:r>
          </w:p>
        </w:tc>
      </w:tr>
    </w:tbl>
    <w:p>
      <w:pPr>
        <w:spacing w:after="120"/>
      </w:pPr>
    </w:p>
    <w:p>
      <w:pPr>
        <w:keepNext/>
        <w:spacing w:before="360" w:after="120"/>
        <w:pBdr>
          <w:bottom w:val="single" w:sz="12" w:space="4" w:color="0E7490"/>
        </w:pBdr>
      </w:pPr>
      <w:r>
        <w:rPr>
          <w:rFonts w:ascii="Arial" w:hAnsi="Arial"/>
          <w:b/>
          <w:color w:val="0E7490"/>
          <w:sz w:val="30"/>
        </w:rPr>
        <w:t>BAB IV: METODOLOGI PENELITIAN &amp; VALIDASI SISTEM</w:t>
      </w:r>
    </w:p>
    <w:p>
      <w:pPr>
        <w:keepNext/>
        <w:spacing w:before="240" w:after="80"/>
      </w:pPr>
      <w:r>
        <w:rPr>
          <w:rFonts w:ascii="Arial" w:hAnsi="Arial"/>
          <w:b/>
          <w:color w:val="0F172A"/>
          <w:sz w:val="25"/>
        </w:rPr>
        <w:t>4.1 Pengumpulan dan Kurasi Korpus Data Kimia Medisinal</w:t>
      </w:r>
    </w:p>
    <w:p>
      <w:pPr>
        <w:spacing w:after="120" w:line="276" w:lineRule="auto"/>
      </w:pPr>
      <w:r>
        <w:rPr>
          <w:rFonts w:ascii="Calibri" w:hAnsi="Calibri"/>
          <w:color w:val="0F172A"/>
          <w:sz w:val="22"/>
        </w:rPr>
        <w:t>Data pelatihan model AI dihimpun dari repositori tervalidasi internasional: (1) ChEMBL 34 (berisi &gt;2,4 juta senyawa bioaktif dan &gt;15 juta hasil bioassay pengikatan enzimatis); (2) PubChem BioAssay (data aktivitas biologis terstandardisasi NIH); (3) PDBbind-cn versi 2024 (struktur kompleks kristalografi ligan-protein 3D dengan konstanta afinitas Kd, Ki, IC50); dan (4) Basis data senyawa herbal lokal Indonesia (Herb-Matrix &amp; Jamu-Database).</w:t>
      </w:r>
    </w:p>
    <w:p>
      <w:pPr>
        <w:keepNext/>
        <w:spacing w:before="240" w:after="80"/>
      </w:pPr>
      <w:r>
        <w:rPr>
          <w:rFonts w:ascii="Arial" w:hAnsi="Arial"/>
          <w:b/>
          <w:color w:val="0F172A"/>
          <w:sz w:val="25"/>
        </w:rPr>
        <w:t>4.2 Protokol Pelatihan, Validasi Silang, dan Scaffold Splitting</w:t>
      </w:r>
    </w:p>
    <w:p>
      <w:pPr>
        <w:spacing w:after="120" w:line="276" w:lineRule="auto"/>
      </w:pPr>
      <w:r>
        <w:rPr>
          <w:rFonts w:ascii="Calibri" w:hAnsi="Calibri"/>
          <w:color w:val="0F172A"/>
          <w:sz w:val="22"/>
        </w:rPr>
        <w:t>Untuk mencegah over-optimistic prediction (kebocoran kemiripan data uji), sistem menerapkan metode Bemis-Murcko Scaffold Splitting (rasio 80:10:10 untuk Train/Validation/Test). Metode ini menjamin bahwa molekul pada dataset uji memiliki kerangka inti (scaffold) yang benar-benar baru bagi model. Metrik performa yang dievaluasi mencakup Root Mean Squared Error (RMSE), Mean Absolute Error (MAE), Koefisien Determinasi (R²), serta Receiver Operating Characteristic - Area Under Curve (ROC-AUC) untuk klasifikasi toksisitas ADMET.</w:t>
      </w:r>
    </w:p>
    <w:p>
      <w:pPr>
        <w:keepNext/>
        <w:spacing w:before="240" w:after="80"/>
      </w:pPr>
      <w:r>
        <w:rPr>
          <w:rFonts w:ascii="Arial" w:hAnsi="Arial"/>
          <w:b/>
          <w:color w:val="0F172A"/>
          <w:sz w:val="25"/>
        </w:rPr>
        <w:t>4.3 Kasus Uji Penerapan (Application Case Studies)</w:t>
      </w:r>
    </w:p>
    <w:p>
      <w:pPr>
        <w:spacing w:after="120" w:line="276" w:lineRule="auto"/>
      </w:pPr>
      <w:r>
        <w:rPr>
          <w:rFonts w:ascii="Calibri" w:hAnsi="Calibri"/>
          <w:color w:val="0F172A"/>
          <w:sz w:val="22"/>
        </w:rPr>
        <w:t>Model AI yang dikembangkan akan diuji coba dan divalidasi pada dua domain terapeutik krusial yang selaras dengan data PharmaPulse 3D:</w:t>
      </w:r>
    </w:p>
    <w:p>
      <w:pPr>
        <w:pStyle w:val="ListBullet"/>
        <w:spacing w:after="60" w:line="276" w:lineRule="auto"/>
      </w:pPr>
      <w:r>
        <w:rPr>
          <w:rFonts w:ascii="Calibri" w:hAnsi="Calibri"/>
          <w:b/>
          <w:color w:val="0F172A"/>
          <w:sz w:val="22"/>
        </w:rPr>
        <w:t xml:space="preserve">Kasus Uji A: Desain Analog Fitoestrogen Tempe &amp; Kurkuminoid: </w:t>
      </w:r>
      <w:r>
        <w:rPr>
          <w:rFonts w:ascii="Calibri" w:hAnsi="Calibri"/>
          <w:color w:val="0F172A"/>
          <w:sz w:val="22"/>
        </w:rPr>
        <w:t>Melakukan diversifikasi analog virtual dari senyawa Genistein, Daidzein, Glycitein, dan Curcumin. AI ditugaskan menghasilkan turunan baru dengan afinitas ikatan selektif terhadap reseptor Estrogen Beta (ER-beta / ESR2) tanpa mengaktivasi reseptor Estrogen Alfa (ER-alpha) pemicu proliferasi sel kanker payudara, seraya mempertahankan bioavailabilitas oral tinggi.</w:t>
      </w:r>
    </w:p>
    <w:p>
      <w:pPr>
        <w:pStyle w:val="ListBullet"/>
        <w:spacing w:after="60" w:line="276" w:lineRule="auto"/>
      </w:pPr>
      <w:r>
        <w:rPr>
          <w:rFonts w:ascii="Calibri" w:hAnsi="Calibri"/>
          <w:b/>
          <w:color w:val="0F172A"/>
          <w:sz w:val="22"/>
        </w:rPr>
        <w:t xml:space="preserve">Kasus Uji B: Optimasi Senyawa Antivirus Pandemik: </w:t>
      </w:r>
      <w:r>
        <w:rPr>
          <w:rFonts w:ascii="Calibri" w:hAnsi="Calibri"/>
          <w:color w:val="0F172A"/>
          <w:sz w:val="22"/>
        </w:rPr>
        <w:t>Menggunakan scaffold Remdesivir (inti adenosin C-nukleosida) dan Oseltamivir (inti sikloheksena karboksilat). AI ditugaskan mendesain analog dengan skor Tanimoto 85-95% yang memiliki energi ikatan superior terhadap enzim RNA-Dependent RNA Polymerase (RdRp nsp12) dan Neuraminidase virus influenza, namun dengan waktu paruh eliminasi yang lebih panjang dan toksisitas sitoplasmik minimal.</w:t>
      </w:r>
    </w:p>
    <w:p>
      <w:pPr>
        <w:keepNext/>
        <w:spacing w:before="360" w:after="120"/>
        <w:pBdr>
          <w:bottom w:val="single" w:sz="12" w:space="4" w:color="0E7490"/>
        </w:pBdr>
      </w:pPr>
      <w:r>
        <w:rPr>
          <w:rFonts w:ascii="Arial" w:hAnsi="Arial"/>
          <w:b/>
          <w:color w:val="0E7490"/>
          <w:sz w:val="30"/>
        </w:rPr>
        <w:t>BAB V: RENCANA IMPLEMENTASI, ROADMAP &amp; ANGGARAN</w:t>
      </w:r>
    </w:p>
    <w:p>
      <w:pPr>
        <w:keepNext/>
        <w:spacing w:before="240" w:after="80"/>
      </w:pPr>
      <w:r>
        <w:rPr>
          <w:rFonts w:ascii="Arial" w:hAnsi="Arial"/>
          <w:b/>
          <w:color w:val="0F172A"/>
          <w:sz w:val="25"/>
        </w:rPr>
        <w:t>5.1 Rencana Kerja 12 Bulan (4 Fase Strategis)</w:t>
      </w:r>
    </w:p>
    <w:tbl>
      <w:tblPr>
        <w:tblW w:type="auto" w:w="0"/>
        <w:jc w:val="center"/>
        <w:tblLayout w:type="fixed"/>
        <w:tblLook w:firstColumn="1" w:firstRow="1" w:lastColumn="0" w:lastRow="0" w:noHBand="0" w:noVBand="1" w:val="04A0"/>
      </w:tblPr>
      <w:tblGrid>
        <w:gridCol w:w="1872"/>
        <w:gridCol w:w="3168"/>
        <w:gridCol w:w="4176"/>
      </w:tblGrid>
      <w:tr>
        <w:tc>
          <w:tcPr>
            <w:tcW w:type="dxa" w:w="3034"/>
            <w:shd w:fill="0E7490"/>
          </w:tcPr>
          <w:p>
            <w:pPr>
              <w:spacing w:before="80" w:after="80"/>
              <w:jc w:val="center"/>
            </w:pPr>
            <w:r>
              <w:rPr>
                <w:rFonts w:ascii="Arial" w:hAnsi="Arial"/>
                <w:b/>
                <w:color w:val="FFFFFF"/>
                <w:sz w:val="19"/>
              </w:rPr>
              <w:t>Fase / Waktu</w:t>
            </w:r>
          </w:p>
        </w:tc>
        <w:tc>
          <w:tcPr>
            <w:tcW w:type="dxa" w:w="3034"/>
            <w:shd w:fill="0E7490"/>
          </w:tcPr>
          <w:p>
            <w:pPr>
              <w:spacing w:before="80" w:after="80"/>
              <w:jc w:val="center"/>
            </w:pPr>
            <w:r>
              <w:rPr>
                <w:rFonts w:ascii="Arial" w:hAnsi="Arial"/>
                <w:b/>
                <w:color w:val="FFFFFF"/>
                <w:sz w:val="19"/>
              </w:rPr>
              <w:t>Fokus Aktivitas Utama</w:t>
            </w:r>
          </w:p>
        </w:tc>
        <w:tc>
          <w:tcPr>
            <w:tcW w:type="dxa" w:w="3034"/>
            <w:shd w:fill="0E7490"/>
          </w:tcPr>
          <w:p>
            <w:pPr>
              <w:spacing w:before="80" w:after="80"/>
              <w:jc w:val="center"/>
            </w:pPr>
            <w:r>
              <w:rPr>
                <w:rFonts w:ascii="Arial" w:hAnsi="Arial"/>
                <w:b/>
                <w:color w:val="FFFFFF"/>
                <w:sz w:val="19"/>
              </w:rPr>
              <w:t>Output / Milestone Target</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Fase I (Bulan 1 - 3)</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Pembersihan Data, Kurasi Database ChEMBL/PubChem &amp; Featurisasi 3D GNN</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Dataset terstandar (&gt;500.000 bioassay terkurasi), pipeline representasi graf molekuler</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Fase II (Bulan 4 - 6)</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Pelatihan Model 3D-GNN Bioactivity &amp; Multi-Task Deep-Egg ADMET</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Model terlatih dengan R² &gt; 0.90 pada QSAR, model Deep-Egg siap inferensi</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Fase III (Bulan 7 - 9)</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Pengembangan De Novo Generative Transformer &amp; Knowledge Graph Repurposing</w:t>
            </w:r>
          </w:p>
        </w:tc>
        <w:tc>
          <w:tcPr>
            <w:tcW w:type="dxa" w:w="3034"/>
            <w:shd w:fill="FFFFFF"/>
            <w:tcBorders>
              <w:top w:val="single" w:sz="4" w:space="0" w:color="CBD5E1"/>
              <w:bottom w:val="single" w:sz="4" w:space="0" w:color="CBD5E1"/>
            </w:tcBorders>
          </w:tcPr>
          <w:p>
            <w:pPr>
              <w:spacing w:before="60" w:after="60"/>
            </w:pPr>
            <w:r>
              <w:rPr>
                <w:rFonts w:ascii="Calibri" w:hAnsi="Calibri"/>
                <w:b w:val="0"/>
                <w:color w:val="0F172A"/>
                <w:sz w:val="19"/>
              </w:rPr>
              <w:t>Modul SMILES-GPT terintegrasi, generator analog berbantuan reinforcement learning</w:t>
            </w:r>
          </w:p>
        </w:tc>
      </w:tr>
      <w:tr>
        <w:tc>
          <w:tcPr>
            <w:tcW w:type="dxa" w:w="3034"/>
            <w:shd w:fill="F8FAFC"/>
            <w:tcBorders>
              <w:top w:val="single" w:sz="4" w:space="0" w:color="CBD5E1"/>
              <w:bottom w:val="single" w:sz="4" w:space="0" w:color="CBD5E1"/>
            </w:tcBorders>
          </w:tcPr>
          <w:p>
            <w:pPr>
              <w:spacing w:before="60" w:after="60"/>
            </w:pPr>
            <w:r>
              <w:rPr>
                <w:rFonts w:ascii="Calibri" w:hAnsi="Calibri"/>
                <w:b/>
                <w:color w:val="0F172A"/>
                <w:sz w:val="19"/>
              </w:rPr>
              <w:t>Fase IV (Bulan 10 - 12)</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Konversi Model ke ONNX WebAssembly, Uji Coba Klinis In Silico &amp; Pelaporan</w:t>
            </w:r>
          </w:p>
        </w:tc>
        <w:tc>
          <w:tcPr>
            <w:tcW w:type="dxa" w:w="3034"/>
            <w:shd w:fill="F8FAFC"/>
            <w:tcBorders>
              <w:top w:val="single" w:sz="4" w:space="0" w:color="CBD5E1"/>
              <w:bottom w:val="single" w:sz="4" w:space="0" w:color="CBD5E1"/>
            </w:tcBorders>
          </w:tcPr>
          <w:p>
            <w:pPr>
              <w:spacing w:before="60" w:after="60"/>
            </w:pPr>
            <w:r>
              <w:rPr>
                <w:rFonts w:ascii="Calibri" w:hAnsi="Calibri"/>
                <w:b w:val="0"/>
                <w:color w:val="0F172A"/>
                <w:sz w:val="19"/>
              </w:rPr>
              <w:t>PharmaPulse AI 2.0 terintegrasi penuh di browser, manuskrip publikasi jurnal Q1</w:t>
            </w:r>
          </w:p>
        </w:tc>
      </w:tr>
    </w:tbl>
    <w:p>
      <w:pPr>
        <w:spacing w:after="120"/>
      </w:pPr>
    </w:p>
    <w:p>
      <w:pPr>
        <w:keepNext/>
        <w:spacing w:before="240" w:after="80"/>
      </w:pPr>
      <w:r>
        <w:rPr>
          <w:rFonts w:ascii="Arial" w:hAnsi="Arial"/>
          <w:b/>
          <w:color w:val="0F172A"/>
          <w:sz w:val="25"/>
        </w:rPr>
        <w:t>5.2 Estimasi Anggaran Riset dan Pengembangan (RAB)</w:t>
      </w:r>
    </w:p>
    <w:p>
      <w:pPr>
        <w:spacing w:after="120" w:line="276" w:lineRule="auto"/>
      </w:pPr>
      <w:r>
        <w:rPr>
          <w:rFonts w:ascii="Calibri" w:hAnsi="Calibri"/>
          <w:color w:val="0F172A"/>
          <w:sz w:val="22"/>
        </w:rPr>
        <w:t>Total kebutuhan alokasi anggaran riset diestimasikan sebesar Rp 148.500.000,- dengan rincian pos strategis sebagai berikut:</w:t>
      </w:r>
    </w:p>
    <w:tbl>
      <w:tblPr>
        <w:tblW w:type="auto" w:w="0"/>
        <w:jc w:val="center"/>
        <w:tblLayout w:type="fixed"/>
        <w:tblLook w:firstColumn="1" w:firstRow="1" w:lastColumn="0" w:lastRow="0" w:noHBand="0" w:noVBand="1" w:val="04A0"/>
      </w:tblPr>
      <w:tblGrid>
        <w:gridCol w:w="1440"/>
        <w:gridCol w:w="5472"/>
        <w:gridCol w:w="2304"/>
      </w:tblGrid>
      <w:tr>
        <w:tc>
          <w:tcPr>
            <w:tcW w:type="dxa" w:w="3034"/>
            <w:shd w:fill="0E7490"/>
          </w:tcPr>
          <w:p>
            <w:pPr>
              <w:spacing w:before="80" w:after="80"/>
              <w:jc w:val="center"/>
            </w:pPr>
            <w:r>
              <w:rPr>
                <w:rFonts w:ascii="Arial" w:hAnsi="Arial"/>
                <w:b/>
                <w:color w:val="FFFFFF"/>
                <w:sz w:val="19"/>
              </w:rPr>
              <w:t>No</w:t>
            </w:r>
          </w:p>
        </w:tc>
        <w:tc>
          <w:tcPr>
            <w:tcW w:type="dxa" w:w="3034"/>
            <w:shd w:fill="0E7490"/>
          </w:tcPr>
          <w:p>
            <w:pPr>
              <w:spacing w:before="80" w:after="80"/>
              <w:jc w:val="left"/>
            </w:pPr>
            <w:r>
              <w:rPr>
                <w:rFonts w:ascii="Arial" w:hAnsi="Arial"/>
                <w:b/>
                <w:color w:val="FFFFFF"/>
                <w:sz w:val="19"/>
              </w:rPr>
              <w:t>Komponen Pembiayaan</w:t>
            </w:r>
          </w:p>
        </w:tc>
        <w:tc>
          <w:tcPr>
            <w:tcW w:type="dxa" w:w="3034"/>
            <w:shd w:fill="0E7490"/>
          </w:tcPr>
          <w:p>
            <w:pPr>
              <w:spacing w:before="80" w:after="80"/>
              <w:jc w:val="center"/>
            </w:pPr>
            <w:r>
              <w:rPr>
                <w:rFonts w:ascii="Arial" w:hAnsi="Arial"/>
                <w:b/>
                <w:color w:val="FFFFFF"/>
                <w:sz w:val="19"/>
              </w:rPr>
              <w:t>Alokasi (IDR)</w:t>
            </w:r>
          </w:p>
        </w:tc>
      </w:tr>
      <w:tr>
        <w:tc>
          <w:tcPr>
            <w:tcW w:type="dxa" w:w="3034"/>
            <w:shd w:fill="FFFFFF"/>
            <w:tcBorders>
              <w:top w:val="single" w:sz="4" w:space="0" w:color="CBD5E1"/>
              <w:bottom w:val="single" w:sz="4" w:space="0" w:color="CBD5E1"/>
            </w:tcBorders>
          </w:tcPr>
          <w:p>
            <w:pPr>
              <w:spacing w:before="60" w:after="60"/>
              <w:jc w:val="center"/>
            </w:pPr>
            <w:r>
              <w:rPr>
                <w:rFonts w:ascii="Calibri" w:hAnsi="Calibri"/>
                <w:b/>
                <w:color w:val="0F172A"/>
                <w:sz w:val="19"/>
              </w:rPr>
              <w:t>1</w:t>
            </w:r>
          </w:p>
        </w:tc>
        <w:tc>
          <w:tcPr>
            <w:tcW w:type="dxa" w:w="3034"/>
            <w:shd w:fill="FFFFFF"/>
            <w:tcBorders>
              <w:top w:val="single" w:sz="4" w:space="0" w:color="CBD5E1"/>
              <w:bottom w:val="single" w:sz="4" w:space="0" w:color="CBD5E1"/>
            </w:tcBorders>
          </w:tcPr>
          <w:p>
            <w:pPr>
              <w:spacing w:before="60" w:after="60"/>
              <w:jc w:val="left"/>
            </w:pPr>
            <w:r>
              <w:rPr>
                <w:rFonts w:ascii="Calibri" w:hAnsi="Calibri"/>
                <w:b w:val="0"/>
                <w:color w:val="0F172A"/>
                <w:sz w:val="19"/>
              </w:rPr>
              <w:t>Infrastruktur Komputasi Cloud GPU (NVIDIA A100 / H100 80GB Cloud Training Instance)</w:t>
            </w:r>
          </w:p>
        </w:tc>
        <w:tc>
          <w:tcPr>
            <w:tcW w:type="dxa" w:w="3034"/>
            <w:shd w:fill="FFFFFF"/>
            <w:tcBorders>
              <w:top w:val="single" w:sz="4" w:space="0" w:color="CBD5E1"/>
              <w:bottom w:val="single" w:sz="4" w:space="0" w:color="CBD5E1"/>
            </w:tcBorders>
          </w:tcPr>
          <w:p>
            <w:pPr>
              <w:spacing w:before="60" w:after="60"/>
              <w:jc w:val="right"/>
            </w:pPr>
            <w:r>
              <w:rPr>
                <w:rFonts w:ascii="Calibri" w:hAnsi="Calibri"/>
                <w:b/>
                <w:color w:val="0F172A"/>
                <w:sz w:val="19"/>
              </w:rPr>
              <w:t>Rp 48.000.000,-</w:t>
            </w:r>
          </w:p>
        </w:tc>
      </w:tr>
      <w:tr>
        <w:tc>
          <w:tcPr>
            <w:tcW w:type="dxa" w:w="3034"/>
            <w:shd w:fill="F8FAFC"/>
            <w:tcBorders>
              <w:top w:val="single" w:sz="4" w:space="0" w:color="CBD5E1"/>
              <w:bottom w:val="single" w:sz="4" w:space="0" w:color="CBD5E1"/>
            </w:tcBorders>
          </w:tcPr>
          <w:p>
            <w:pPr>
              <w:spacing w:before="60" w:after="60"/>
              <w:jc w:val="center"/>
            </w:pPr>
            <w:r>
              <w:rPr>
                <w:rFonts w:ascii="Calibri" w:hAnsi="Calibri"/>
                <w:b/>
                <w:color w:val="0F172A"/>
                <w:sz w:val="19"/>
              </w:rPr>
              <w:t>2</w:t>
            </w:r>
          </w:p>
        </w:tc>
        <w:tc>
          <w:tcPr>
            <w:tcW w:type="dxa" w:w="3034"/>
            <w:shd w:fill="F8FAFC"/>
            <w:tcBorders>
              <w:top w:val="single" w:sz="4" w:space="0" w:color="CBD5E1"/>
              <w:bottom w:val="single" w:sz="4" w:space="0" w:color="CBD5E1"/>
            </w:tcBorders>
          </w:tcPr>
          <w:p>
            <w:pPr>
              <w:spacing w:before="60" w:after="60"/>
              <w:jc w:val="left"/>
            </w:pPr>
            <w:r>
              <w:rPr>
                <w:rFonts w:ascii="Calibri" w:hAnsi="Calibri"/>
                <w:b w:val="0"/>
                <w:color w:val="0F172A"/>
                <w:sz w:val="19"/>
              </w:rPr>
              <w:t>Akses Database Lisensi &amp; Pustaka Kimia Medisinal Spesifik (ChEMBL, CSD, SwissParam)</w:t>
            </w:r>
          </w:p>
        </w:tc>
        <w:tc>
          <w:tcPr>
            <w:tcW w:type="dxa" w:w="3034"/>
            <w:shd w:fill="F8FAFC"/>
            <w:tcBorders>
              <w:top w:val="single" w:sz="4" w:space="0" w:color="CBD5E1"/>
              <w:bottom w:val="single" w:sz="4" w:space="0" w:color="CBD5E1"/>
            </w:tcBorders>
          </w:tcPr>
          <w:p>
            <w:pPr>
              <w:spacing w:before="60" w:after="60"/>
              <w:jc w:val="right"/>
            </w:pPr>
            <w:r>
              <w:rPr>
                <w:rFonts w:ascii="Calibri" w:hAnsi="Calibri"/>
                <w:b/>
                <w:color w:val="0F172A"/>
                <w:sz w:val="19"/>
              </w:rPr>
              <w:t>Rp 22.500.000,-</w:t>
            </w:r>
          </w:p>
        </w:tc>
      </w:tr>
      <w:tr>
        <w:tc>
          <w:tcPr>
            <w:tcW w:type="dxa" w:w="3034"/>
            <w:shd w:fill="FFFFFF"/>
            <w:tcBorders>
              <w:top w:val="single" w:sz="4" w:space="0" w:color="CBD5E1"/>
              <w:bottom w:val="single" w:sz="4" w:space="0" w:color="CBD5E1"/>
            </w:tcBorders>
          </w:tcPr>
          <w:p>
            <w:pPr>
              <w:spacing w:before="60" w:after="60"/>
              <w:jc w:val="center"/>
            </w:pPr>
            <w:r>
              <w:rPr>
                <w:rFonts w:ascii="Calibri" w:hAnsi="Calibri"/>
                <w:b/>
                <w:color w:val="0F172A"/>
                <w:sz w:val="19"/>
              </w:rPr>
              <w:t>3</w:t>
            </w:r>
          </w:p>
        </w:tc>
        <w:tc>
          <w:tcPr>
            <w:tcW w:type="dxa" w:w="3034"/>
            <w:shd w:fill="FFFFFF"/>
            <w:tcBorders>
              <w:top w:val="single" w:sz="4" w:space="0" w:color="CBD5E1"/>
              <w:bottom w:val="single" w:sz="4" w:space="0" w:color="CBD5E1"/>
            </w:tcBorders>
          </w:tcPr>
          <w:p>
            <w:pPr>
              <w:spacing w:before="60" w:after="60"/>
              <w:jc w:val="left"/>
            </w:pPr>
            <w:r>
              <w:rPr>
                <w:rFonts w:ascii="Calibri" w:hAnsi="Calibri"/>
                <w:b w:val="0"/>
                <w:color w:val="0F172A"/>
                <w:sz w:val="19"/>
              </w:rPr>
              <w:t>Pengembangan Antarmuka WebAssembly, Cloud Server Hosting &amp; Keamanan Siber</w:t>
            </w:r>
          </w:p>
        </w:tc>
        <w:tc>
          <w:tcPr>
            <w:tcW w:type="dxa" w:w="3034"/>
            <w:shd w:fill="FFFFFF"/>
            <w:tcBorders>
              <w:top w:val="single" w:sz="4" w:space="0" w:color="CBD5E1"/>
              <w:bottom w:val="single" w:sz="4" w:space="0" w:color="CBD5E1"/>
            </w:tcBorders>
          </w:tcPr>
          <w:p>
            <w:pPr>
              <w:spacing w:before="60" w:after="60"/>
              <w:jc w:val="right"/>
            </w:pPr>
            <w:r>
              <w:rPr>
                <w:rFonts w:ascii="Calibri" w:hAnsi="Calibri"/>
                <w:b/>
                <w:color w:val="0F172A"/>
                <w:sz w:val="19"/>
              </w:rPr>
              <w:t>Rp 28.000.000,-</w:t>
            </w:r>
          </w:p>
        </w:tc>
      </w:tr>
      <w:tr>
        <w:tc>
          <w:tcPr>
            <w:tcW w:type="dxa" w:w="3034"/>
            <w:shd w:fill="F8FAFC"/>
            <w:tcBorders>
              <w:top w:val="single" w:sz="4" w:space="0" w:color="CBD5E1"/>
              <w:bottom w:val="single" w:sz="4" w:space="0" w:color="CBD5E1"/>
            </w:tcBorders>
          </w:tcPr>
          <w:p>
            <w:pPr>
              <w:spacing w:before="60" w:after="60"/>
              <w:jc w:val="center"/>
            </w:pPr>
            <w:r>
              <w:rPr>
                <w:rFonts w:ascii="Calibri" w:hAnsi="Calibri"/>
                <w:b/>
                <w:color w:val="0F172A"/>
                <w:sz w:val="19"/>
              </w:rPr>
              <w:t>4</w:t>
            </w:r>
          </w:p>
        </w:tc>
        <w:tc>
          <w:tcPr>
            <w:tcW w:type="dxa" w:w="3034"/>
            <w:shd w:fill="F8FAFC"/>
            <w:tcBorders>
              <w:top w:val="single" w:sz="4" w:space="0" w:color="CBD5E1"/>
              <w:bottom w:val="single" w:sz="4" w:space="0" w:color="CBD5E1"/>
            </w:tcBorders>
          </w:tcPr>
          <w:p>
            <w:pPr>
              <w:spacing w:before="60" w:after="60"/>
              <w:jc w:val="left"/>
            </w:pPr>
            <w:r>
              <w:rPr>
                <w:rFonts w:ascii="Calibri" w:hAnsi="Calibri"/>
                <w:b w:val="0"/>
                <w:color w:val="0F172A"/>
                <w:sz w:val="19"/>
              </w:rPr>
              <w:t>Biaya Publikasi Ilmiah Internasional Bereputasi (Open Access Scopus Q1/Q2)</w:t>
            </w:r>
          </w:p>
        </w:tc>
        <w:tc>
          <w:tcPr>
            <w:tcW w:type="dxa" w:w="3034"/>
            <w:shd w:fill="F8FAFC"/>
            <w:tcBorders>
              <w:top w:val="single" w:sz="4" w:space="0" w:color="CBD5E1"/>
              <w:bottom w:val="single" w:sz="4" w:space="0" w:color="CBD5E1"/>
            </w:tcBorders>
          </w:tcPr>
          <w:p>
            <w:pPr>
              <w:spacing w:before="60" w:after="60"/>
              <w:jc w:val="right"/>
            </w:pPr>
            <w:r>
              <w:rPr>
                <w:rFonts w:ascii="Calibri" w:hAnsi="Calibri"/>
                <w:b/>
                <w:color w:val="0F172A"/>
                <w:sz w:val="19"/>
              </w:rPr>
              <w:t>Rp 35.000.000,-</w:t>
            </w:r>
          </w:p>
        </w:tc>
      </w:tr>
      <w:tr>
        <w:tc>
          <w:tcPr>
            <w:tcW w:type="dxa" w:w="3034"/>
            <w:shd w:fill="FFFFFF"/>
            <w:tcBorders>
              <w:top w:val="single" w:sz="4" w:space="0" w:color="CBD5E1"/>
              <w:bottom w:val="single" w:sz="4" w:space="0" w:color="CBD5E1"/>
            </w:tcBorders>
          </w:tcPr>
          <w:p>
            <w:pPr>
              <w:spacing w:before="60" w:after="60"/>
              <w:jc w:val="center"/>
            </w:pPr>
            <w:r>
              <w:rPr>
                <w:rFonts w:ascii="Calibri" w:hAnsi="Calibri"/>
                <w:b/>
                <w:color w:val="0F172A"/>
                <w:sz w:val="19"/>
              </w:rPr>
              <w:t>5</w:t>
            </w:r>
          </w:p>
        </w:tc>
        <w:tc>
          <w:tcPr>
            <w:tcW w:type="dxa" w:w="3034"/>
            <w:shd w:fill="FFFFFF"/>
            <w:tcBorders>
              <w:top w:val="single" w:sz="4" w:space="0" w:color="CBD5E1"/>
              <w:bottom w:val="single" w:sz="4" w:space="0" w:color="CBD5E1"/>
            </w:tcBorders>
          </w:tcPr>
          <w:p>
            <w:pPr>
              <w:spacing w:before="60" w:after="60"/>
              <w:jc w:val="left"/>
            </w:pPr>
            <w:r>
              <w:rPr>
                <w:rFonts w:ascii="Calibri" w:hAnsi="Calibri"/>
                <w:b w:val="0"/>
                <w:color w:val="0F172A"/>
                <w:sz w:val="19"/>
              </w:rPr>
              <w:t>Pendaftaran Hak Cipta Perangkat Lunak (HKI Kemenkumham RI) &amp; Diseminasi Seminar</w:t>
            </w:r>
          </w:p>
        </w:tc>
        <w:tc>
          <w:tcPr>
            <w:tcW w:type="dxa" w:w="3034"/>
            <w:shd w:fill="FFFFFF"/>
            <w:tcBorders>
              <w:top w:val="single" w:sz="4" w:space="0" w:color="CBD5E1"/>
              <w:bottom w:val="single" w:sz="4" w:space="0" w:color="CBD5E1"/>
            </w:tcBorders>
          </w:tcPr>
          <w:p>
            <w:pPr>
              <w:spacing w:before="60" w:after="60"/>
              <w:jc w:val="right"/>
            </w:pPr>
            <w:r>
              <w:rPr>
                <w:rFonts w:ascii="Calibri" w:hAnsi="Calibri"/>
                <w:b/>
                <w:color w:val="0F172A"/>
                <w:sz w:val="19"/>
              </w:rPr>
              <w:t>Rp 15.000.000,-</w:t>
            </w:r>
          </w:p>
        </w:tc>
      </w:tr>
    </w:tbl>
    <w:p>
      <w:pPr>
        <w:spacing w:after="120"/>
      </w:pPr>
    </w:p>
    <w:p>
      <w:pPr>
        <w:keepNext/>
        <w:spacing w:before="360" w:after="120"/>
        <w:pBdr>
          <w:bottom w:val="single" w:sz="12" w:space="4" w:color="0E7490"/>
        </w:pBdr>
      </w:pPr>
      <w:r>
        <w:rPr>
          <w:rFonts w:ascii="Arial" w:hAnsi="Arial"/>
          <w:b/>
          <w:color w:val="0E7490"/>
          <w:sz w:val="30"/>
        </w:rPr>
        <w:t>BAB VI: TARGET LUARAN, DAMPAK ILMIAH DAN SOSIAL-EKONOMI</w:t>
      </w:r>
    </w:p>
    <w:p>
      <w:pPr>
        <w:keepNext/>
        <w:spacing w:before="240" w:after="80"/>
      </w:pPr>
      <w:r>
        <w:rPr>
          <w:rFonts w:ascii="Arial" w:hAnsi="Arial"/>
          <w:b/>
          <w:color w:val="0F172A"/>
          <w:sz w:val="25"/>
        </w:rPr>
        <w:t>6.1 Target Luaran Riset</w:t>
      </w:r>
    </w:p>
    <w:p>
      <w:pPr>
        <w:pStyle w:val="ListBullet"/>
        <w:spacing w:after="60" w:line="276" w:lineRule="auto"/>
      </w:pPr>
      <w:r>
        <w:rPr>
          <w:rFonts w:ascii="Calibri" w:hAnsi="Calibri"/>
          <w:b/>
          <w:color w:val="0F172A"/>
          <w:sz w:val="22"/>
        </w:rPr>
        <w:t xml:space="preserve">1. Publikasi Internasional Scopus Q1: </w:t>
      </w:r>
      <w:r>
        <w:rPr>
          <w:rFonts w:ascii="Calibri" w:hAnsi="Calibri"/>
          <w:color w:val="0F172A"/>
          <w:sz w:val="22"/>
        </w:rPr>
        <w:t>1 (satu) artikel ilmiah pada jurnal internasional bereputasi tinggi terindeks Scopus Q1 (misal: Journal of Medicinal Chemistry, Journal of Chemical Information and Modeling, atau Nature Machine Intelligence).</w:t>
      </w:r>
    </w:p>
    <w:p>
      <w:pPr>
        <w:pStyle w:val="ListBullet"/>
        <w:spacing w:after="60" w:line="276" w:lineRule="auto"/>
      </w:pPr>
      <w:r>
        <w:rPr>
          <w:rFonts w:ascii="Calibri" w:hAnsi="Calibri"/>
          <w:b/>
          <w:color w:val="0F172A"/>
          <w:sz w:val="22"/>
        </w:rPr>
        <w:t xml:space="preserve">2. Hak Cipta Program Komputer (HKI): </w:t>
      </w:r>
      <w:r>
        <w:rPr>
          <w:rFonts w:ascii="Calibri" w:hAnsi="Calibri"/>
          <w:color w:val="0F172A"/>
          <w:sz w:val="22"/>
        </w:rPr>
        <w:t>Sertifikat Hak Cipta Perangkat Lunak Resmi dari Direktorat Jenderal Kekayaan Intelektual (DJKI) Kemenkumham RI untuk sistem 'PharmaPulse AI 2.0'.</w:t>
      </w:r>
    </w:p>
    <w:p>
      <w:pPr>
        <w:pStyle w:val="ListBullet"/>
        <w:spacing w:after="60" w:line="276" w:lineRule="auto"/>
      </w:pPr>
      <w:r>
        <w:rPr>
          <w:rFonts w:ascii="Calibri" w:hAnsi="Calibri"/>
          <w:b/>
          <w:color w:val="0F172A"/>
          <w:sz w:val="22"/>
        </w:rPr>
        <w:t xml:space="preserve">3. Prototipe Operasional TRL 7-8: </w:t>
      </w:r>
      <w:r>
        <w:rPr>
          <w:rFonts w:ascii="Calibri" w:hAnsi="Calibri"/>
          <w:color w:val="0F172A"/>
          <w:sz w:val="22"/>
        </w:rPr>
        <w:t>Platform web siap pakai berkecepatan tinggi yang dapat diakses bebas oleh mahasiswa, dosen, dan peneliti farmasi di seluruh Indonesia.</w:t>
      </w:r>
    </w:p>
    <w:p>
      <w:pPr>
        <w:keepNext/>
        <w:spacing w:before="240" w:after="80"/>
      </w:pPr>
      <w:r>
        <w:rPr>
          <w:rFonts w:ascii="Arial" w:hAnsi="Arial"/>
          <w:b/>
          <w:color w:val="0F172A"/>
          <w:sz w:val="25"/>
        </w:rPr>
        <w:t>6.2 Dampak Ilmiah &amp; Sosial-Ekonomi</w:t>
      </w:r>
    </w:p>
    <w:p>
      <w:pPr>
        <w:spacing w:after="120" w:line="276" w:lineRule="auto"/>
      </w:pPr>
      <w:r>
        <w:rPr>
          <w:rFonts w:ascii="Calibri" w:hAnsi="Calibri"/>
          <w:color w:val="0F172A"/>
          <w:sz w:val="22"/>
        </w:rPr>
        <w:t>Secara ilmiah, inovasi ini menempatkan Indonesia pada peta terdepan riset Artificial Intelligence in Medicine. Secara ekonomi dan sosial, pemanfaatan platform ini mampu menekan biaya eksplorasi kandidat obat hingga &gt;60%, mempercepat penemuan terapi baru bagi penyakit menular dan degeneratif, serta membuka jalan bagi komersialisasi molekuler berbasis keanekaragaman hayati nusantara (seperti isolat tempe dan temulawak) menjadi obat herbal terstandar maupun fitofarmaka tingkat lanjut.</w:t>
      </w:r>
    </w:p>
    <w:p>
      <w:pPr>
        <w:keepNext/>
        <w:spacing w:before="360" w:after="120"/>
        <w:pBdr>
          <w:bottom w:val="single" w:sz="12" w:space="4" w:color="0E7490"/>
        </w:pBdr>
      </w:pPr>
      <w:r>
        <w:rPr>
          <w:rFonts w:ascii="Arial" w:hAnsi="Arial"/>
          <w:b/>
          <w:color w:val="0E7490"/>
          <w:sz w:val="30"/>
        </w:rPr>
        <w:t>BAB VII: KESIMPULAN DAN PENUTUP</w:t>
      </w:r>
    </w:p>
    <w:p>
      <w:pPr>
        <w:spacing w:after="120" w:line="276" w:lineRule="auto"/>
      </w:pPr>
      <w:r>
        <w:rPr>
          <w:rFonts w:ascii="Calibri" w:hAnsi="Calibri"/>
          <w:color w:val="0F172A"/>
          <w:sz w:val="22"/>
        </w:rPr>
        <w:t>Platform PharmaPulse 3D telah meletakkan landasan komputasional yang kokoh dalam analisis CADD web-native. Melalui proposal inovasi ini, integrasi Deep Graph Neural Networks (GNN), Generative Chemical Transformer, dan Multi-Task ADMET Deep-Egg akan mentransformasikan platform ini menjadi solusi kecerdasan buatan terlengkap dan tercanggih di bidang kimia medisinal di tanah air. Dukungan terhadap realisasi proposal inovasi ini akan memberikan lompatan besar bagi akselerasi riset kefarmasian, kemandirian bahan baku obat nasional, dan kemajuan ilmu pengetahuan Indonesia di kancah global.</w:t>
      </w:r>
    </w:p>
    <w:p>
      <w:pPr>
        <w:keepNext/>
        <w:spacing w:before="360" w:after="120"/>
        <w:pBdr>
          <w:bottom w:val="single" w:sz="12" w:space="4" w:color="0E7490"/>
        </w:pBdr>
      </w:pPr>
      <w:r>
        <w:rPr>
          <w:rFonts w:ascii="Arial" w:hAnsi="Arial"/>
          <w:b/>
          <w:color w:val="0E7490"/>
          <w:sz w:val="30"/>
        </w:rPr>
        <w:t>DAFTAR PUSTAKA ACUAN</w:t>
      </w:r>
    </w:p>
    <w:p>
      <w:pPr>
        <w:spacing w:after="80" w:line="276" w:lineRule="auto"/>
        <w:ind w:left="576" w:hanging="576"/>
      </w:pPr>
      <w:r>
        <w:rPr>
          <w:rFonts w:ascii="Calibri" w:hAnsi="Calibri"/>
          <w:color w:val="0F172A"/>
          <w:sz w:val="20"/>
        </w:rPr>
        <w:t>Daina, A., &amp; Zoete, V. (2016). A BOILED-Egg to predict gastrointestinal absorption and brain penetration of small molecules. ChemMedChem, 11(11), 1117-1121.</w:t>
      </w:r>
    </w:p>
    <w:p>
      <w:pPr>
        <w:spacing w:after="80" w:line="276" w:lineRule="auto"/>
        <w:ind w:left="576" w:hanging="576"/>
      </w:pPr>
      <w:r>
        <w:rPr>
          <w:rFonts w:ascii="Calibri" w:hAnsi="Calibri"/>
          <w:color w:val="0F172A"/>
          <w:sz w:val="20"/>
        </w:rPr>
        <w:t>Lipinski, C. A., Lombardo, F., Dominy, B. W., &amp; Feeney, P. J. (2001). Experimental and computational approaches to estimate solubility and permeability in drug discovery and development settings. Advanced Drug Delivery Reviews, 46(1-3), 3-26.</w:t>
      </w:r>
    </w:p>
    <w:p>
      <w:pPr>
        <w:spacing w:after="80" w:line="276" w:lineRule="auto"/>
        <w:ind w:left="576" w:hanging="576"/>
      </w:pPr>
      <w:r>
        <w:rPr>
          <w:rFonts w:ascii="Calibri" w:hAnsi="Calibri"/>
          <w:color w:val="0F172A"/>
          <w:sz w:val="20"/>
        </w:rPr>
        <w:t>Veber, D. F., Johnson, S. R., Cheng, H. Y., Smith, B. R., Ward, K. W., &amp; Kopple, K. D. (2002). Molecular properties that influence the oral bioavailability of drug candidates. Journal of Medicinal Chemistry, 45(12), 2615-2623.</w:t>
      </w:r>
    </w:p>
    <w:p>
      <w:pPr>
        <w:spacing w:after="80" w:line="276" w:lineRule="auto"/>
        <w:ind w:left="576" w:hanging="576"/>
      </w:pPr>
      <w:r>
        <w:rPr>
          <w:rFonts w:ascii="Calibri" w:hAnsi="Calibri"/>
          <w:color w:val="0F172A"/>
          <w:sz w:val="20"/>
        </w:rPr>
        <w:t>Schütt, K. T., Sauceda, H. E., Kindermans, P. J., Tkatchenko, A., &amp; Müller, K. R. (2018). SchNet–A deep learning architecture for molecules and materials. The Journal of Chemical Physics, 148(24), 241722.</w:t>
      </w:r>
    </w:p>
    <w:p>
      <w:pPr>
        <w:spacing w:after="80" w:line="276" w:lineRule="auto"/>
        <w:ind w:left="576" w:hanging="576"/>
      </w:pPr>
      <w:r>
        <w:rPr>
          <w:rFonts w:ascii="Calibri" w:hAnsi="Calibri"/>
          <w:color w:val="0F172A"/>
          <w:sz w:val="20"/>
        </w:rPr>
        <w:t>Rogers, D., &amp; Hahn, M. (2010). Extended-connectivity fingerprints. Journal of Chemical Information and Modeling, 50(5), 742-754.</w:t>
      </w:r>
    </w:p>
    <w:p>
      <w:pPr>
        <w:spacing w:after="80" w:line="276" w:lineRule="auto"/>
        <w:ind w:left="576" w:hanging="576"/>
      </w:pPr>
      <w:r>
        <w:rPr>
          <w:rFonts w:ascii="Calibri" w:hAnsi="Calibri"/>
          <w:color w:val="0F172A"/>
          <w:sz w:val="20"/>
        </w:rPr>
        <w:t>Gaulton, A., et al. (2017). The ChEMBL database in 2017. Nucleic Acids Research, 45(D1), D945-D954.</w:t>
      </w:r>
    </w:p>
    <w:p>
      <w:pPr>
        <w:spacing w:after="80" w:line="276" w:lineRule="auto"/>
        <w:ind w:left="576" w:hanging="576"/>
      </w:pPr>
      <w:r>
        <w:rPr>
          <w:rFonts w:ascii="Calibri" w:hAnsi="Calibri"/>
          <w:color w:val="0F172A"/>
          <w:sz w:val="20"/>
        </w:rPr>
        <w:t>Kim, S., et al. (2023). PubChem 2023 update. Nucleic Acids Research, 51(D1), D1373-D1380.</w:t>
      </w:r>
    </w:p>
    <w:p>
      <w:pPr>
        <w:spacing w:after="80" w:line="276" w:lineRule="auto"/>
        <w:ind w:left="576" w:hanging="576"/>
      </w:pPr>
      <w:r>
        <w:rPr>
          <w:rFonts w:ascii="Calibri" w:hAnsi="Calibri"/>
          <w:color w:val="0F172A"/>
          <w:sz w:val="20"/>
        </w:rPr>
        <w:t>Ertl, P., &amp; Schuffenhauer, A. (2009). Estimation of synthetic accessibility score of drug-like molecules based on molecular complexity and fragment contributions. Journal of Cheminformatics, 1(1), 1-11.</w:t>
      </w:r>
    </w:p>
    <w:sectPr w:rsidR="00FC693F" w:rsidRPr="0006063C" w:rsidSect="00034616">
      <w:headerReference w:type="default" r:id="rId9"/>
      <w:footerReference w:type="default" r:id="rId10"/>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Halaman Resmi Proposal Inovasi AI | Pengembang: Novarani (2506713864)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PROPOSAL INOVASI AI – PHARMAPULSE 3D | KIMIA MEDISINAL LANJUT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