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Терминал для торговли спредами</w:t>
      </w:r>
    </w:p>
    <w:p>
      <w:pPr>
        <w:spacing w:after="400"/>
      </w:pPr>
      <w:r>
        <w:rPr>
          <w:color w:val="5F5E5A"/>
          <w:sz w:val="24"/>
          <w:szCs w:val="24"/>
        </w:rPr>
        <w:t xml:space="preserve">Архитектура, безопасность и требования к серверу</w:t>
      </w:r>
    </w:p>
    <w:p>
      <w:pPr>
        <w:pStyle w:val="Heading1"/>
        <w:spacing w:after="150" w:before="300"/>
      </w:pPr>
      <w:r>
        <w:t xml:space="preserve">Архитектура: два независимых слоя</w:t>
      </w:r>
    </w:p>
    <w:p>
      <w:pPr>
        <w:spacing w:after="160"/>
      </w:pPr>
      <w:r>
        <w:t xml:space="preserve">Систему стоит разделить на два принципиально разных слоя, потому что они по-разному нагружают сервер и по-разному масштабируются.</w:t>
      </w:r>
    </w:p>
    <w:p>
      <w:pPr>
        <w:pStyle w:val="Heading2"/>
        <w:spacing w:after="120" w:before="240"/>
      </w:pPr>
      <w:r>
        <w:t xml:space="preserve">1. Общий слой рыночных данных</w:t>
      </w:r>
    </w:p>
    <w:p>
      <w:pPr>
        <w:spacing w:after="160"/>
      </w:pPr>
      <w:r>
        <w:t xml:space="preserve">WebSocket-подключения к 6 биржам (ByBit, MEXC, Bitget, BingX, Gate, OKX) — один набор подключений на всех пользователей, а не на каждого отдельно. Здесь же считается спред по каждой паре монет в реальном времени. Этот слой не растёт с числом пользователей: что для 25 человек, что для 1000 — нагрузка та же.</w:t>
      </w:r>
    </w:p>
    <w:p>
      <w:pPr>
        <w:pStyle w:val="Heading2"/>
        <w:spacing w:after="120" w:before="240"/>
      </w:pPr>
      <w:r>
        <w:t xml:space="preserve">2. Изолированный слой исполнения — на каждого пользователя</w:t>
      </w:r>
    </w:p>
    <w:p>
      <w:pPr>
        <w:spacing w:after="160"/>
      </w:pPr>
      <w:r>
        <w:t xml:space="preserve">Когда скринер находит подходящую пару под фильтры конкретного пользователя, сервер от его имени и его собственными API-ключами отправляет лонг и шорт ордера. Этот слой растёт линейно с числом пользователей, но состоит из лёгких, редких REST-запросов (открыть/закрыть позицию), а не постоянной нагрузки.</w:t>
      </w:r>
    </w:p>
    <w:p>
      <w:pPr>
        <w:pStyle w:val="Heading1"/>
        <w:spacing w:after="150" w:before="300"/>
      </w:pPr>
      <w:r>
        <w:t xml:space="preserve">Как это работает для одного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в Mini App выбирает фильтры: монеты, минимальный спред, объём, плечо, риск на сделку — и один раз подключает API-ключи с бирж.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Ключи шифруются и хранятся на сервере — никогда не отображаются в открытом виде в интерфейсе.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Ключи создаются с правами только на торговлю, без права вывода средств, и с IP-whitelist на IP сервера — это стандартная опция у всех шести бирж и обязательный шаг при подключении.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Когда скринер находит подходящую возможность — сервер открывает лонг и шорт ордера от имени пользователя, его ключами.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Сервер сам мониторит открытую позицию и закрывает её при схождении цен или срабатывании риск-условий.</w:t>
      </w:r>
    </w:p>
    <w:p>
      <w:pPr>
        <w:pStyle w:val="Heading1"/>
        <w:spacing w:after="150" w:before="300"/>
      </w:pPr>
      <w:r>
        <w:t xml:space="preserve">Нагрузка на сервер и рекомендуемый тариф</w:t>
      </w:r>
    </w:p>
    <w:p>
      <w:pPr>
        <w:spacing w:after="160"/>
      </w:pPr>
      <w:r>
        <w:t xml:space="preserve">Ключевой момент: сбор цен — общий и не масштабируется с числом пользователей. Исполнение ордеров растёт линейно, но остаётся лёгким по нагрузке. Для 25–100 активных пользователей: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CPU / RAM: обработка тиков и расчёт спредов — это в основном I/O, не тяжёлые вычисления. 4–8 vCPU и 8–16 ГБ RAM хватит с большим запасом даже при сотнях торговых пар одновременно.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База данных: настройки пользователей, зашифрованные ключи, история сделок — для 100 пользователей это небольшой объём, обычный Postgres на том же сервере справится без проблем.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Реальное узкое место — не железо сервера, а лимиты API самих бирж. Но так как у каждого пользователя свой ключ, лимиты по торговле не суммируются между пользователями (в отличие от публичных рыночных данных, которые общие).</w:t>
      </w:r>
    </w:p>
    <w:p>
      <w:pPr>
        <w:spacing w:after="160"/>
      </w:pPr>
      <w:r>
        <w:rPr>
          <w:b/>
          <w:bCs/>
        </w:rPr>
        <w:t xml:space="preserve">Рекомендуемый тариф: </w:t>
      </w:r>
      <w:r>
        <w:t xml:space="preserve">VPS среднего уровня (4–8 vCPU, 8–16 ГБ, SSD) в дата-центре в Сингапуре или Токио — ближе всего к большинству перечисленных бирж. Провайдеры уровня Vultr High Frequency Compute, DigitalOcean или AWS Lightsail, порядка $40–80/мес. Выделенный сервер за сотни долларов на этом масштабе не нужен; при росте до многих сотен пользователей систему можно будет масштабировать позже.</w:t>
      </w:r>
    </w:p>
    <w:p>
      <w:pPr>
        <w:pStyle w:val="Heading1"/>
        <w:spacing w:after="150" w:before="300"/>
      </w:pPr>
      <w:r>
        <w:t xml:space="preserve">Что стоит продумать заранее</w:t>
      </w:r>
    </w:p>
    <w:p>
      <w:pPr>
        <w:spacing w:after="160"/>
      </w:pPr>
      <w:r>
        <w:t xml:space="preserve">Модель безопасности и ответственности за хранение чужих API-ключей. Даже без права вывода средств, доступ к ключам с правом торговли на чужих деньгах — это серьёзная точка доверия и потенциальной юридической ответственности при сбоях бота. Имеет смысл заранее продумать условия использования, ограничение ответственности и обязательные требования к самим API-ключам (только торговля, IP-whitelist).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2026-09-02T11:01:58.577Z</dcterms:created>
  <dcterms:modified xsi:type="dcterms:W3CDTF">2026-09-02T11:01:58.587Z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