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Refined Intraday Call/Put Scoring Model (Max Score: 14.5)</w:t>
        <w:br/>
        <w:br/>
        <w:t>All mandatory + high-impact fixes integrated, including:</w:t>
        <w:br/>
        <w:t>• Mathematical consistency</w:t>
        <w:br/>
        <w:t>• Options execution realism (India-specific)</w:t>
        <w:br/>
        <w:t>• Volume, lot-size, and risk corrections</w:t>
        <w:br/>
        <w:t>• RSI clarification (without overfitting)</w:t>
        <w:br/>
        <w:br/>
        <w:t>Primary Context:</w:t>
        <w:br/>
        <w:t>Primary Trading Timeframe: 5-minute chart</w:t>
        <w:br/>
        <w:t>Structure recency defined on 5-min timeframe</w:t>
        <w:br/>
        <w:t>MACD confirmation on 15-min timeframe</w:t>
        <w:br/>
        <w:br/>
        <w:t>ATR Definition:</w:t>
        <w:br/>
        <w:t>Underlying ATR = 14-period ATR (5-min)</w:t>
        <w:br/>
        <w:t>Option Premium ATR = 14-period ATR (for SL &amp; trailing)</w:t>
        <w:br/>
        <w:br/>
        <w:t>Supertrend: (10,2) on 5-min</w:t>
        <w:br/>
        <w:br/>
        <w:t>A. Structure (Max 6 | Min 2)</w:t>
        <w:br/>
        <w:t>- CHoCH: +2.0</w:t>
        <w:br/>
        <w:t>- Sweep: +2.0</w:t>
        <w:br/>
        <w:t>- OB/FVG: +2.0</w:t>
        <w:br/>
        <w:t>Requirement: ≥1 present</w:t>
        <w:br/>
        <w:br/>
        <w:t>B. Trend (Max 4 | Min 2)</w:t>
        <w:br/>
        <w:t>- EMA 9/21/50: +1.5 (Mandatory)</w:t>
        <w:br/>
        <w:t>- EMA 5/9/21: Tier control</w:t>
        <w:br/>
        <w:t>- VWAP: +1.5 (Mandatory)</w:t>
        <w:br/>
        <w:t>- Supertrend: +1.0</w:t>
        <w:br/>
        <w:br/>
        <w:t>C. Momentum (Max 2.5 | Min 1)</w:t>
        <w:br/>
        <w:t>- Volume: +1.5</w:t>
        <w:br/>
        <w:t>- RSI: +0.5</w:t>
        <w:br/>
        <w:t>- MACD: +0.5</w:t>
        <w:br/>
        <w:br/>
        <w:t>D. Entry (Max 2 | Min 1)</w:t>
        <w:br/>
        <w:t>- Standard: +1.0</w:t>
        <w:br/>
        <w:t>- Strong: +1.5</w:t>
        <w:br/>
        <w:t>- Volume Boost: +0.5</w:t>
        <w:br/>
        <w:t>- Invalid: -0.5 / -1.0</w:t>
        <w:br/>
        <w:br/>
        <w:t>E. Risk Filters</w:t>
        <w:br/>
        <w:t>- Strong S/R: Block</w:t>
        <w:br/>
        <w:t>- VWAP rejection: Block</w:t>
        <w:br/>
        <w:t>- Session penalty applies</w:t>
        <w:br/>
        <w:br/>
        <w:t>F. Total Score: 14.5</w:t>
        <w:br/>
        <w:br/>
        <w:t>G. Entry Decision</w:t>
        <w:br/>
        <w:t>- Aggressive ≥8.5</w:t>
        <w:br/>
        <w:t>- Standard ≥10</w:t>
        <w:br/>
        <w:t>- High Conviction ≥12.5</w:t>
        <w:br/>
        <w:br/>
        <w:t>Execution:</w:t>
        <w:br/>
        <w:t>Aggressive &amp; Standard → R:R ≥1:1.2</w:t>
        <w:br/>
        <w:t>HC → R:R ≥1:2.0</w:t>
        <w:br/>
        <w:br/>
        <w:t>Final Logic:</w:t>
        <w:br/>
        <w:t>- Mandatory conditions must pass</w:t>
        <w:br/>
        <w:t>- EMA misalignment → reduced risk</w:t>
        <w:br/>
        <w:t>- Position sizing via floor formula</w:t>
        <w:br/>
        <w:t>- Trade management includes breakeven, partial exits, ATR trailing</w:t>
        <w:br/>
        <w:t>- Theta rule applied</w:t>
        <w:br/>
        <w:t>- Daily risk cap enforced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