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80"/>
      </w:pPr>
      <w:r>
        <w:rPr>
          <w:b/>
          <w:color w:val="146A66"/>
          <w:sz w:val="20"/>
        </w:rPr>
        <w:t>INFORME DE ACTIVIDADES DESARROLLADAS</w:t>
      </w:r>
    </w:p>
    <w:p>
      <w:pPr>
        <w:spacing w:after="40"/>
      </w:pPr>
      <w:r>
        <w:rPr>
          <w:b/>
          <w:color w:val="193451"/>
          <w:sz w:val="56"/>
        </w:rPr>
        <w:t>Práctica 05</w:t>
      </w:r>
    </w:p>
    <w:p>
      <w:pPr>
        <w:spacing w:after="340"/>
      </w:pPr>
      <w:r>
        <w:rPr>
          <w:color w:val="146A66"/>
          <w:sz w:val="34"/>
        </w:rPr>
        <w:t>Generación de pruebas unitarias</w:t>
        <w:br/>
        <w:t>mediante cobertura de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384"/>
        <w:gridCol w:w="2995"/>
      </w:tblGrid>
      <w:tr>
        <w:trPr>
          <w:tblHeader w:val="true"/>
        </w:trPr>
        <w:tc>
          <w:tcPr>
            <w:tcW w:type="dxa" w:w="309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CURSO</w:t>
            </w:r>
          </w:p>
        </w:tc>
        <w:tc>
          <w:tcPr>
            <w:tcW w:type="dxa" w:w="338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299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PROGRAMA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Ingeniería de Software II</w:t>
            </w:r>
          </w:p>
        </w:tc>
        <w:tc>
          <w:tcPr>
            <w:tcW w:type="dxa" w:w="338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DSc. Edgar Sarmiento Calisaya</w:t>
            </w:r>
          </w:p>
        </w:tc>
        <w:tc>
          <w:tcPr>
            <w:tcW w:type="dxa" w:w="299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Ciencia de la Computación</w:t>
            </w:r>
          </w:p>
        </w:tc>
      </w:tr>
    </w:tbl>
    <w:p>
      <w:pPr>
        <w:spacing w:after="0"/>
      </w:pPr>
    </w:p>
    <w:p>
      <w:pPr>
        <w:pStyle w:val="Heading1"/>
      </w:pPr>
      <w:r>
        <w:t>Objetivo de la práctica</w:t>
      </w:r>
    </w:p>
    <w:p>
      <w:r>
        <w:t>Diseñar casos de prueba para el algoritmo bubbleSort utilizando su grafo de flujo de control y una estrategia de cobertura de decisiones más condiciones simples. La solución sigue las cuatro actividades especificadas en la guía proporcionada.</w:t>
      </w:r>
    </w:p>
    <w:p>
      <w:pPr>
        <w:pStyle w:val="Heading1"/>
      </w:pPr>
      <w:r>
        <w:t>Síntesis de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2851"/>
        <w:gridCol w:w="3470"/>
      </w:tblGrid>
      <w:tr>
        <w:trPr>
          <w:tblHeader w:val="true"/>
        </w:trPr>
        <w:tc>
          <w:tcPr>
            <w:tcW w:type="dxa" w:w="315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GRAFO DE CONTROL</w:t>
            </w:r>
          </w:p>
        </w:tc>
        <w:tc>
          <w:tcPr>
            <w:tcW w:type="dxa" w:w="285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COMPLEJIDAD</w:t>
            </w:r>
          </w:p>
        </w:tc>
        <w:tc>
          <w:tcPr>
            <w:tcW w:type="dxa" w:w="3470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315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9 nodos · 11 aristas</w:t>
            </w:r>
          </w:p>
        </w:tc>
        <w:tc>
          <w:tcPr>
            <w:tcW w:type="dxa" w:w="285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V(G) = 4</w:t>
            </w:r>
          </w:p>
        </w:tc>
        <w:tc>
          <w:tcPr>
            <w:tcW w:type="dxa" w:w="3470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4 casos de prueba + 4 adicionales</w:t>
            </w:r>
          </w:p>
        </w:tc>
      </w:tr>
      <w:tr>
        <w:tc>
          <w:tcPr>
            <w:tcW w:type="dxa" w:w="315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3 nodos de decisión</w:t>
            </w:r>
          </w:p>
        </w:tc>
        <w:tc>
          <w:tcPr>
            <w:tcW w:type="dxa" w:w="285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4 caminos independientes</w:t>
            </w:r>
          </w:p>
        </w:tc>
        <w:tc>
          <w:tcPr>
            <w:tcW w:type="dxa" w:w="3470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6/6 ramas cubiertas · 8/8 tests OK</w:t>
            </w:r>
          </w:p>
        </w:tc>
      </w:tr>
    </w:tbl>
    <w:p>
      <w:pPr>
        <w:spacing w:after="0"/>
      </w:pPr>
    </w:p>
    <w:p>
      <w:pPr>
        <w:pStyle w:val="Heading1"/>
      </w:pPr>
      <w:r>
        <w:t>1. Código base y criterio de interpretación</w:t>
      </w:r>
    </w:p>
    <w:p>
      <w:r>
        <w:t>El enunciado presenta un método de ordenamiento ascendente por burbuja con dos bucles anidados y una comparación que decide si intercambiar elementos consecutivos.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tcMar>
              <w:top w:w="135" w:type="dxa"/>
              <w:start w:w="155" w:type="dxa"/>
              <w:bottom w:w="130" w:type="dxa"/>
              <w:end w:w="155" w:type="dxa"/>
            </w:tcMar>
            <w:shd w:fill="F1F5F9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24364A"/>
                <w:sz w:val="16"/>
              </w:rPr>
              <w:t>bubbleSort(int vet[]) {</w:t>
              <w:br/>
              <w:t xml:space="preserve">    integer i, j, aux;</w:t>
              <w:br/>
              <w:t xml:space="preserve">    for (i=tamanho(vet); i&gt;=2; i--) {</w:t>
              <w:br/>
              <w:t xml:space="preserve">        for (j=1; j&lt;=i-1; j++) {</w:t>
              <w:br/>
              <w:t xml:space="preserve">            if (vet[j] &gt; vet[j+1]) {</w:t>
              <w:br/>
              <w:t xml:space="preserve">                aux=vet[j];</w:t>
              <w:br/>
              <w:t xml:space="preserve">                vet[j]=vet[j+1];</w:t>
              <w:br/>
              <w:t xml:space="preserve">                vet[j+1]=aux;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t>Supuesto necesario: el pseudocódigo usa índices desde 1. La implementación ejecutable en Python ajusta el acceso a índices desde 0 sin cambiar el comportamiento ni las decisiones evaluadas.</w:t>
      </w:r>
    </w:p>
    <w:p>
      <w:r>
        <w:br w:type="page"/>
      </w:r>
    </w:p>
    <w:p>
      <w:pPr>
        <w:pStyle w:val="Heading1"/>
      </w:pPr>
      <w:r>
        <w:t>2. Actividad 1 | Grafo de flujo de control</w:t>
      </w:r>
    </w:p>
    <w:p>
      <w:r>
        <w:t>El grafo distingue las tres decisiones (rombos) y los dos retornos de los bucles. V representa una evaluación verdadera y F una falsa. Se identifican nueve nodos y once aristas visibles.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33672" cy="5600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o_flujo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3672" cy="560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Grafo de flujo de control para el bubbleSort del enunciado. Fuente: elaboración a partir de la guía de la práctica.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874"/>
        <w:gridCol w:w="864"/>
        <w:gridCol w:w="3874"/>
      </w:tblGrid>
      <w:tr>
        <w:trPr>
          <w:tblHeader w:val="true"/>
        </w:trP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OPERACIÓN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N1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Inicio; i ← tamaño(vet)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N2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¿i ≥ 2?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N3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j ← 1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N4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¿j ≤ i − 1?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N5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¿vet[j] &gt; vet[j+1]?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N6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Intercambiar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N7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j ← j + 1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N8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 ← i − 1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N9</w:t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Fin</w:t>
            </w:r>
          </w:p>
        </w:tc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</w:r>
          </w:p>
        </w:tc>
        <w:tc>
          <w:tcPr>
            <w:tcW w:type="dxa" w:w="387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</w:r>
          </w:p>
        </w:tc>
      </w:tr>
    </w:tbl>
    <w:p>
      <w:pPr>
        <w:spacing w:after="0"/>
      </w:pPr>
    </w:p>
    <w:p>
      <w:pPr>
        <w:pStyle w:val="Caption"/>
      </w:pPr>
      <w:r>
        <w:t>Aristas: N1→N2; N2→N3/N9; N3→N4; N4→N5/N8; N5→N6/N7; N6→N7; N7→N4; N8→N2.</w:t>
      </w:r>
    </w:p>
    <w:p>
      <w:r>
        <w:br w:type="page"/>
      </w:r>
    </w:p>
    <w:p>
      <w:pPr>
        <w:pStyle w:val="Heading1"/>
      </w:pPr>
      <w:r>
        <w:t>3. Actividad 2 | Complejidad ciclomática</w:t>
      </w:r>
    </w:p>
    <w:p>
      <w:r>
        <w:t>Para un único componente conexo del grafo de flujo de control se emplea V(G) = E − N + 2P.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2477"/>
        <w:gridCol w:w="5011"/>
      </w:tblGrid>
      <w:tr>
        <w:trPr>
          <w:tblHeader w:val="true"/>
        </w:trPr>
        <w:tc>
          <w:tcPr>
            <w:tcW w:type="dxa" w:w="198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47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01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E (aristas)</w:t>
            </w:r>
          </w:p>
        </w:tc>
        <w:tc>
          <w:tcPr>
            <w:tcW w:type="dxa" w:w="247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11</w:t>
            </w:r>
          </w:p>
        </w:tc>
        <w:tc>
          <w:tcPr>
            <w:tcW w:type="dxa" w:w="501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Conexiones dirigidas entre nodos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N (nodos)</w:t>
            </w:r>
          </w:p>
        </w:tc>
        <w:tc>
          <w:tcPr>
            <w:tcW w:type="dxa" w:w="247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9</w:t>
            </w:r>
          </w:p>
        </w:tc>
        <w:tc>
          <w:tcPr>
            <w:tcW w:type="dxa" w:w="501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N1, N2, …, N9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P (componentes)</w:t>
            </w:r>
          </w:p>
        </w:tc>
        <w:tc>
          <w:tcPr>
            <w:tcW w:type="dxa" w:w="247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1</w:t>
            </w:r>
          </w:p>
        </w:tc>
        <w:tc>
          <w:tcPr>
            <w:tcW w:type="dxa" w:w="501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Un único subgrafo conectado</w:t>
            </w:r>
          </w:p>
        </w:tc>
      </w:tr>
      <w:tr>
        <w:tc>
          <w:tcPr>
            <w:tcW w:type="dxa" w:w="198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V(G)</w:t>
            </w:r>
          </w:p>
        </w:tc>
        <w:tc>
          <w:tcPr>
            <w:tcW w:type="dxa" w:w="2477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11 − 9 + 2(1) = 4</w:t>
            </w:r>
          </w:p>
        </w:tc>
        <w:tc>
          <w:tcPr>
            <w:tcW w:type="dxa" w:w="501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7"/>
              </w:rPr>
              <w:t>Resultado de complejidad ciclomática</w:t>
            </w:r>
          </w:p>
        </w:tc>
      </w:tr>
    </w:tbl>
    <w:p>
      <w:pPr>
        <w:spacing w:after="0"/>
      </w:pPr>
    </w:p>
    <w:p>
      <w:r>
        <w:t>Verificación por predicados: existen tres nodos de decisión, N2, N4 y N5; por tanto V(G) = 3 + 1 = 4.</w:t>
      </w:r>
    </w:p>
    <w:p>
      <w:pPr>
        <w:pStyle w:val="Heading1"/>
      </w:pPr>
      <w:r>
        <w:t>4. Actividad 3 | Caminos independientes</w:t>
      </w:r>
    </w:p>
    <w:p>
      <w:r>
        <w:t>Se elige cobertura de decisiones + condición simple. Como cada decisión contiene un único predicado booleano, basta con obtener V y F en los nodos N2, N4 y N5. Los cuatro caminos se ejecutan con entradas factibles.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552"/>
        <w:gridCol w:w="1771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CAMINO</w:t>
            </w:r>
          </w:p>
        </w:tc>
        <w:tc>
          <w:tcPr>
            <w:tcW w:type="dxa" w:w="65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RASGO QUE LO DISTINGUE</w:t>
            </w:r>
          </w:p>
        </w:tc>
        <w:tc>
          <w:tcPr>
            <w:tcW w:type="dxa" w:w="177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ENTRADA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CP1</w:t>
            </w:r>
          </w:p>
        </w:tc>
        <w:tc>
          <w:tcPr>
            <w:tcW w:type="dxa" w:w="65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Salida directa N2→N9; no entra al for externo</w:t>
            </w:r>
          </w:p>
        </w:tc>
        <w:tc>
          <w:tcPr>
            <w:tcW w:type="dxa" w:w="177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[7]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CP2</w:t>
            </w:r>
          </w:p>
        </w:tc>
        <w:tc>
          <w:tcPr>
            <w:tcW w:type="dxa" w:w="65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Incluye N5→N7 (condición de intercambio F)</w:t>
            </w:r>
          </w:p>
        </w:tc>
        <w:tc>
          <w:tcPr>
            <w:tcW w:type="dxa" w:w="177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[1, 2]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CP3</w:t>
            </w:r>
          </w:p>
        </w:tc>
        <w:tc>
          <w:tcPr>
            <w:tcW w:type="dxa" w:w="65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Incluye N5→N6 (intercambio V)</w:t>
            </w:r>
          </w:p>
        </w:tc>
        <w:tc>
          <w:tcPr>
            <w:tcW w:type="dxa" w:w="177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[2, 1]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CP4</w:t>
            </w:r>
          </w:p>
        </w:tc>
        <w:tc>
          <w:tcPr>
            <w:tcW w:type="dxa" w:w="655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Repite el ciclo interno N7→N4 y externo N8→N2</w:t>
            </w:r>
          </w:p>
        </w:tc>
        <w:tc>
          <w:tcPr>
            <w:tcW w:type="dxa" w:w="1771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[2, 3, 1]</w:t>
            </w:r>
          </w:p>
        </w:tc>
      </w:tr>
    </w:tbl>
    <w:p>
      <w:pPr>
        <w:spacing w:after="0"/>
      </w:pPr>
    </w:p>
    <w:p>
      <w:pPr>
        <w:pStyle w:val="Heading2"/>
      </w:pPr>
      <w:r>
        <w:t>Secuencias observadas de nodos</w:t>
      </w:r>
    </w:p>
    <w:p>
      <w:r/>
      <w:r>
        <w:rPr>
          <w:b/>
        </w:rPr>
        <w:t xml:space="preserve">CP1  </w:t>
      </w:r>
      <w:r>
        <w:t>N1 → N2(F) → N9</w:t>
      </w:r>
    </w:p>
    <w:p>
      <w:r/>
      <w:r>
        <w:rPr>
          <w:b/>
        </w:rPr>
        <w:t xml:space="preserve">CP2  </w:t>
      </w:r>
      <w:r>
        <w:t>N1 → N2(V) → N3 → N4(V) → N5(F) → N7 → N4(F) → N8 → N2(F) → N9</w:t>
      </w:r>
    </w:p>
    <w:p>
      <w:r/>
      <w:r>
        <w:rPr>
          <w:b/>
        </w:rPr>
        <w:t xml:space="preserve">CP3  </w:t>
      </w:r>
      <w:r>
        <w:t>N1 → N2(V) → N3 → N4(V) → N5(V) → N6 → N7 → N4(F) → N8 → N2(F) → N9</w:t>
      </w:r>
    </w:p>
    <w:p>
      <w:r/>
      <w:r>
        <w:rPr>
          <w:b/>
        </w:rPr>
        <w:t xml:space="preserve">CP4  </w:t>
      </w:r>
      <w:r>
        <w:t>N1 → N2(V) → N3 → N4(V) → N5(F) → N7 → N4(V) → N5(V) → N6 → N7 → N4(F) → N8 → N2(V) → N3 → N4(V) → N5(V) → N6 → N7 → N4(F) → N8 → N2(F) → N9</w:t>
      </w:r>
    </w:p>
    <w:p>
      <w:pPr>
        <w:pStyle w:val="Caption"/>
      </w:pPr>
      <w:r>
        <w:t>Los paréntesis (V/F) especifican la salida tomada en la visita a un nodo de decisión. La tabla CSV reproduce las cuatro rutas en el formato solicitado.</w:t>
      </w:r>
    </w:p>
    <w:p>
      <w:r>
        <w:br w:type="page"/>
      </w:r>
    </w:p>
    <w:p>
      <w:pPr>
        <w:pStyle w:val="Heading1"/>
      </w:pPr>
      <w:r>
        <w:t>5. Actividad 4 | Diseño de casos de prueba</w:t>
      </w:r>
    </w:p>
    <w:p>
      <w:r>
        <w:t>Las entradas y salidas de la tabla fueron verificadas con una implementación ejecutable del algoritmo. Los caminos corresponden al grafo de la figura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925"/>
        <w:gridCol w:w="1685"/>
        <w:gridCol w:w="2002"/>
      </w:tblGrid>
      <w:tr>
        <w:trPr>
          <w:tblHeader w:val="true"/>
        </w:trP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5"/>
              </w:rPr>
              <w:t>ID CP</w:t>
            </w:r>
          </w:p>
        </w:tc>
        <w:tc>
          <w:tcPr>
            <w:tcW w:type="dxa" w:w="492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5"/>
              </w:rPr>
              <w:t>CAMINO EN EL GRAFO</w:t>
            </w:r>
          </w:p>
        </w:tc>
        <w:tc>
          <w:tcPr>
            <w:tcW w:type="dxa" w:w="168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5"/>
              </w:rPr>
              <w:t>VALORES DE PRUEBA</w:t>
            </w:r>
          </w:p>
        </w:tc>
        <w:tc>
          <w:tcPr>
            <w:tcW w:type="dxa" w:w="200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CP1</w:t>
            </w:r>
          </w:p>
        </w:tc>
        <w:tc>
          <w:tcPr>
            <w:tcW w:type="dxa" w:w="492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N1→N2(F)→N9</w:t>
            </w:r>
          </w:p>
        </w:tc>
        <w:tc>
          <w:tcPr>
            <w:tcW w:type="dxa" w:w="168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[7]</w:t>
            </w:r>
          </w:p>
        </w:tc>
        <w:tc>
          <w:tcPr>
            <w:tcW w:type="dxa" w:w="200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[7]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CP2</w:t>
            </w:r>
          </w:p>
        </w:tc>
        <w:tc>
          <w:tcPr>
            <w:tcW w:type="dxa" w:w="492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N1→N2(V)→N3→N4(V)→N5(F)→N7→N4(F)→N8→N2(F)→N9</w:t>
            </w:r>
          </w:p>
        </w:tc>
        <w:tc>
          <w:tcPr>
            <w:tcW w:type="dxa" w:w="168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[1, 2]</w:t>
            </w:r>
          </w:p>
        </w:tc>
        <w:tc>
          <w:tcPr>
            <w:tcW w:type="dxa" w:w="200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[1, 2]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CP3</w:t>
            </w:r>
          </w:p>
        </w:tc>
        <w:tc>
          <w:tcPr>
            <w:tcW w:type="dxa" w:w="492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N1→N2(V)→N3→N4(V)→N5(V)→N6→N7→N4(F)→N8→N2(F)→N9</w:t>
            </w:r>
          </w:p>
        </w:tc>
        <w:tc>
          <w:tcPr>
            <w:tcW w:type="dxa" w:w="168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[2, 1]</w:t>
            </w:r>
          </w:p>
        </w:tc>
        <w:tc>
          <w:tcPr>
            <w:tcW w:type="dxa" w:w="200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[1, 2]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CP4</w:t>
            </w:r>
          </w:p>
        </w:tc>
        <w:tc>
          <w:tcPr>
            <w:tcW w:type="dxa" w:w="492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N1→N2(V)→N3→N4(V)→N5(F)→N7→N4(V)→N5(V)→N6→N7→N4(F)→N8→N2(V)→N3→N4(V)→N5(V)→N6→N7→N4(F)→N8→N2(F)→N9</w:t>
            </w:r>
          </w:p>
        </w:tc>
        <w:tc>
          <w:tcPr>
            <w:tcW w:type="dxa" w:w="1685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[2, 3, 1]</w:t>
            </w:r>
          </w:p>
        </w:tc>
        <w:tc>
          <w:tcPr>
            <w:tcW w:type="dxa" w:w="200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5"/>
              </w:rPr>
              <w:t>[1, 2, 3]</w:t>
            </w:r>
          </w:p>
        </w:tc>
      </w:tr>
    </w:tbl>
    <w:p>
      <w:pPr>
        <w:spacing w:after="0"/>
      </w:pPr>
    </w:p>
    <w:p>
      <w:pPr>
        <w:pStyle w:val="Heading1"/>
      </w:pPr>
      <w:r>
        <w:t>6. Comprobación de cobertura y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6"/>
        <w:gridCol w:w="3888"/>
        <w:gridCol w:w="2362"/>
      </w:tblGrid>
      <w:tr>
        <w:trPr>
          <w:tblHeader w:val="true"/>
        </w:trPr>
        <w:tc>
          <w:tcPr>
            <w:tcW w:type="dxa" w:w="322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SALIDAS OBSERVADAS</w:t>
            </w:r>
          </w:p>
        </w:tc>
        <w:tc>
          <w:tcPr>
            <w:tcW w:type="dxa" w:w="236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193451"/>
          </w:tcPr>
          <w:p>
            <w:pPr>
              <w:spacing w:after="0" w:line="259" w:lineRule="auto"/>
            </w:pPr>
            <w:r/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c>
          <w:tcPr>
            <w:tcW w:type="dxa" w:w="322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N2: i ≥ 2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V y F</w:t>
            </w:r>
          </w:p>
        </w:tc>
        <w:tc>
          <w:tcPr>
            <w:tcW w:type="dxa" w:w="236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2/2</w:t>
            </w:r>
          </w:p>
        </w:tc>
      </w:tr>
      <w:tr>
        <w:tc>
          <w:tcPr>
            <w:tcW w:type="dxa" w:w="322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N4: j ≤ i − 1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V y F</w:t>
            </w:r>
          </w:p>
        </w:tc>
        <w:tc>
          <w:tcPr>
            <w:tcW w:type="dxa" w:w="236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2/2</w:t>
            </w:r>
          </w:p>
        </w:tc>
      </w:tr>
      <w:tr>
        <w:tc>
          <w:tcPr>
            <w:tcW w:type="dxa" w:w="322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N5: vet[j] &gt; vet[j+1]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V y F</w:t>
            </w:r>
          </w:p>
        </w:tc>
        <w:tc>
          <w:tcPr>
            <w:tcW w:type="dxa" w:w="236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2/2</w:t>
            </w:r>
          </w:p>
        </w:tc>
      </w:tr>
      <w:tr>
        <w:tc>
          <w:tcPr>
            <w:tcW w:type="dxa" w:w="3226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Total</w:t>
            </w:r>
          </w:p>
        </w:tc>
        <w:tc>
          <w:tcPr>
            <w:tcW w:type="dxa" w:w="3888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6 de 6 salidas</w:t>
            </w:r>
          </w:p>
        </w:tc>
        <w:tc>
          <w:tcPr>
            <w:tcW w:type="dxa" w:w="2362"/>
            <w:vAlign w:val="center"/>
            <w:tcMar>
              <w:top w:w="90" w:type="dxa"/>
              <w:start w:w="85" w:type="dxa"/>
              <w:bottom w:w="85" w:type="dxa"/>
              <w:end w:w="85" w:type="dxa"/>
            </w:tcMar>
            <w:shd w:fill="EEF3F8"/>
          </w:tcPr>
          <w:p>
            <w:pPr>
              <w:spacing w:after="0" w:line="259" w:lineRule="auto"/>
            </w:pPr>
            <w:r/>
            <w:r>
              <w:rPr>
                <w:b w:val="0"/>
                <w:color w:val="24364A"/>
                <w:sz w:val="16"/>
              </w:rPr>
              <w:t>100 %</w:t>
            </w:r>
          </w:p>
        </w:tc>
      </w:tr>
    </w:tbl>
    <w:p>
      <w:pPr>
        <w:spacing w:after="0"/>
      </w:pPr>
    </w:p>
    <w:p>
      <w:r>
        <w:t>Ejecución de ocho pruebas unitarias con unittest: CP1–CP4 y cuatro pruebas complementarias (lista vacía, duplicados, números negativos/cero y orden inverso). Resultado: 8 pruebas ejecutadas; 8 exitosas; 0 fallidas.</w:t>
      </w:r>
    </w:p>
    <w:p>
      <w:pPr>
        <w:pStyle w:val="Heading1"/>
      </w:pPr>
      <w:r>
        <w:t>7. Conclusiones y reproducibilidad</w:t>
      </w:r>
    </w:p>
    <w:p>
      <w:r>
        <w:t>La complejidad ciclomática de 4 justifica cuatro caminos de base. El conjunto CP1–CP4 cubre las salidas V y F de los tres predicados y alcanza el 100 % de cobertura de decisiones para el código modelado. La cobertura alcanzada no garantiza la ausencia total de defectos.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tcMar>
              <w:top w:w="135" w:type="dxa"/>
              <w:start w:w="155" w:type="dxa"/>
              <w:bottom w:w="130" w:type="dxa"/>
              <w:end w:w="155" w:type="dxa"/>
            </w:tcMar>
            <w:shd w:fill="F1F5F9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24364A"/>
                <w:sz w:val="17"/>
              </w:rPr>
              <w:t>cd codigo</w:t>
              <w:br/>
              <w:t>python -m unittest -v</w:t>
            </w:r>
          </w:p>
        </w:tc>
      </w:tr>
    </w:tbl>
    <w:p>
      <w:pPr>
        <w:spacing w:after="0"/>
      </w:pPr>
    </w:p>
    <w:p>
      <w:pPr>
        <w:pStyle w:val="Caption"/>
      </w:pPr>
      <w:r>
        <w:t>Fuente principal: DSc. Edgar Sarmiento Calisaya, “Práctica 05: Generación de Pruebas Unitarias”, Ingeniería de Software II, páginas identificadas como 5 y 6 en el documento suministrado. Entregables de apoyo: archivos DOT/PNG/SVG, CSV, implementación y registro de pruebas.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5" w:right="1181" w:bottom="1051" w:left="1181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48A"/>
        <w:sz w:val="16"/>
      </w:rPr>
      <w:t xml:space="preserve">Práctica 05 · Informe técnico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146A66"/>
      </w:rPr>
      <w:t>INGENIERÍA DE SOFTWARE II  /  PRÁCTICA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45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4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ptos" w:hAnsi="Aptos"/>
      <w:b/>
      <w:bCs/>
      <w:i/>
      <w:color w:val="63748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05 | Generación de pruebas unitarias - actividades resueltas</dc:title>
  <dc:subject>Grafo de flujo de control, complejidad ciclomática, caminos independientes y pruebas unitarias</dc:subject>
  <dc:creator/>
  <cp:keywords>Ingeniería de Software II, bubbleSort, caja blanca, cobertura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