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00:00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План стратегического развития IT-направления разработчика мессенджера с функционалом споров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Компания: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ROADMAPS</w:t>
        </w:r>
      </w:hyperlink>
      <w:r w:rsidDel="00000000" w:rsidR="00000000" w:rsidRPr="00000000">
        <w:rPr>
          <w:rtl w:val="0"/>
        </w:rPr>
        <w:t xml:space="preserve"> (синтетический пример)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Автор: CTO Басов Юрий Олегович (студент OTUS 2026-03)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Дата старта: 31 октября 2026 года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Локация и банкинг: ОАЭ (владельцы компании с паспортами РФ), обслуживание через банк Mashreq.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Миссия: Создать прозрачную, глобальную экосистему для безопасной аренды, ремонта и управления недвижимостью с децентрализованной системой справедливого разрешения споров.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00:40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текущего состояния компании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Выбор продукта: сайт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ROADMAPS.ME</w:t>
        </w:r>
      </w:hyperlink>
      <w:r w:rsidDel="00000000" w:rsidR="00000000" w:rsidRPr="00000000">
        <w:rPr>
          <w:rtl w:val="0"/>
        </w:rPr>
        <w:t xml:space="preserve"> и инновационное мобильное приложение на стыке строительства и Fintech.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Текущая стадия: концепция с ранним прототипированием.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Сильная сторона: широкий набор продуктовых и технических гипотез.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Главный вызов: запуск с нуля, регуляторная неопределенность на рынке других Polymarket-моделей.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01:20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Суть продукта и направления (4 столпа)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Мессенджер для поиска жильцов, сожителей (roommates) и владельцев недвижимости.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Маркетплейс строительных услуг: рабочие (ремонт, дизайн, архитектура) предлагают свои услуги.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B2B-сервис для застройщиков: ремонт </w:t>
      </w:r>
      <w:r w:rsidDel="00000000" w:rsidR="00000000" w:rsidRPr="00000000">
        <w:rPr>
          <w:rtl w:val="0"/>
        </w:rPr>
        <w:t xml:space="preserve">“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под ключ</w:t>
      </w:r>
      <w:r w:rsidDel="00000000" w:rsidR="00000000" w:rsidRPr="00000000">
        <w:rPr>
          <w:rtl w:val="0"/>
        </w:rPr>
        <w:t xml:space="preserve">”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всех комнат с оформлением смет и документов с подрядчиками.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Модуль разрешения споров (Polymarket-модель): заключение пари по смарт-контрактам с использованием ИИ для поиска зарегистрированных арбитров.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02:00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Организационная структура C-level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Формирование сильной управляющей команды: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CEO (Генеральный директор)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CTO (Технический директор)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CFO (Финансовый директор)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CCO (Chief Compliance Officer)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CMO (Директор по маркетингу)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Модель управления: распределение ответственности за каждый горизонт роста.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IT / Development organization (план)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MVP / as-is → Founder/Product + Tech Lead; Full-stack; QA; DevOps/Infrastructure (частичные роли допустимы).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Year 1 — Armenia, 5 FTE: Tech Lead/Product 1; Software Engineers 2; QA 1; DevOps/Data 1.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Year 3 — UAE, 30 FTE: Engineering 18; QA 4; DevOps/SRE 3; Product/Tech 3; Engineering Management 2.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Year 5 — UAE 125 FTE: Engineering 80; QA 15; SRE/Platform 10; Product/Data/Security 12; Management 8.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Hong Kong — 1 FTE (regional technology/compliance liaison). Total Year 5: 126.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C-level задает приоритеты; IT-команды непосредственно проектируют, разрабатывают, тестируют и эксплуатируют продукт.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02:40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Раунды инвестиций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Эмиссия: 10 000 NFT, приравнивающихся к акциям (1:10 000).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Платежное средство: Рублевый стейблкоин A7 от банка ВТБ.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Механика выкупа (Penalty Mechanism):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На каждом раунде инвестиций (при отсутствии внешних </w:t>
      </w:r>
      <w:r w:rsidDel="00000000" w:rsidR="00000000" w:rsidRPr="00000000">
        <w:rPr>
          <w:rtl w:val="0"/>
        </w:rPr>
        <w:t xml:space="preserve">инвесторов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 топ-менеджеры C-level выкупают равные доли.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Штраф: Если менеджер не выкупает свою квоту, его доля </w:t>
      </w:r>
      <w:r w:rsidDel="00000000" w:rsidR="00000000" w:rsidRPr="00000000">
        <w:rPr>
          <w:rtl w:val="0"/>
        </w:rPr>
        <w:t xml:space="preserve">смарт контрактами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размывается до 5%. Оставшуюся часть принудительно перераспределяют и выкупают остальные участники.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Цель: личная ответственность и гарантия финансирования на ранних стадиях.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03:20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SWOT Анализ</w:t>
      </w:r>
    </w:p>
    <w:tbl>
      <w:tblPr>
        <w:tblStyle w:val="Table1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Фактор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Приоритет (Импакт x Срочность)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Strengths (Силы)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Инновационная бизнес-модель, слияние строительства и Polymarket-моделей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(61)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Weaknesses (Слабости)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Отсутствие готового продукта и базы, высокие юридические риски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(100)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Opportunities (Возможности)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B2B пилоты без денег, масштабирование на MENA и APAC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Высокий (96)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Threats (Угрозы)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Комплаенс Mashreq, запрет на гемблинг, риск де-платформинга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Критический (100)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04:00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Пяти сил Портера</w:t>
      </w:r>
    </w:p>
    <w:tbl>
      <w:tblPr>
        <w:tblStyle w:val="Table2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Сила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Оценка (1-5)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Реакция / Стратегия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Конкуренция в отрасли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Фокус на уникальном workflow (Polymarket + B2B SaaS)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Угроза новых игроков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Накапливать данные ИИ, интеграции и доверие (data quality)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Власть покупателей (Застройщиков)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Узкий ICP, годовые контракты, пилотные внедрения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Власть поставщиков (LLM, Cloud)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Мульти-облачная абстракция, контроль костов (COGS)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Угроза заменителей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Доказывать ROI и сокращение времени на арбитраж и сделки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04:40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Анализ цепочки создания ценности (Value Chain)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Customer Discovery: Поиск целевых сегментов (40 интервью/год).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Data Ingestion: Сбор данных о недвижимости и прогнозах.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Core Workflow: Агрегация вероятностей споров.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Aggregation &amp; AI: AI-резюме споров, подбор арбитров.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Audit &amp; Compliance: Доверие, прозрачность смарт-контрактов.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Billing &amp; Identity: Mashreq AML, A7 Token routing (Integrat</w:t>
      </w:r>
      <w:r w:rsidDel="00000000" w:rsidR="00000000" w:rsidRPr="00000000">
        <w:rPr>
          <w:rtl w:val="0"/>
        </w:rPr>
        <w:t xml:space="preserve">ion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05:20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GAP Анализ зрелости (Цель на год 1)</w:t>
      </w:r>
    </w:p>
    <w:tbl>
      <w:tblPr>
        <w:tblStyle w:val="Table3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3600"/>
        <w:gridCol w:w="3600"/>
        <w:gridCol w:w="3600"/>
        <w:gridCol w:w="3600"/>
        <w:tblGridChange w:id="0">
          <w:tblGrid>
            <w:gridCol w:w="3600"/>
            <w:gridCol w:w="3600"/>
            <w:gridCol w:w="3600"/>
            <w:gridCol w:w="36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Область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Сейчас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Цель (Год 1)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Разрыв / План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Legal / Compliance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Нет письменной квалификации продукта. План: 2 Memo.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Product MVP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Есть ТЗ. План: MVP без крипты -&gt; Пилоты.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Banking / Finance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План: Открытие счета, KYC Data Room.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Delivery / Team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План: IT core team 5 FTE (Armenia), CI/CD и secure SDLC.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Market Evidence</w:t>
            </w:r>
          </w:p>
        </w:tc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0.5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3.0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План: 5 платных пилотов, первые B2B контракты.</w:t>
            </w:r>
          </w:p>
        </w:tc>
      </w:tr>
    </w:tbl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Customer discovery — статус гипотезы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Статус: To be validated; 40 интервью — план на год, а не подтвержденный результат.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Критерий перехода к масштабированию: повторяемая проблема у ICP + ≥5 платных B2B-пилотов + измеримый ROI.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06:00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Операционный план (1 год) – Запуск и стабилизация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Цель: Запуск MVP, прохождение комплаенса, тест в ОАЭ.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Технологии: Native mobile (iOS/Android) + сайт.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Инженерная культура: CI/CD, TDD, формирование core-команды.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Бюджет (Год 1):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Gross payroll (5 FTE): ~$196,000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Benefits / employer-cost reserve: ~$29,000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Cloud &amp; infrastructure: ~$35,000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Итого IT-бюджет Год 1: ~$320,000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Year 1 — квартальный operational plan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Q1: архитектура MVP; команда 5 FTE; backlog; CI/CD; threat modeling и baseline IAM.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Q2: MVP B2B SaaS; QA automation; observability; SAST/SCA; первые production-пилоты.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Q3: стабилизация; аналитика; SLO/incident process; customer feedback; security testing.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Q4: оптимизация; план UAE; hiring pipeline; compliance review; roadmap Year 2.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Доп. IT costs: Security ~$20k; SaaS ~$12k; Legal/compliance ~$20k; Other IT ~$8k.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Assumptions: Armenia — модель через ИП; gross salary ≠ employer cost; +15% planning reserve; локальная юридическая/налоговая проверка обязательна.</w:t>
      </w:r>
    </w:p>
    <w:p>
      <w:pPr>
        <w:spacing w:before="0" w:after="0" w:line="210" w:lineRule="auto"/>
      </w:pPr>
      <w:r>
        <w:rPr>
          <w:color w:val="666666"/>
          <w:sz w:val="15"/>
          <w:szCs w:val="15"/>
        </w:rPr>
        <w:t xml:space="preserve">Sources: HireTruss Armenia Tech Salary Guide 2026; Levels.fyi Yerevan (15 Aug 2026). Values are planning estimates.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06:40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Тактический план (3 года) – Масштабирование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Цель: масштабирование в UAE; подготовка Hong Kong — горизонт Year 5.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Продукт: ИИ-модель для арбитров работает на 40% споров.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Процессы: Переход к Platform Engineering (снижение когнитивной нагрузки).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Бюджет (Год 3):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People / employer cost (30 FTE): ~$3.2M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Infrastructure $350k; Security $180k; Software $120k; IT operations $200k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Итого IT-бюджет Год 3: ~$4.1M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Tactical plan — initiative / owner / timing / outcome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Product — B2B workflow + dispute AI / CPO / Y1–Y3 / PMF и платные контракты.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Engineering — modular monolith → services by load / Head Eng / Y2–Y3 / predictable delivery.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Infrastructure — SLO, DR, cost controls / SRE Lead / quarterly / ≥99.9% availability.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Security — secure SDLC, pentest, IAM / Security Owner / each release / lower critical exposure.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People — 5 Armenia → 30 UAE / Eng Manager / staged / staffed product squads.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Operations &amp; support — runbooks, on-call, SLA / Ops Lead / Y2 / faster incident and customer response.</w:t>
      </w:r>
    </w:p>
    <w:p>
      <w:pPr>
        <w:spacing w:before="0" w:after="0" w:line="210" w:lineRule="auto"/>
      </w:pPr>
      <w:r>
        <w:rPr>
          <w:color w:val="666666"/>
          <w:sz w:val="15"/>
          <w:szCs w:val="15"/>
        </w:rPr>
        <w:t xml:space="preserve">Sources: Guildhall Dubai Salary Guide 2026 (AED/month); PayScale UAE Senior Software Engineer 2026. FX: 1 USD ≈ 3.673 AED.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07:20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Стратегический план (5 лет) – Глобализация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Цель: Выход на рынки СНГ, США, Европы (compliance), статус стандарта FinTech.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Продукт: ИИ модерирует 80% споров, полная децентрализация (DAO) для франшиз.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Технологии: Cloud-native, мультирегиональный Kubernetes, глобальный Data Mesh.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Бюджет (Год 5):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UAE people / employer cost (125 FTE): ~$13.5M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Hong Kong people cost (1 FTE): ~$0.11M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Итого IT-бюджет Год 5: ~$18.5M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Year 5 — organization, geography and IT budget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UAE 125 + Hong Kong 1 = Total 126 FTE.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UAE departments: Engineering 80; QA 15; SRE/Platform 10; Product/Data/Security 12; Management 8.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Non-payroll: Infrastructure ~$2.2M; Security ~$0.9M; Software ~$0.7M; IT operations ~$1.1M.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Рост бизнеса → рост IT-организации → инфраструктуры → security maturity → бюджета.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Planning assumptions: rounded USD; benefits/employer costs modeled separately; excludes non-IT corporate and marketing spend.</w:t>
      </w:r>
    </w:p>
    <w:p>
      <w:pPr>
        <w:spacing w:before="0" w:after="0" w:line="210" w:lineRule="auto"/>
      </w:pPr>
      <w:r>
        <w:rPr>
          <w:color w:val="666666"/>
          <w:sz w:val="15"/>
          <w:szCs w:val="15"/>
        </w:rPr>
        <w:t xml:space="preserve">Sources: Guildhall UAE 2026; SalaryExpert Hong Kong 2026 (SE gross ~HK$747k/year); FX ≈7.84 HKD/USD.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08:00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Выбор Технологической Архитектуры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Подход: Начинаем с Монолита (Monolith) для скорости time-to-market.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При росте (к 3-му году): миграция на  Microservices.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Фокус на Data Provenance: Все прогнозы и данные об аренде маскируются.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Разделение контуров: B2B SaaS контур работает отдельно от Crypto-контура до получения лицензий.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08:40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Краткий перечень рисков (Risk Register)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Legal (critical) | Mitigation: legal opinion, B2B/no-money separation, compliance checklist | Response: suspend affected module, legal escalation, regulator/customer communication | Owner: CCO | Trigger: adverse opinion/regulator request.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Banking (critical) | Mitigation: KYC/AML data room, source-of-funds, separated fiat/crypto flows | Response: freeze flow, reconcile, alternate approved banking route | Owner: CFO/CCO | Trigger: hold/rejection.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People (high) | Mitigation: role coverage, documentation, grades/options, hiring pipeline | Response: interim owner + contractor/relocation hiring | Owner: CEO/CTO | Trigger: regretted attrition or vacancy &gt;60 days.</w:t>
      </w:r>
    </w:p>
    <w:p>
      <w:pPr>
        <w:spacing w:before="0" w:after="120" w:line="210" w:lineRule="auto"/>
      </w:pPr>
      <w:r>
        <w:rPr>
          <w:color w:val="222222"/>
          <w:sz w:val="22"/>
          <w:szCs w:val="22"/>
        </w:rPr>
        <w:t xml:space="preserve">4. Technical/security (high) | Mitigation: threat model, review, SAST/SCA, external audit, bug bounty | Response: isolate, pause contract, incident response, patch/redeploy | Owner: CTO/Security | Trigger: critical finding or incident.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Risk governance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Monthly review: probability × impact, control status and trigger trend. No claim of regulatory compliance until independently confirmed.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09:20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Оценка ROI проектов (Q3 2026)</w:t>
      </w:r>
    </w:p>
    <w:tbl>
      <w:tblPr>
        <w:tblStyle w:val="Table4"/>
        <w:tblW w:w="14400.0" w:type="dxa"/>
        <w:jc w:val="left"/>
        <w:tblInd w:w="-108.0" w:type="dxa"/>
        <w:tblBorders>
          <w:top w:color="4f81bd" w:space="0" w:sz="8" w:val="single"/>
          <w:bottom w:color="4f81bd" w:space="0" w:sz="8" w:val="single"/>
        </w:tblBorders>
        <w:tblLayout w:type="fixed"/>
        <w:tblLook w:val="04A0"/>
      </w:tblPr>
      <w:tblGrid>
        <w:gridCol w:w="4800"/>
        <w:gridCol w:w="4800"/>
        <w:gridCol w:w="4800"/>
        <w:tblGridChange w:id="0">
          <w:tblGrid>
            <w:gridCol w:w="4800"/>
            <w:gridCol w:w="4800"/>
            <w:gridCol w:w="4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Инструмент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Ожидаемая доходность (годовая)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Уровень риска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Банковские вклады РФ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~ 13.0% - 14.0% (RUB)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Топ-15 акций ММВБ (дивиденды)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~ 12.0% - 15.0% (RUB)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Банковские вклады ОАЭ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~ 4.0% - 6.25% (AED/USD)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Низкий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Стейкинг USDT (ByBit)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~ 4.0% - 6.0% (USDT)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Средний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ROADMAPS.ME (Венчур)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&gt; 150.0% (A7 стейблкоин в рублях от ВТБ)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Очень высокий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10:00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6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1: Почему выбрана такая стратегия?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Стратегия выстроена исходя из юридических аспектов: мы не можем запустить крипто-биржу или гемблинг без лицензии в ОАЭ.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Мы начинаем с легального B2B SaaS (ремонт и аренда), доказываем Product-Market Fit, а Polymarket-модель споров остается экспериментальным функционалом до юридического разрешения.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10:40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7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2: Как будем измерять успех (KPI)?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North Star Metric: Количество решений (споров, сделок), закрытых через наш workflow.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Финансы: ARR (цель Год 1: $10k, Год 3: $0.25M).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Customer: NPS, CSAT, support first-response time. AI quality: documented evaluation score.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Balanced KPI set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Product: MAU/DAU, activation/conversion, retention, churn; North Star = completed workflow outcomes.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Engineering (DORA): deployment frequency, lead time, change failure rate, MTTR.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Reliability: uptime ≥99.9% after MVP, SLO compliance, incident count/severity.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Security: security incidents, open critical vulnerabilities, mean time to remediate, MFA coverage, patch compliance.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People: hiring-plan attainment, retention, time-to-hire.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11:20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3: Что если инвесторы потребуют 2х прибыли за 1 год?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Это стандартная угроза венчура. Тогда фокусируемся на B2B контрактах застройщиков (ремонт под ключ), самый эффективный инструмент.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Мы не тратим деньги на разработку мобильного приложения до тех пор, пока нет реальной выручки от сайта ROADMAPS.ME.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12:00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9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4: Как будем управлять техническим долгом?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Выделение Platform Engineering команды на 2-3 году.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Продуктовые команды не должны тратить время на инфраструктуру, разработка ведется в облаке Azure/AWS.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Разделение бюджетов на R&amp;D (инновации) и поддержку (legacy) в пропорции 20 на 80.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12:40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3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5: Как HR удержать команду?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Механизм “сжатия доли до 5%” работает как кнут, но нужен и пряник.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Внедрение прозрачной системы грейдов, опционы для работников.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Выстраивание Engineering Culture: Open-source friendly, TDD, Tech-статьи на популярных ресурсах.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13:20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6: Стратегия Build vs Buy?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Build (строим сами): Core-движок прогнозов, смарт-контракты арбитража, AI-агрегация.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Buy / Integrate (покупаем): CRM, Billing, KYC провайдеры (SumSub), базовые чаты.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14:00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7: Юридические аспекты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Операционный контур: ОАЭ (фриланс / локальное юрлицо для SaaS).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Азиатские продажи: потребуется Hong Kong Ltd для выхода на рынок Китая.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Это снижает комплаенс-риски в банках ОАЭ.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Year 1 operating assumption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Команда 5 человек в Армении работает в модели через ИП; юридическую и налоговую модель необходимо подтвердить с локальным консультантом.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Year 3: 30 UAE. Year 5: 125 UAE + 1 Hong Kong. География одинакова во всех планах и бюджетах.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14:40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8: Инженерная культура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Code Style &amp; Conventions.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Покрытие тестами (Quality Assurance).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DevSecOps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безопасность внедряется на этапе написания кода, а не после.</w:t>
      </w:r>
    </w:p>
    <w:p>
      <w:pPr>
        <w:spacing w:before="0" w:after="30" w:line="210" w:lineRule="auto"/>
      </w:pPr>
      <w:r>
        <w:rPr>
          <w:b/>
          <w:bCs/>
          <w:color w:val="1F4E79"/>
          <w:sz w:val="20"/>
          <w:szCs w:val="20"/>
        </w:rPr>
        <w:t xml:space="preserve">Security by design lifecycle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Design → threat modeling → secure coding → code review → SAST/SCA → testing → deployment gates → monitoring → incident response.</w:t>
      </w:r>
    </w:p>
    <w:p>
      <w:pPr>
        <w:spacing w:before="0" w:after="20" w:line="210" w:lineRule="auto"/>
      </w:pPr>
      <w:r>
        <w:rPr>
          <w:color w:val="222222"/>
          <w:sz w:val="18"/>
          <w:szCs w:val="18"/>
        </w:rPr>
        <w:t xml:space="preserve">Для финансовых данных и smart contracts: least privilege, MFA, secrets management, audit trail, independent review before money flows.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15:20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9: Выбор Монолита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Микросервисы на старте увеличивают нагрузку на команду.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Монолит позволяет одной небольшой команде быстро деливерить фичи.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16:00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10: Риски Polymarket-модели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Это может квалифицироваться как казино.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Решение: использовать механику очков репутации вместо реальных денег на старте (Decision Intelligence).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Применение стейбл коина A7 от ВТБ только после получения лицензий.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16:40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11: Вопросы поддержки от банка Mashreq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Mashreq NEO и бизнес-счета ОАЭ открыты к инновациям, но блокируют транзакции с сомнительным AML.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Мы обязаны предоставить KYC Data Room и прозрачный Source of Funds для инвесторов.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17:20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12: Стратегия внедрения ИИ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Этап 1: Интеграция по API (OpenAI/Anthropic) для суммаризации споров.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Этап 2: Собственный RAG (Retrieval-Augmented Generation) на базе строительных смет ОАЭ и других стран.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Этап 3: Полностью локальные LLM для конфиденциальности (на горизонте 3-5 лет).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18:00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13: Безопасность смарт-контрактов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Любой код, работающий с деньгами (A7, NFT) проходит независимый аудит (Certik / Hacken).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Внедрение Multisig (много подписных кошельков) для казначейства компании.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Публичная Bug Bounty программа и хакатоны.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18:40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9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Вопрос 14: Перерасход бюджетов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Контроль бюджета через жесткие milestone-гейты.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Если разработка MVP сжигает больше $80k, активируется штрафной выкуп акций C-level менеджерами, что закрывает кассовый разрыв.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right"/>
        <w:rPr/>
      </w:pPr>
      <w:r w:rsidDel="00000000" w:rsidR="00000000" w:rsidRPr="00000000">
        <w:rPr>
          <w:b w:val="1"/>
          <w:bCs w:val="1"/>
          <w:color w:val="808080"/>
          <w:sz w:val="24"/>
          <w:szCs w:val="24"/>
          <w:rtl w:val="0"/>
        </w:rPr>
        <w:t xml:space="preserve">⏱️ Тайминг: 19:20 / 20:00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center"/>
        <w:rPr/>
      </w:pPr>
      <w:r w:rsidDel="00000000" w:rsidR="00000000" w:rsidRPr="00000000">
        <w:rPr/>
        <w:drawing>
          <wp:inline distB="0" distT="0" distL="114300" distR="114300">
            <wp:extent cx="9144000" cy="1714500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Ваши вопросы.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Местные партнеры получают готовый движок маркетплейса и арбитража, занимаясь продажами, масштабируя компанию  по франшизе.</w:t>
      </w:r>
    </w:p>
    <w:sectPr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2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3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  <w:style w:type="table" w:styleId="Table4">
    <w:basedOn w:val="TableNormal"/>
    <w:pPr>
      <w:spacing w:after="0" w:line="240" w:lineRule="auto"/>
    </w:pPr>
    <w:rPr>
      <w:color w:val="36609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band1Vert">
      <w:tcPr>
        <w:tcBorders>
          <w:left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cBorders>
        <w:shd w:fill="d3dfee" w:val="clear"/>
      </w:tcPr>
    </w:tblStylePr>
    <w:tblStylePr w:type="firstCol">
      <w:rPr>
        <w:b w:val="1"/>
        <w:bCs w:val="1"/>
      </w:rPr>
    </w:tblStylePr>
    <w:tblStylePr w:type="fir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  <w:tblStylePr w:type="lastCol">
      <w:rPr>
        <w:b w:val="1"/>
        <w:bCs w:val="1"/>
      </w:rPr>
    </w:tblStylePr>
    <w:tblStylePr w:type="lastRow">
      <w:pPr>
        <w:spacing w:after="0" w:before="0" w:line="240" w:lineRule="auto"/>
      </w:pPr>
      <w:rPr>
        <w:b w:val="1"/>
        <w:bCs w:val="1"/>
      </w:rPr>
      <w:tcPr>
        <w:tcBorders>
          <w:top w:color="4f81bd" w:space="0" w:sz="8" w:val="single"/>
          <w:left w:color="000000" w:space="0" w:sz="0" w:val="nil"/>
          <w:bottom w:color="4f81bd" w:space="0" w:sz="8" w:val="single"/>
          <w:right w:color="000000" w:space="0" w:sz="0" w:val="nil"/>
          <w:insideH w:color="000000" w:space="0" w:sz="0" w:val="nil"/>
          <w:insideV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jpg"/><Relationship Id="rId9" Type="http://schemas.openxmlformats.org/officeDocument/2006/relationships/hyperlink" Target="http://roadmaps.me" TargetMode="Externa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yperlink" Target="http://roadmaps.me" TargetMode="External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