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 сентября 2026 г.</w:t>
      </w:r>
    </w:p>
    <w:p>
      <w:pPr>
        <w:spacing w:line="360" w:lineRule="auto" w:before="0" w:after="2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г. Москва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аспирантскую школу по экономике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Национального исследовательского университета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«Высшая школа экономики»</w:t>
      </w:r>
    </w:p>
    <w:p>
      <w:pPr>
        <w:spacing w:line="360" w:lineRule="auto" w:before="360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МОТИВАЦИОННОЕ ПИСЬМО</w:t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 поступлении в аспирантуру по научной специальности</w:t>
        <w:br/>
        <w:t>5.2.2. Математические, статистические и инструментальные методы в экономике</w:t>
      </w:r>
    </w:p>
    <w:p>
      <w:pPr>
        <w:spacing w:line="360" w:lineRule="auto" w:before="0" w:after="24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Уважаемые члены приемной комиссии!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Стремительное внедрение систем искусственного интеллекта в логистику — автономную доставку, алгоритмическое управление складом, динамическую маршрутизацию и телематический мониторинг грузов — меняет профиль операционного и гражданского риска. Классические полисы гражданской ответственности, киберстрахования и профессиональной ответственности покрывают этот контур лишь фрагментарно: киберполис привязан к инциденту безопасности, тогда как «галлюцинация» модели — ложный, но правдоподобный вывод — может произойти без взлома. Федеральный закон № 169-ФЗ встраивает страхование гражданской ответственности в экспериментальные правовые режимы в сфере ИИ, а Банк России задает словарь рисков моделей, включая дрейф данных и галлюцинации. Тема математических методов страхования ответственности ИИ в логистике находится на пересечении отраслевой потребности, регуляторного запроса и специальности 5.2.2, и именно её я намерен разрабатывать в аспирантуре НИУ ВШЭ.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Первая причина поступления — необходимость опереть новую страховую задачу на строгую математическую подготовку. В 2006 году я окончил механико-математический факультет Московского государственного университета имени М. В. Ломоносова по специальности «Математика» и получил диплом МГУ. Аппарат теории вероятностей, оптимизации и дискретных структур, полученный на мехмате, позволяет переносить актуарный тариф, эконометрику убытков и игровое распределение ответственности в логистической цепи на язык моделей, а не на язык метафор.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Вторая причина — опыт самостоятельной научной экспертизы. Я работал рецензентом книги Завесова Александра Львовича «Теория соседства» (Zavesov A. L. The Neighborhood Theory; открытый текст: </w:t>
      </w:r>
      <w:hyperlink r:id="rId9">
        <w:r>
          <w:rPr>
            <w:rFonts w:ascii="Times New Roman" w:hAnsi="Times New Roman" w:eastAsia="Times New Roman"/>
            <w:sz w:val="28"/>
            <w:szCs w:val="28"/>
            <w:color w:val="0563C1"/>
            <w:u w:val="single"/>
          </w:rPr>
          <w:t xml:space="preserve">https://www.researchgate.net/publication/377731066_NEIGHBORHOOD_THEORY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; семинар механико-математического факультета МГУ: </w:t>
      </w:r>
      <w:hyperlink r:id="rId10">
        <w:r>
          <w:rPr>
            <w:rFonts w:ascii="Times New Roman" w:hAnsi="Times New Roman" w:eastAsia="Times New Roman"/>
            <w:sz w:val="28"/>
            <w:szCs w:val="28"/>
            <w:color w:val="0563C1"/>
            <w:u w:val="single"/>
          </w:rPr>
          <w:t xml:space="preserve">https://www.mathnet.ru/php/seminars.phtml?option_lang=rus&amp;presentid=46202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). Отдельного препринта этой книги на arXiv.org нет; при рецензировании я сверял аппарат соседства с каноном neighborhood-структур, размещённым на arXiv.org: </w:t>
      </w:r>
      <w:hyperlink r:id="rId11">
        <w:r>
          <w:rPr>
            <w:rFonts w:ascii="Times New Roman" w:hAnsi="Times New Roman" w:eastAsia="Times New Roman"/>
            <w:sz w:val="28"/>
            <w:szCs w:val="28"/>
            <w:color w:val="0563C1"/>
            <w:u w:val="single"/>
          </w:rPr>
          <w:t xml:space="preserve">https://arxiv.org/abs/0901.4430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(Hansen, Kupke, Pacuit. Neighbourhood Structures: Bisimilarity and Basic Model Theory). Работа над критериями соседства, связности и квазиметрик укрепила навык критического чтения формального текста — навык, без которого нельзя строить аудит «чёрного ящика» ИИ и описывать коррелированные отказы общих моделей.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Третья причина — незакрытый разрыв в литературе, который я уже очертил во введении портфолио. Не закрытыми остаются связка вероятностной модели сбоя с эконометрической оценкой и тарифом; игровое распределение ответственности в цепи поставок; резервы при коррелированных отказах общих моделей; формализация издержек галлюцинаций; динамический полис на защищённой телематике. Аспирантура по специальности 5.2.2 в НИУ ВШЭ даёт институциональную рамку, в которой эти задачи решаются методами ожидаемой полезности и игр, макроэкономики технического прогресса, теории вероятностей и современной эконометрики, а не остаются на уровне отраслевых обзоров.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Четвёртая причина — научная среда Вышки и уже начатая работа с руководителем. Я подготовил портфолио / черновик кандидатской диссертации «Математические методы страхования ответственности искусственного интеллекта в логистике» и прошу продолжить исследование под научным руководством старшего научного сотрудника Ремизова Ивана Дмитриевича. Сочетание экономической теории, эконометрики и инструментальных методов, принятое в аспирантской школе по экономике НИУ ВШЭ, соответствует пятнадцати задачам черновика: от карты рисков Банка России и аудита алгоритмов до протокола эмпирической апробации.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Пятая причина — реалистичный план публикаций. В ходе обучения я намерен подготовить статьи в три рецензируемых журнала уровня «вестников Поволжья»: «Научно-технический вестник Поволжья»; «Вестник Поволжского государственного технологического университета. Серия «Экономика и управление»»; «Вестник Самарского государственного экономического университета». Параллельно ставлю целью публикации в двух топовых международных журналах: Econometrica и Insurance: Mathematics and Economics. Такая двухуровневая стратегия закрывает требования к отечественным рецензируемым изданиям и одновременно проверяет модели на стандарте мировой актуарно-эконометрической литературы.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Прошу рассмотреть настоящее письмо вместе с портфолио как заявление о готовности пройти вступительные испытания аспирантуры НИУ ВШЭ в сентябре 2026 года. Обязуюсь соблюдать академическую добросовестность, участвовать в семинарах школы и довести исследование до кандидатской диссертации по специальности 5.2.2. Благодарю за внимание.</w:t>
      </w:r>
    </w:p>
    <w:p>
      <w:pPr>
        <w:spacing w:line="360" w:lineRule="auto" w:before="36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 уважением,</w:t>
      </w:r>
    </w:p>
    <w:p>
      <w:pPr>
        <w:spacing w:line="360" w:lineRule="auto" w:before="48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Басов Юрий Олегович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_________________________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подпись</w:t>
      </w:r>
    </w:p>
    <w:p>
      <w:pPr>
        <w:spacing w:line="360" w:lineRule="auto" w:before="24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 сентября 2026 г.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esearchgate.net/publication/377731066_NEIGHBORHOOD_THEORY" TargetMode="External"/><Relationship Id="rId10" Type="http://schemas.openxmlformats.org/officeDocument/2006/relationships/hyperlink" Target="https://www.mathnet.ru/php/seminars.phtml?option_lang=rus&amp;presentid=46202" TargetMode="External"/><Relationship Id="rId11" Type="http://schemas.openxmlformats.org/officeDocument/2006/relationships/hyperlink" Target="https://arxiv.org/abs/0901.44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