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64D926">
      <w:pPr>
        <w:pStyle w:val="3"/>
        <w:keepNext w:val="0"/>
        <w:keepLines w:val="0"/>
        <w:widowControl/>
        <w:suppressLineNumbers w:val="0"/>
        <w:jc w:val="center"/>
        <w:rPr>
          <w:rFonts w:hint="eastAsia" w:ascii="黑体" w:hAnsi="黑体" w:eastAsia="黑体"/>
          <w:color w:val="000000"/>
          <w:sz w:val="32"/>
          <w:szCs w:val="32"/>
        </w:rPr>
      </w:pPr>
      <w:r>
        <w:rPr>
          <w:rFonts w:hint="eastAsia" w:ascii="黑体" w:hAnsi="黑体" w:eastAsia="黑体"/>
          <w:color w:val="000000"/>
          <w:sz w:val="32"/>
          <w:szCs w:val="32"/>
        </w:rPr>
        <w:t>硕士研究生</w:t>
      </w:r>
      <w:r>
        <w:rPr>
          <w:rFonts w:ascii="黑体" w:hAnsi="黑体" w:eastAsia="黑体"/>
          <w:color w:val="000000"/>
          <w:sz w:val="32"/>
          <w:szCs w:val="32"/>
        </w:rPr>
        <w:t>《</w:t>
      </w:r>
      <w:r>
        <w:rPr>
          <w:rFonts w:hint="eastAsia" w:ascii="黑体" w:hAnsi="黑体" w:eastAsia="黑体"/>
          <w:color w:val="000000"/>
          <w:sz w:val="32"/>
          <w:szCs w:val="32"/>
        </w:rPr>
        <w:t>电子商务与商务智能</w:t>
      </w:r>
      <w:r>
        <w:rPr>
          <w:rFonts w:ascii="黑体" w:hAnsi="黑体" w:eastAsia="黑体"/>
          <w:color w:val="000000"/>
          <w:sz w:val="32"/>
          <w:szCs w:val="32"/>
        </w:rPr>
        <w:t>》课程</w:t>
      </w:r>
      <w:r>
        <w:rPr>
          <w:rFonts w:hint="eastAsia" w:ascii="黑体" w:hAnsi="黑体" w:eastAsia="黑体"/>
          <w:color w:val="000000"/>
          <w:sz w:val="32"/>
          <w:szCs w:val="32"/>
        </w:rPr>
        <w:t>作业</w:t>
      </w:r>
    </w:p>
    <w:p w14:paraId="159C22C2">
      <w:pPr>
        <w:jc w:val="center"/>
        <w:rPr>
          <w:rFonts w:hint="default" w:ascii="黑体" w:hAnsi="黑体" w:eastAsia="黑体"/>
          <w:color w:val="0070C0"/>
          <w:sz w:val="32"/>
          <w:szCs w:val="32"/>
          <w:lang w:val="en-US"/>
        </w:rPr>
      </w:pPr>
      <w:r>
        <w:rPr>
          <w:rFonts w:hint="eastAsia" w:ascii="黑体" w:hAnsi="黑体" w:eastAsia="黑体"/>
          <w:color w:val="000000"/>
          <w:sz w:val="32"/>
          <w:szCs w:val="32"/>
        </w:rPr>
        <w:t>姓名：</w:t>
      </w:r>
      <w:r>
        <w:rPr>
          <w:rFonts w:hint="eastAsia" w:ascii="黑体" w:hAnsi="黑体" w:eastAsia="黑体"/>
          <w:color w:val="000000"/>
          <w:sz w:val="32"/>
          <w:szCs w:val="32"/>
          <w:lang w:val="en-US" w:eastAsia="zh-CN"/>
        </w:rPr>
        <w:t>严良鹏</w:t>
      </w:r>
      <w:r>
        <w:rPr>
          <w:rFonts w:ascii="黑体" w:hAnsi="黑体" w:eastAsia="黑体"/>
          <w:color w:val="000000"/>
          <w:sz w:val="32"/>
          <w:szCs w:val="32"/>
        </w:rPr>
        <w:tab/>
      </w:r>
      <w:r>
        <w:rPr>
          <w:rFonts w:hint="eastAsia" w:ascii="黑体" w:hAnsi="黑体" w:eastAsia="黑体"/>
          <w:color w:val="000000"/>
          <w:sz w:val="32"/>
          <w:szCs w:val="32"/>
        </w:rPr>
        <w:t>学号：</w:t>
      </w:r>
      <w:r>
        <w:rPr>
          <w:rFonts w:hint="eastAsia" w:ascii="黑体" w:hAnsi="黑体" w:eastAsia="黑体"/>
          <w:color w:val="000000"/>
          <w:sz w:val="32"/>
          <w:szCs w:val="32"/>
          <w:lang w:val="en-US" w:eastAsia="zh-CN"/>
        </w:rPr>
        <w:t>E202554433</w:t>
      </w:r>
    </w:p>
    <w:p w14:paraId="3CB23156">
      <w:pPr>
        <w:jc w:val="center"/>
        <w:rPr>
          <w:rFonts w:hint="default" w:ascii="黑体" w:hAnsi="黑体" w:eastAsia="黑体"/>
          <w:color w:val="000000"/>
          <w:sz w:val="32"/>
          <w:szCs w:val="32"/>
          <w:lang w:val="en-US" w:eastAsia="zh-CN"/>
        </w:rPr>
      </w:pPr>
      <w:r>
        <w:rPr>
          <w:rFonts w:hint="eastAsia" w:ascii="黑体" w:hAnsi="黑体" w:eastAsia="黑体"/>
          <w:color w:val="000000"/>
          <w:sz w:val="32"/>
          <w:szCs w:val="32"/>
        </w:rPr>
        <w:t>姓名：</w:t>
      </w:r>
      <w:r>
        <w:rPr>
          <w:rFonts w:hint="eastAsia" w:ascii="黑体" w:hAnsi="黑体" w:eastAsia="黑体"/>
          <w:color w:val="000000"/>
          <w:sz w:val="32"/>
          <w:szCs w:val="32"/>
          <w:lang w:val="en-US" w:eastAsia="zh-CN"/>
        </w:rPr>
        <w:t>马行伟</w:t>
      </w:r>
      <w:r>
        <w:rPr>
          <w:rFonts w:ascii="黑体" w:hAnsi="黑体" w:eastAsia="黑体"/>
          <w:color w:val="000000"/>
          <w:sz w:val="32"/>
          <w:szCs w:val="32"/>
        </w:rPr>
        <w:tab/>
      </w:r>
      <w:r>
        <w:rPr>
          <w:rFonts w:hint="eastAsia" w:ascii="黑体" w:hAnsi="黑体" w:eastAsia="黑体"/>
          <w:color w:val="000000"/>
          <w:sz w:val="32"/>
          <w:szCs w:val="32"/>
        </w:rPr>
        <w:t>学号：</w:t>
      </w:r>
      <w:r>
        <w:rPr>
          <w:rFonts w:hint="eastAsia" w:ascii="黑体" w:hAnsi="黑体" w:eastAsia="黑体"/>
          <w:color w:val="000000"/>
          <w:sz w:val="32"/>
          <w:szCs w:val="32"/>
          <w:lang w:val="en-US" w:eastAsia="zh-CN"/>
        </w:rPr>
        <w:t>2025544031</w:t>
      </w:r>
    </w:p>
    <w:p w14:paraId="47A8242D">
      <w:pPr>
        <w:jc w:val="center"/>
        <w:rPr>
          <w:rFonts w:hint="eastAsia" w:ascii="黑体" w:hAnsi="黑体" w:eastAsia="黑体"/>
          <w:color w:val="000000"/>
          <w:sz w:val="32"/>
          <w:szCs w:val="32"/>
          <w:lang w:val="en-US" w:eastAsia="zh-CN"/>
        </w:rPr>
      </w:pPr>
      <w:r>
        <w:rPr>
          <w:rFonts w:hint="eastAsia" w:ascii="黑体" w:hAnsi="黑体" w:eastAsia="黑体"/>
          <w:color w:val="000000"/>
          <w:sz w:val="32"/>
          <w:szCs w:val="32"/>
        </w:rPr>
        <w:t>姓名：</w:t>
      </w:r>
      <w:r>
        <w:rPr>
          <w:rFonts w:hint="eastAsia" w:ascii="黑体" w:hAnsi="黑体" w:eastAsia="黑体"/>
          <w:color w:val="000000"/>
          <w:sz w:val="32"/>
          <w:szCs w:val="32"/>
          <w:lang w:val="en-US" w:eastAsia="zh-CN"/>
        </w:rPr>
        <w:t>李子涵</w:t>
      </w:r>
      <w:r>
        <w:rPr>
          <w:rFonts w:ascii="黑体" w:hAnsi="黑体" w:eastAsia="黑体"/>
          <w:color w:val="000000"/>
          <w:sz w:val="32"/>
          <w:szCs w:val="32"/>
        </w:rPr>
        <w:tab/>
      </w:r>
      <w:r>
        <w:rPr>
          <w:rFonts w:hint="eastAsia" w:ascii="黑体" w:hAnsi="黑体" w:eastAsia="黑体"/>
          <w:color w:val="000000"/>
          <w:sz w:val="32"/>
          <w:szCs w:val="32"/>
        </w:rPr>
        <w:t>学号：</w:t>
      </w:r>
      <w:r>
        <w:rPr>
          <w:rFonts w:hint="eastAsia" w:ascii="黑体" w:hAnsi="黑体" w:eastAsia="黑体"/>
          <w:color w:val="000000"/>
          <w:sz w:val="32"/>
          <w:szCs w:val="32"/>
          <w:lang w:val="en-US" w:eastAsia="zh-CN"/>
        </w:rPr>
        <w:t>2025542017</w:t>
      </w:r>
    </w:p>
    <w:p w14:paraId="50734C13">
      <w:pPr>
        <w:jc w:val="center"/>
        <w:rPr>
          <w:rFonts w:hint="eastAsia" w:ascii="黑体" w:hAnsi="黑体" w:eastAsia="黑体"/>
          <w:color w:val="000000"/>
          <w:sz w:val="32"/>
          <w:szCs w:val="32"/>
          <w:lang w:val="en-US" w:eastAsia="zh-CN"/>
        </w:rPr>
      </w:pPr>
    </w:p>
    <w:p w14:paraId="06938080">
      <w:pPr>
        <w:pStyle w:val="8"/>
        <w:numPr>
          <w:ilvl w:val="0"/>
          <w:numId w:val="1"/>
        </w:numPr>
        <w:ind w:firstLineChars="0"/>
        <w:rPr>
          <w:rFonts w:ascii="黑体" w:hAnsi="黑体" w:eastAsia="黑体"/>
          <w:color w:val="000000"/>
          <w:sz w:val="28"/>
          <w:szCs w:val="28"/>
        </w:rPr>
      </w:pPr>
      <w:r>
        <w:rPr>
          <w:rFonts w:hint="eastAsia" w:ascii="黑体" w:hAnsi="黑体" w:eastAsia="黑体"/>
          <w:color w:val="000000"/>
          <w:sz w:val="28"/>
          <w:szCs w:val="28"/>
        </w:rPr>
        <w:t>作业选题</w:t>
      </w:r>
    </w:p>
    <w:p w14:paraId="7104E4BA">
      <w:pPr>
        <w:numPr>
          <w:ilvl w:val="0"/>
          <w:numId w:val="2"/>
        </w:numPr>
        <w:ind w:left="360" w:leftChars="0"/>
        <w:rPr>
          <w:rFonts w:hint="eastAsia"/>
          <w:color w:val="auto"/>
          <w:sz w:val="24"/>
          <w:szCs w:val="24"/>
        </w:rPr>
      </w:pPr>
      <w:r>
        <w:rPr>
          <w:rFonts w:hint="eastAsia"/>
          <w:color w:val="auto"/>
          <w:sz w:val="24"/>
          <w:szCs w:val="24"/>
        </w:rPr>
        <w:t>基于无人设备的电子商务物流实践</w:t>
      </w:r>
    </w:p>
    <w:p w14:paraId="5F1A01E4">
      <w:pPr>
        <w:pStyle w:val="8"/>
        <w:numPr>
          <w:ilvl w:val="0"/>
          <w:numId w:val="1"/>
        </w:numPr>
        <w:ind w:firstLineChars="0"/>
        <w:rPr>
          <w:rFonts w:ascii="黑体" w:hAnsi="黑体" w:eastAsia="黑体"/>
          <w:color w:val="000000"/>
          <w:sz w:val="28"/>
          <w:szCs w:val="28"/>
        </w:rPr>
      </w:pPr>
      <w:r>
        <w:rPr>
          <w:rFonts w:ascii="黑体" w:hAnsi="黑体" w:eastAsia="黑体"/>
          <w:color w:val="000000"/>
          <w:sz w:val="28"/>
          <w:szCs w:val="28"/>
        </w:rPr>
        <w:t>选题背景</w:t>
      </w:r>
    </w:p>
    <w:p w14:paraId="26554574">
      <w:pPr>
        <w:pStyle w:val="5"/>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随着全球电子商务市场的爆炸式增长，消费者对配送速度和灵活性的期望已攀升至前所未有的高度，即时达、当日达等服务正从高端选项变为市场标配。这一趋势给传统物流体系带来了巨大的运营压力，尤其是在“最后一公里”这一成本最高昂、效率最低下的环节。严峻的经济现实与日益增长</w:t>
      </w:r>
      <w:bookmarkStart w:id="23" w:name="_GoBack"/>
      <w:bookmarkEnd w:id="23"/>
      <w:r>
        <w:t>的市场需求形成了一股强大的驱动力，迫使物流行业必须寻求颠覆性的降本增效方案。据世界经济论坛</w:t>
      </w:r>
      <w:r>
        <w:rPr>
          <w:rFonts w:hint="default"/>
          <w:vertAlign w:val="superscript"/>
          <w:lang w:val="en-US"/>
        </w:rPr>
        <w:fldChar w:fldCharType="begin"/>
      </w:r>
      <w:r>
        <w:rPr>
          <w:rFonts w:hint="default"/>
          <w:vertAlign w:val="superscript"/>
          <w:lang w:val="en-US"/>
        </w:rPr>
        <w:instrText xml:space="preserve"> REF _Ref20352 \r \h </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t>预测，到2030年，全球对“最后一公里”配送的需求将增长近80%，持续的经济压力要求物流企业不断创新。</w:t>
      </w:r>
    </w:p>
    <w:p w14:paraId="6D8C2EB6">
      <w:pPr>
        <w:pStyle w:val="5"/>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正当行业在经济压力下探索技术路径时，COVID-19大流行等突发公共卫生事件从社会层面凸显了传统物流网络的脆弱性，对无接触配送和高弹性运输系统的迫切需求瞬间被放大至战略高度</w:t>
      </w:r>
      <w:r>
        <w:rPr>
          <w:rFonts w:hint="default"/>
          <w:vertAlign w:val="superscript"/>
          <w:lang w:val="en-US"/>
        </w:rPr>
        <w:fldChar w:fldCharType="begin"/>
      </w:r>
      <w:r>
        <w:rPr>
          <w:rFonts w:hint="default"/>
          <w:vertAlign w:val="superscript"/>
          <w:lang w:val="en-US"/>
        </w:rPr>
        <w:instrText xml:space="preserve"> REF _Ref20466 \r \h </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rPr>
          <w:rFonts w:hint="eastAsia"/>
          <w:vertAlign w:val="superscript"/>
          <w:lang w:val="en-US" w:eastAsia="zh-CN"/>
        </w:rPr>
        <w:t xml:space="preserve"> </w:t>
      </w:r>
      <w:r>
        <w:t>。在这一背景下，以无人机为代表的无人设备技术，凭借其独特的优势，迅速从前沿概念走向了现实应用的前台。无人机与传统货运卡车的协同作业模式，正是技术演进对上述经济与社会双重压力的直接回应。这种模式巧妙地结合了无人机（快速、灵活、能规避地面拥堵）与货运卡车（运力大、续航远）的互补优势，形成了一种高效的协同配送系统</w:t>
      </w:r>
      <w:r>
        <w:rPr>
          <w:rFonts w:hint="default"/>
          <w:vertAlign w:val="superscript"/>
          <w:lang w:val="en-US"/>
        </w:rPr>
        <w:fldChar w:fldCharType="begin"/>
      </w:r>
      <w:r>
        <w:rPr>
          <w:rFonts w:hint="default"/>
          <w:vertAlign w:val="superscript"/>
          <w:lang w:val="en-US"/>
        </w:rPr>
        <w:instrText xml:space="preserve"> REF _Ref20551 \r \h </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r>
        <w:rPr>
          <w:vertAlign w:val="superscript"/>
        </w:rPr>
        <w:t xml:space="preserve"> </w:t>
      </w:r>
      <w:r>
        <w:t>。</w:t>
      </w:r>
    </w:p>
    <w:p w14:paraId="736D920E">
      <w:pPr>
        <w:pStyle w:val="5"/>
        <w:keepNext w:val="0"/>
        <w:keepLines w:val="0"/>
        <w:pageBreakBefore w:val="0"/>
        <w:widowControl/>
        <w:suppressLineNumbers w:val="0"/>
        <w:kinsoku/>
        <w:wordWrap/>
        <w:overflowPunct/>
        <w:topLinePunct w:val="0"/>
        <w:autoSpaceDE/>
        <w:autoSpaceDN/>
        <w:bidi w:val="0"/>
        <w:adjustRightInd/>
        <w:snapToGrid/>
        <w:ind w:firstLine="480" w:firstLineChars="200"/>
        <w:textAlignment w:val="auto"/>
      </w:pPr>
      <w:r>
        <w:t>经济驱动、社会需求与技术演进这三股力量的交汇，标志着电子商务物流已进入一个由无人设备定义的全新纪元。将无人设备融入物流网络，不再仅仅是一次技术上的探索，而是应对市场需求、外部挑战和可持续发展要求的战略必然选择。它正推动着整个行业从劳动密集型向技术驱动型深度转型。为了深刻理解这一变革，我们必须首先系统梳理其背后的核心理论框架与关键技术发展现状。</w:t>
      </w:r>
    </w:p>
    <w:p w14:paraId="0623FD44">
      <w:pPr>
        <w:pStyle w:val="8"/>
        <w:numPr>
          <w:ilvl w:val="0"/>
          <w:numId w:val="1"/>
        </w:numPr>
        <w:ind w:firstLineChars="0"/>
        <w:rPr>
          <w:rFonts w:ascii="黑体" w:hAnsi="黑体" w:eastAsia="黑体"/>
          <w:color w:val="000000"/>
          <w:sz w:val="28"/>
          <w:szCs w:val="28"/>
        </w:rPr>
      </w:pPr>
      <w:r>
        <w:rPr>
          <w:rFonts w:hint="eastAsia" w:ascii="黑体" w:hAnsi="黑体" w:eastAsia="黑体"/>
          <w:color w:val="000000"/>
          <w:sz w:val="28"/>
          <w:szCs w:val="28"/>
        </w:rPr>
        <w:t>理论/技术发展现状</w:t>
      </w:r>
    </w:p>
    <w:p w14:paraId="260BC6A3">
      <w:pPr>
        <w:pStyle w:val="4"/>
        <w:keepNext w:val="0"/>
        <w:keepLines w:val="0"/>
        <w:widowControl/>
        <w:suppressLineNumbers w:val="0"/>
      </w:pPr>
      <w:r>
        <w:rPr>
          <w:rFonts w:hint="eastAsia"/>
          <w:lang w:val="en-US" w:eastAsia="zh-CN"/>
        </w:rPr>
        <w:t>3</w:t>
      </w:r>
      <w:r>
        <w:t>.1. 无人设备物流的核心理论框架</w:t>
      </w:r>
    </w:p>
    <w:p w14:paraId="7021779F">
      <w:pPr>
        <w:pStyle w:val="5"/>
        <w:keepNext w:val="0"/>
        <w:keepLines w:val="0"/>
        <w:pageBreakBefore w:val="0"/>
        <w:widowControl/>
        <w:suppressLineNumbers w:val="0"/>
        <w:kinsoku/>
        <w:wordWrap/>
        <w:overflowPunct/>
        <w:topLinePunct w:val="0"/>
        <w:autoSpaceDE/>
        <w:autoSpaceDN/>
        <w:bidi w:val="0"/>
        <w:adjustRightInd/>
        <w:snapToGrid/>
        <w:spacing w:beforeAutospacing="0"/>
        <w:ind w:firstLine="480" w:firstLineChars="200"/>
        <w:textAlignment w:val="auto"/>
      </w:pPr>
      <w:r>
        <w:t>为实现无人设备在物流场景中的高效、经济和可靠应用，运筹学与计算机科学领域的研究者们已发展出一系列复杂的数学模型与求解算法。这些理论成果构成了无人设备物流从概念验证走向规模化商用的基石。本章节的战略重要性在于，系统性地梳理这些核心理论、关键技术及其面临的主要约束条件，为深刻理解并成功应用该技术提供坚实的理论基础。我们将从主流作业模式的演进路径、关键求解技术以及核心约束与优化目标三个层面展开论述。</w:t>
      </w:r>
    </w:p>
    <w:p w14:paraId="14426318">
      <w:pPr>
        <w:pStyle w:val="4"/>
        <w:keepNext w:val="0"/>
        <w:keepLines w:val="0"/>
        <w:widowControl/>
        <w:suppressLineNumbers w:val="0"/>
      </w:pPr>
      <w:r>
        <w:rPr>
          <w:rFonts w:hint="eastAsia"/>
          <w:lang w:val="en-US" w:eastAsia="zh-CN"/>
        </w:rPr>
        <w:t>3</w:t>
      </w:r>
      <w:r>
        <w:t>.2. 主流作业模式与数学模型</w:t>
      </w:r>
    </w:p>
    <w:p w14:paraId="18B4E6FA">
      <w:pPr>
        <w:pStyle w:val="5"/>
        <w:keepNext w:val="0"/>
        <w:keepLines w:val="0"/>
        <w:widowControl/>
        <w:suppressLineNumbers w:val="0"/>
        <w:ind w:firstLine="420" w:firstLineChars="0"/>
      </w:pPr>
      <w:r>
        <w:t>无人设备物流的理论研究呈现出一条清晰的演进路径：从针对单一车辆的学术基础模型，逐步泛化至面向商业车队的复杂模型，并最终通过引入更多现实约束来贴近真实运营场景。</w:t>
      </w:r>
    </w:p>
    <w:p w14:paraId="00ECE5EA">
      <w:pPr>
        <w:keepNext w:val="0"/>
        <w:keepLines w:val="0"/>
        <w:widowControl/>
        <w:numPr>
          <w:numId w:val="0"/>
        </w:numPr>
        <w:suppressLineNumbers w:val="0"/>
        <w:spacing w:before="0" w:beforeAutospacing="1" w:after="0" w:afterAutospacing="1"/>
        <w:ind w:leftChars="0"/>
        <w:rPr>
          <w:rFonts w:hint="eastAsia" w:ascii="宋体" w:hAnsi="宋体" w:eastAsia="宋体" w:cs="宋体"/>
          <w:b/>
          <w:bCs/>
          <w:sz w:val="24"/>
          <w:szCs w:val="24"/>
        </w:rPr>
      </w:pPr>
      <w:r>
        <w:rPr>
          <w:rFonts w:hint="eastAsia" w:ascii="宋体" w:hAnsi="宋体" w:eastAsia="宋体" w:cs="宋体"/>
          <w:b/>
          <w:bCs/>
          <w:sz w:val="24"/>
          <w:szCs w:val="24"/>
          <w:lang w:val="en-US" w:eastAsia="zh-CN"/>
        </w:rPr>
        <w:t>3.2.1</w:t>
      </w:r>
      <w:r>
        <w:rPr>
          <w:rFonts w:hint="eastAsia" w:ascii="宋体" w:hAnsi="宋体" w:eastAsia="宋体" w:cs="宋体"/>
          <w:b/>
          <w:bCs/>
          <w:sz w:val="24"/>
          <w:szCs w:val="24"/>
        </w:rPr>
        <w:t>卡车-无人机协同配送 (Truck-Drone Tandem Delivery)</w:t>
      </w:r>
    </w:p>
    <w:p w14:paraId="1974ED74">
      <w:pPr>
        <w:keepNext w:val="0"/>
        <w:keepLines w:val="0"/>
        <w:widowControl/>
        <w:numPr>
          <w:numId w:val="0"/>
        </w:numPr>
        <w:suppressLineNumbers w:val="0"/>
        <w:spacing w:before="0" w:beforeAutospacing="1" w:after="0" w:afterAutospacing="1"/>
        <w:ind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这是当前研究最为主流的方向，其核心思想是将无人机作为配送货车的“飞行伙伴”(flying sidekick)，从移动的货车上起飞，完成对单个或多个客户的配送任务，随后在另一个约定地点返回货车进行补给或执行新任务。这种模式极大地扩展了无人机的作战半径，并催生了多个经典的数学模型，其发展历程如下：</w:t>
      </w:r>
    </w:p>
    <w:p w14:paraId="01A727B0">
      <w:pPr>
        <w:keepNext w:val="0"/>
        <w:keepLines w:val="0"/>
        <w:widowControl/>
        <w:numPr>
          <w:ilvl w:val="0"/>
          <w:numId w:val="3"/>
        </w:numPr>
        <w:suppressLineNumbers w:val="0"/>
        <w:tabs>
          <w:tab w:val="clear" w:pos="420"/>
        </w:tabs>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飞行伙伴旅行商问题 (FSTSP): 作为该领域的开创性模型，FSTSP研究单辆货车与单架无人机的协同路径优化问题，目标是最小化完成所有配送任务的总时间。该模型对协同作业做出了较为严格的假设，例如禁止货车在发射无人机后原地等待回收</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_Ref20763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[4]</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2D91D4BF">
      <w:pPr>
        <w:keepNext w:val="0"/>
        <w:keepLines w:val="0"/>
        <w:widowControl/>
        <w:numPr>
          <w:ilvl w:val="0"/>
          <w:numId w:val="3"/>
        </w:numPr>
        <w:suppressLineNumbers w:val="0"/>
        <w:tabs>
          <w:tab w:val="clear" w:pos="420"/>
        </w:tabs>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带无人机的旅行商问题 (TSPD): TSPD模型在FSTSP的基础上放宽了作业假设，例如允许货车在发射无人机后原地等待，从而提出了一个更具通用性的模型，进一步拓展了理论边界</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_Ref20897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[5]</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09A65B21">
      <w:pPr>
        <w:keepNext w:val="0"/>
        <w:keepLines w:val="0"/>
        <w:widowControl/>
        <w:numPr>
          <w:ilvl w:val="0"/>
          <w:numId w:val="3"/>
        </w:numPr>
        <w:suppressLineNumbers w:val="0"/>
        <w:tabs>
          <w:tab w:val="clear" w:pos="420"/>
        </w:tabs>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带无人机的车辆路径问题 (VRPD): 该模型将FSTSP和TSPD从单车单无人机扩展到了多车多无人机的车队协同场景，更贴近大型物流企业的实际运营需求</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_Ref20982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[6]</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05AA3785">
      <w:pPr>
        <w:keepNext w:val="0"/>
        <w:keepLines w:val="0"/>
        <w:widowControl/>
        <w:numPr>
          <w:ilvl w:val="0"/>
          <w:numId w:val="3"/>
        </w:numPr>
        <w:suppressLineNumbers w:val="0"/>
        <w:tabs>
          <w:tab w:val="clear" w:pos="420"/>
        </w:tabs>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带时间窗和无人机的最小成本车辆路径问题 (MC-VRPTW-D): 此模型在VRPD的基础上，进一步考虑了客户指定的服务时间窗和包含车辆固定成本在内的全局运营成本，是目前最贴近真实商业应用场景的模型之一 </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_Ref21047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[7]</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rPr>
        <w:t>。</w:t>
      </w:r>
    </w:p>
    <w:p w14:paraId="3A7407E6">
      <w:pPr>
        <w:keepNext w:val="0"/>
        <w:keepLines w:val="0"/>
        <w:widowControl/>
        <w:numPr>
          <w:numId w:val="0"/>
        </w:numPr>
        <w:suppressLineNumbers w:val="0"/>
        <w:spacing w:before="0" w:beforeAutospacing="1" w:after="0" w:afterAutospacing="1"/>
        <w:ind w:leftChars="0"/>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3.2.2 </w:t>
      </w:r>
      <w:r>
        <w:rPr>
          <w:rFonts w:hint="eastAsia" w:ascii="宋体" w:hAnsi="宋体" w:eastAsia="宋体" w:cs="宋体"/>
          <w:b/>
          <w:bCs/>
          <w:sz w:val="24"/>
          <w:szCs w:val="24"/>
        </w:rPr>
        <w:t>无人机在途补给模式 (Drone Resupply Model)</w:t>
      </w:r>
    </w:p>
    <w:p w14:paraId="44262F4D">
      <w:pPr>
        <w:keepNext w:val="0"/>
        <w:keepLines w:val="0"/>
        <w:widowControl/>
        <w:numPr>
          <w:numId w:val="0"/>
        </w:numPr>
        <w:suppressLineNumbers w:val="0"/>
        <w:spacing w:before="0" w:beforeAutospacing="1" w:after="0" w:afterAutospacing="1"/>
        <w:ind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这是一种极具创新性的作业模式。在此模式下，无人机不直接面向终端客户配送，而是扮演“空中补给站”的角色，为在途执行任务的配送货车运送新增的订单包裹。这种模式特别适用于“当日达”等动态订单环境下，可以避免货车频繁返回仓库取件，从而显著提升整体配送效率。</w:t>
      </w:r>
    </w:p>
    <w:p w14:paraId="19BE3FB3">
      <w:pPr>
        <w:keepNext w:val="0"/>
        <w:keepLines w:val="0"/>
        <w:widowControl/>
        <w:numPr>
          <w:ilvl w:val="0"/>
          <w:numId w:val="4"/>
        </w:numPr>
        <w:suppressLineNumbers w:val="0"/>
        <w:tabs>
          <w:tab w:val="left" w:pos="1440"/>
          <w:tab w:val="clear" w:pos="420"/>
        </w:tabs>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带释放日期和无人机补给的旅行商问题 (TSPRD-DR): 该模型精确地刻画了上述场景，它研究的是在订单具有不同“释放时间”（即包裹到达仓库可供配送的时间）的条件下，如何通过无人机补给来最小化货车完成所有任务的总时间</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_Ref21273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[8]</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628BAB94">
      <w:pPr>
        <w:keepNext w:val="0"/>
        <w:keepLines w:val="0"/>
        <w:widowControl/>
        <w:numPr>
          <w:numId w:val="0"/>
        </w:numPr>
        <w:suppressLineNumbers w:val="0"/>
        <w:spacing w:before="0" w:beforeAutospacing="1" w:after="0" w:afterAutospacing="1"/>
        <w:ind w:left="-60" w:leftChars="0"/>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3.2.3 </w:t>
      </w:r>
      <w:r>
        <w:rPr>
          <w:rFonts w:hint="eastAsia" w:ascii="宋体" w:hAnsi="宋体" w:eastAsia="宋体" w:cs="宋体"/>
          <w:b/>
          <w:bCs/>
          <w:sz w:val="24"/>
          <w:szCs w:val="24"/>
        </w:rPr>
        <w:t>无人机应急备用运输系统 (Drone-enabled Backup Transport System)</w:t>
      </w:r>
    </w:p>
    <w:p w14:paraId="1DD07395">
      <w:pPr>
        <w:keepNext w:val="0"/>
        <w:keepLines w:val="0"/>
        <w:widowControl/>
        <w:numPr>
          <w:numId w:val="0"/>
        </w:numPr>
        <w:suppressLineNumbers w:val="0"/>
        <w:spacing w:before="0" w:beforeAutospacing="1" w:after="0" w:afterAutospacing="1"/>
        <w:ind w:left="-60" w:leftChars="0" w:firstLine="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该模式聚焦于非常规情境下的物流保障，例如疫情爆发、自然灾害等导致地面交通瘫痪或受阻的场景。其核心思想是利用社会上已有的、分属于不同公共或私人实体的无人机资源，通过快速改装和统一调度，构建一个临时的应急物流网络。在COVID-19大流行期间，利用无人机为隔离社区运送检测试剂和医疗用品，便是该模式的典型应用</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_Ref20466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[2]</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4760AE16">
      <w:pPr>
        <w:pStyle w:val="5"/>
        <w:keepNext w:val="0"/>
        <w:keepLines w:val="0"/>
        <w:widowControl/>
        <w:suppressLineNumbers w:val="0"/>
      </w:pPr>
      <w:r>
        <w:t>为了更清晰地对比上述模型，下表从多个维度进行了总结分析：</w:t>
      </w:r>
    </w:p>
    <w:tbl>
      <w:tblPr>
        <w:tblW w:w="10669" w:type="dxa"/>
        <w:jc w:val="cente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fixed"/>
        <w:tblCellMar>
          <w:top w:w="15" w:type="dxa"/>
          <w:left w:w="15" w:type="dxa"/>
          <w:bottom w:w="15" w:type="dxa"/>
          <w:right w:w="15" w:type="dxa"/>
        </w:tblCellMar>
      </w:tblPr>
      <w:tblGrid>
        <w:gridCol w:w="1590"/>
        <w:gridCol w:w="1966"/>
        <w:gridCol w:w="2367"/>
        <w:gridCol w:w="2599"/>
        <w:gridCol w:w="2147"/>
      </w:tblGrid>
      <w:tr w14:paraId="35EEDE5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trHeight w:val="0" w:hRule="atLeast"/>
          <w:tblHeader/>
          <w:jc w:val="center"/>
        </w:trPr>
        <w:tc>
          <w:tcPr>
            <w:tcW w:w="1590" w:type="dxa"/>
            <w:tcBorders>
              <w:top w:val="single" w:color="auto" w:sz="12" w:space="0"/>
              <w:left w:val="nil"/>
              <w:bottom w:val="single" w:color="auto" w:sz="4" w:space="0"/>
              <w:right w:val="nil"/>
            </w:tcBorders>
            <w:shd w:val="clear"/>
            <w:vAlign w:val="center"/>
          </w:tcPr>
          <w:p w14:paraId="6324F97B">
            <w:pPr>
              <w:pStyle w:val="5"/>
              <w:keepNext w:val="0"/>
              <w:keepLines w:val="0"/>
              <w:widowControl/>
              <w:suppressLineNumbers w:val="0"/>
              <w:snapToGrid w:val="0"/>
              <w:ind w:left="0" w:leftChars="0" w:right="0" w:rightChars="0" w:firstLine="0" w:firstLineChars="0"/>
              <w:jc w:val="center"/>
              <w:rPr>
                <w:b/>
                <w:bCs w:val="0"/>
              </w:rPr>
            </w:pPr>
            <w:r>
              <w:rPr>
                <w:b/>
                <w:bCs w:val="0"/>
              </w:rPr>
              <w:t>模型名称</w:t>
            </w:r>
          </w:p>
          <w:p w14:paraId="595A0742">
            <w:pPr>
              <w:pStyle w:val="5"/>
              <w:keepNext w:val="0"/>
              <w:keepLines w:val="0"/>
              <w:widowControl/>
              <w:suppressLineNumbers w:val="0"/>
              <w:snapToGrid w:val="0"/>
              <w:ind w:left="0" w:leftChars="0" w:right="0" w:rightChars="0" w:firstLine="0" w:firstLineChars="0"/>
              <w:jc w:val="center"/>
              <w:rPr>
                <w:b/>
                <w:bCs w:val="0"/>
              </w:rPr>
            </w:pPr>
            <w:r>
              <w:rPr>
                <w:b/>
                <w:bCs w:val="0"/>
              </w:rPr>
              <w:t>(ModelName)</w:t>
            </w:r>
          </w:p>
        </w:tc>
        <w:tc>
          <w:tcPr>
            <w:tcW w:w="1966" w:type="dxa"/>
            <w:tcBorders>
              <w:top w:val="single" w:color="auto" w:sz="12" w:space="0"/>
              <w:left w:val="nil"/>
              <w:bottom w:val="single" w:color="auto" w:sz="4" w:space="0"/>
              <w:right w:val="nil"/>
            </w:tcBorders>
            <w:shd w:val="clear"/>
            <w:vAlign w:val="center"/>
          </w:tcPr>
          <w:p w14:paraId="0B1E5801">
            <w:pPr>
              <w:pStyle w:val="5"/>
              <w:keepNext w:val="0"/>
              <w:keepLines w:val="0"/>
              <w:widowControl/>
              <w:suppressLineNumbers w:val="0"/>
              <w:snapToGrid w:val="0"/>
              <w:ind w:left="0" w:leftChars="0" w:right="0" w:rightChars="0" w:firstLine="0" w:firstLineChars="0"/>
              <w:jc w:val="center"/>
              <w:rPr>
                <w:b/>
                <w:bCs w:val="0"/>
              </w:rPr>
            </w:pPr>
            <w:r>
              <w:rPr>
                <w:b/>
                <w:bCs w:val="0"/>
              </w:rPr>
              <w:t>核心问题</w:t>
            </w:r>
          </w:p>
          <w:p w14:paraId="5E39BABD">
            <w:pPr>
              <w:pStyle w:val="5"/>
              <w:keepNext w:val="0"/>
              <w:keepLines w:val="0"/>
              <w:widowControl/>
              <w:suppressLineNumbers w:val="0"/>
              <w:snapToGrid w:val="0"/>
              <w:ind w:left="0" w:leftChars="0" w:right="0" w:rightChars="0" w:firstLine="0" w:firstLineChars="0"/>
              <w:jc w:val="center"/>
              <w:rPr>
                <w:b/>
                <w:bCs w:val="0"/>
              </w:rPr>
            </w:pPr>
            <w:r>
              <w:rPr>
                <w:b/>
                <w:bCs w:val="0"/>
              </w:rPr>
              <w:t>(CoreProblem)</w:t>
            </w:r>
          </w:p>
        </w:tc>
        <w:tc>
          <w:tcPr>
            <w:tcW w:w="2367" w:type="dxa"/>
            <w:tcBorders>
              <w:top w:val="single" w:color="auto" w:sz="12" w:space="0"/>
              <w:left w:val="nil"/>
              <w:bottom w:val="single" w:color="auto" w:sz="4" w:space="0"/>
              <w:right w:val="nil"/>
            </w:tcBorders>
            <w:shd w:val="clear"/>
            <w:vAlign w:val="center"/>
          </w:tcPr>
          <w:p w14:paraId="5F93FA79">
            <w:pPr>
              <w:pStyle w:val="5"/>
              <w:keepNext w:val="0"/>
              <w:keepLines w:val="0"/>
              <w:widowControl/>
              <w:suppressLineNumbers w:val="0"/>
              <w:snapToGrid w:val="0"/>
              <w:ind w:left="0" w:leftChars="0" w:right="0" w:rightChars="0" w:firstLine="0" w:firstLineChars="0"/>
              <w:jc w:val="center"/>
              <w:rPr>
                <w:b/>
                <w:bCs w:val="0"/>
              </w:rPr>
            </w:pPr>
            <w:r>
              <w:rPr>
                <w:b/>
                <w:bCs w:val="0"/>
              </w:rPr>
              <w:t>适用场景</w:t>
            </w:r>
          </w:p>
          <w:p w14:paraId="30B8B5C8">
            <w:pPr>
              <w:pStyle w:val="5"/>
              <w:keepNext w:val="0"/>
              <w:keepLines w:val="0"/>
              <w:widowControl/>
              <w:suppressLineNumbers w:val="0"/>
              <w:snapToGrid w:val="0"/>
              <w:ind w:left="0" w:leftChars="0" w:right="0" w:rightChars="0" w:firstLine="0" w:firstLineChars="0"/>
              <w:jc w:val="center"/>
              <w:rPr>
                <w:b/>
                <w:bCs w:val="0"/>
              </w:rPr>
            </w:pPr>
            <w:r>
              <w:rPr>
                <w:b/>
                <w:bCs w:val="0"/>
              </w:rPr>
              <w:t>(ApplicableScenarios)</w:t>
            </w:r>
          </w:p>
        </w:tc>
        <w:tc>
          <w:tcPr>
            <w:tcW w:w="2599" w:type="dxa"/>
            <w:tcBorders>
              <w:top w:val="single" w:color="auto" w:sz="12" w:space="0"/>
              <w:left w:val="nil"/>
              <w:bottom w:val="single" w:color="auto" w:sz="4" w:space="0"/>
              <w:right w:val="nil"/>
            </w:tcBorders>
            <w:shd w:val="clear"/>
            <w:vAlign w:val="center"/>
          </w:tcPr>
          <w:p w14:paraId="6C797663">
            <w:pPr>
              <w:pStyle w:val="5"/>
              <w:keepNext w:val="0"/>
              <w:keepLines w:val="0"/>
              <w:widowControl/>
              <w:suppressLineNumbers w:val="0"/>
              <w:snapToGrid w:val="0"/>
              <w:ind w:left="0" w:leftChars="0" w:right="0" w:rightChars="0" w:firstLine="0" w:firstLineChars="0"/>
              <w:jc w:val="center"/>
              <w:rPr>
                <w:b/>
                <w:bCs w:val="0"/>
              </w:rPr>
            </w:pPr>
            <w:r>
              <w:rPr>
                <w:b/>
                <w:bCs w:val="0"/>
              </w:rPr>
              <w:t>目标函数类型</w:t>
            </w:r>
          </w:p>
          <w:p w14:paraId="7025D9C1">
            <w:pPr>
              <w:pStyle w:val="5"/>
              <w:keepNext w:val="0"/>
              <w:keepLines w:val="0"/>
              <w:widowControl/>
              <w:suppressLineNumbers w:val="0"/>
              <w:snapToGrid w:val="0"/>
              <w:ind w:left="0" w:leftChars="0" w:right="0" w:rightChars="0" w:firstLine="0" w:firstLineChars="0"/>
              <w:jc w:val="center"/>
              <w:rPr>
                <w:b/>
                <w:bCs w:val="0"/>
              </w:rPr>
            </w:pPr>
            <w:r>
              <w:rPr>
                <w:b/>
                <w:bCs w:val="0"/>
              </w:rPr>
              <w:t>(ObjectiveFunctionType)</w:t>
            </w:r>
          </w:p>
        </w:tc>
        <w:tc>
          <w:tcPr>
            <w:tcW w:w="2147" w:type="dxa"/>
            <w:tcBorders>
              <w:top w:val="single" w:color="auto" w:sz="12" w:space="0"/>
              <w:left w:val="nil"/>
              <w:bottom w:val="single" w:color="auto" w:sz="4" w:space="0"/>
              <w:right w:val="nil"/>
            </w:tcBorders>
            <w:shd w:val="clear"/>
            <w:vAlign w:val="center"/>
          </w:tcPr>
          <w:p w14:paraId="769CEA3C">
            <w:pPr>
              <w:pStyle w:val="5"/>
              <w:keepNext w:val="0"/>
              <w:keepLines w:val="0"/>
              <w:widowControl/>
              <w:suppressLineNumbers w:val="0"/>
              <w:snapToGrid w:val="0"/>
              <w:ind w:left="0" w:leftChars="0" w:right="0" w:rightChars="0" w:firstLine="0" w:firstLineChars="0"/>
              <w:jc w:val="center"/>
              <w:rPr>
                <w:b/>
                <w:bCs w:val="0"/>
              </w:rPr>
            </w:pPr>
            <w:r>
              <w:rPr>
                <w:b/>
                <w:bCs w:val="0"/>
              </w:rPr>
              <w:t>主要贡献</w:t>
            </w:r>
          </w:p>
          <w:p w14:paraId="1E029466">
            <w:pPr>
              <w:pStyle w:val="5"/>
              <w:keepNext w:val="0"/>
              <w:keepLines w:val="0"/>
              <w:widowControl/>
              <w:suppressLineNumbers w:val="0"/>
              <w:snapToGrid w:val="0"/>
              <w:ind w:left="0" w:leftChars="0" w:right="0" w:rightChars="0" w:firstLine="0" w:firstLineChars="0"/>
              <w:jc w:val="center"/>
              <w:rPr>
                <w:b/>
                <w:bCs w:val="0"/>
              </w:rPr>
            </w:pPr>
            <w:r>
              <w:rPr>
                <w:b/>
                <w:bCs w:val="0"/>
              </w:rPr>
              <w:t>(KeyContribution)</w:t>
            </w:r>
          </w:p>
        </w:tc>
      </w:tr>
      <w:tr w14:paraId="6A44EAB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trHeight w:val="0" w:hRule="atLeast"/>
          <w:jc w:val="center"/>
        </w:trPr>
        <w:tc>
          <w:tcPr>
            <w:tcW w:w="1590" w:type="dxa"/>
            <w:tcBorders>
              <w:top w:val="single" w:color="auto" w:sz="4" w:space="0"/>
              <w:left w:val="nil"/>
              <w:bottom w:val="nil"/>
              <w:right w:val="nil"/>
            </w:tcBorders>
            <w:shd w:val="clear"/>
            <w:vAlign w:val="center"/>
          </w:tcPr>
          <w:p w14:paraId="1E7AE99B">
            <w:pPr>
              <w:pStyle w:val="5"/>
              <w:keepNext w:val="0"/>
              <w:keepLines w:val="0"/>
              <w:widowControl/>
              <w:suppressLineNumbers w:val="0"/>
              <w:snapToGrid w:val="0"/>
              <w:ind w:left="0" w:leftChars="0" w:right="0" w:rightChars="0" w:firstLine="0" w:firstLineChars="0"/>
              <w:jc w:val="left"/>
              <w:rPr>
                <w:b w:val="0"/>
                <w:bCs w:val="0"/>
              </w:rPr>
            </w:pPr>
            <w:r>
              <w:rPr>
                <w:b w:val="0"/>
                <w:bCs w:val="0"/>
              </w:rPr>
              <w:t>FSTSP</w:t>
            </w:r>
          </w:p>
        </w:tc>
        <w:tc>
          <w:tcPr>
            <w:tcW w:w="1966" w:type="dxa"/>
            <w:tcBorders>
              <w:top w:val="single" w:color="auto" w:sz="4" w:space="0"/>
              <w:left w:val="nil"/>
              <w:bottom w:val="nil"/>
              <w:right w:val="nil"/>
            </w:tcBorders>
            <w:shd w:val="clear"/>
            <w:vAlign w:val="center"/>
          </w:tcPr>
          <w:p w14:paraId="1A7B45E0">
            <w:pPr>
              <w:pStyle w:val="5"/>
              <w:keepNext w:val="0"/>
              <w:keepLines w:val="0"/>
              <w:widowControl/>
              <w:suppressLineNumbers w:val="0"/>
              <w:snapToGrid w:val="0"/>
              <w:ind w:left="0" w:leftChars="0" w:right="0" w:rightChars="0" w:firstLine="0" w:firstLineChars="0"/>
              <w:jc w:val="left"/>
              <w:rPr>
                <w:b w:val="0"/>
                <w:bCs w:val="0"/>
              </w:rPr>
            </w:pPr>
            <w:r>
              <w:rPr>
                <w:b w:val="0"/>
                <w:bCs w:val="0"/>
              </w:rPr>
              <w:t>单车-单无人机协同路径优化</w:t>
            </w:r>
          </w:p>
        </w:tc>
        <w:tc>
          <w:tcPr>
            <w:tcW w:w="2367" w:type="dxa"/>
            <w:tcBorders>
              <w:top w:val="single" w:color="auto" w:sz="4" w:space="0"/>
              <w:left w:val="nil"/>
              <w:bottom w:val="nil"/>
              <w:right w:val="nil"/>
            </w:tcBorders>
            <w:shd w:val="clear"/>
            <w:vAlign w:val="center"/>
          </w:tcPr>
          <w:p w14:paraId="10C926CB">
            <w:pPr>
              <w:pStyle w:val="5"/>
              <w:keepNext w:val="0"/>
              <w:keepLines w:val="0"/>
              <w:widowControl/>
              <w:suppressLineNumbers w:val="0"/>
              <w:snapToGrid w:val="0"/>
              <w:ind w:left="0" w:leftChars="0" w:right="0" w:rightChars="0" w:firstLine="0" w:firstLineChars="0"/>
              <w:jc w:val="left"/>
              <w:rPr>
                <w:b w:val="0"/>
                <w:bCs w:val="0"/>
              </w:rPr>
            </w:pPr>
            <w:r>
              <w:rPr>
                <w:b w:val="0"/>
                <w:bCs w:val="0"/>
              </w:rPr>
              <w:t>城市/郊区小批量包裹配送</w:t>
            </w:r>
          </w:p>
        </w:tc>
        <w:tc>
          <w:tcPr>
            <w:tcW w:w="2599" w:type="dxa"/>
            <w:tcBorders>
              <w:top w:val="single" w:color="auto" w:sz="4" w:space="0"/>
              <w:left w:val="nil"/>
              <w:bottom w:val="nil"/>
              <w:right w:val="nil"/>
            </w:tcBorders>
            <w:shd w:val="clear"/>
            <w:vAlign w:val="center"/>
          </w:tcPr>
          <w:p w14:paraId="25D58FA6">
            <w:pPr>
              <w:pStyle w:val="5"/>
              <w:keepNext w:val="0"/>
              <w:keepLines w:val="0"/>
              <w:widowControl/>
              <w:suppressLineNumbers w:val="0"/>
              <w:snapToGrid w:val="0"/>
              <w:ind w:left="0" w:leftChars="0" w:right="0" w:rightChars="0" w:firstLine="0" w:firstLineChars="0"/>
              <w:jc w:val="left"/>
              <w:rPr>
                <w:b w:val="0"/>
                <w:bCs w:val="0"/>
              </w:rPr>
            </w:pPr>
            <w:r>
              <w:rPr>
                <w:b w:val="0"/>
                <w:bCs w:val="0"/>
              </w:rPr>
              <w:t>时间导向型 (最小化完工时间)</w:t>
            </w:r>
          </w:p>
        </w:tc>
        <w:tc>
          <w:tcPr>
            <w:tcW w:w="2147" w:type="dxa"/>
            <w:tcBorders>
              <w:top w:val="single" w:color="auto" w:sz="4" w:space="0"/>
              <w:left w:val="nil"/>
              <w:bottom w:val="nil"/>
              <w:right w:val="nil"/>
            </w:tcBorders>
            <w:shd w:val="clear"/>
            <w:vAlign w:val="center"/>
          </w:tcPr>
          <w:p w14:paraId="5C1619FA">
            <w:pPr>
              <w:pStyle w:val="5"/>
              <w:keepNext w:val="0"/>
              <w:keepLines w:val="0"/>
              <w:widowControl/>
              <w:suppressLineNumbers w:val="0"/>
              <w:snapToGrid w:val="0"/>
              <w:ind w:left="0" w:leftChars="0" w:right="0" w:rightChars="0" w:firstLine="0" w:firstLineChars="0"/>
              <w:jc w:val="left"/>
              <w:rPr>
                <w:b w:val="0"/>
                <w:bCs w:val="0"/>
              </w:rPr>
            </w:pPr>
            <w:r>
              <w:rPr>
                <w:b w:val="0"/>
                <w:bCs w:val="0"/>
              </w:rPr>
              <w:t>开创了卡车-无人机协同配送研究领域</w:t>
            </w:r>
          </w:p>
        </w:tc>
      </w:tr>
      <w:tr w14:paraId="3AE39F6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trHeight w:val="0" w:hRule="atLeast"/>
          <w:jc w:val="center"/>
        </w:trPr>
        <w:tc>
          <w:tcPr>
            <w:tcW w:w="1590" w:type="dxa"/>
            <w:tcBorders>
              <w:top w:val="nil"/>
              <w:left w:val="nil"/>
              <w:bottom w:val="nil"/>
              <w:right w:val="nil"/>
            </w:tcBorders>
            <w:shd w:val="clear"/>
            <w:vAlign w:val="center"/>
          </w:tcPr>
          <w:p w14:paraId="45DEABDE">
            <w:pPr>
              <w:pStyle w:val="5"/>
              <w:keepNext w:val="0"/>
              <w:keepLines w:val="0"/>
              <w:widowControl/>
              <w:suppressLineNumbers w:val="0"/>
              <w:snapToGrid w:val="0"/>
              <w:ind w:left="0" w:leftChars="0" w:right="0" w:rightChars="0" w:firstLine="0" w:firstLineChars="0"/>
              <w:jc w:val="left"/>
              <w:rPr>
                <w:b w:val="0"/>
                <w:bCs w:val="0"/>
              </w:rPr>
            </w:pPr>
            <w:r>
              <w:rPr>
                <w:b w:val="0"/>
                <w:bCs w:val="0"/>
              </w:rPr>
              <w:t>TSPD</w:t>
            </w:r>
          </w:p>
        </w:tc>
        <w:tc>
          <w:tcPr>
            <w:tcW w:w="1966" w:type="dxa"/>
            <w:tcBorders>
              <w:top w:val="nil"/>
              <w:left w:val="nil"/>
              <w:bottom w:val="nil"/>
              <w:right w:val="nil"/>
            </w:tcBorders>
            <w:shd w:val="clear"/>
            <w:vAlign w:val="center"/>
          </w:tcPr>
          <w:p w14:paraId="7CF6A461">
            <w:pPr>
              <w:pStyle w:val="5"/>
              <w:keepNext w:val="0"/>
              <w:keepLines w:val="0"/>
              <w:widowControl/>
              <w:suppressLineNumbers w:val="0"/>
              <w:snapToGrid w:val="0"/>
              <w:ind w:left="0" w:leftChars="0" w:right="0" w:rightChars="0" w:firstLine="0" w:firstLineChars="0"/>
              <w:jc w:val="left"/>
              <w:rPr>
                <w:b w:val="0"/>
                <w:bCs w:val="0"/>
              </w:rPr>
            </w:pPr>
            <w:r>
              <w:rPr>
                <w:b w:val="0"/>
                <w:bCs w:val="0"/>
              </w:rPr>
              <w:t>单车-单无人机协同路径优化（更通用）</w:t>
            </w:r>
          </w:p>
        </w:tc>
        <w:tc>
          <w:tcPr>
            <w:tcW w:w="2367" w:type="dxa"/>
            <w:tcBorders>
              <w:top w:val="nil"/>
              <w:left w:val="nil"/>
              <w:bottom w:val="nil"/>
              <w:right w:val="nil"/>
            </w:tcBorders>
            <w:shd w:val="clear"/>
            <w:vAlign w:val="center"/>
          </w:tcPr>
          <w:p w14:paraId="106B26CF">
            <w:pPr>
              <w:pStyle w:val="5"/>
              <w:keepNext w:val="0"/>
              <w:keepLines w:val="0"/>
              <w:widowControl/>
              <w:suppressLineNumbers w:val="0"/>
              <w:snapToGrid w:val="0"/>
              <w:ind w:left="0" w:leftChars="0" w:right="0" w:rightChars="0" w:firstLine="0" w:firstLineChars="0"/>
              <w:jc w:val="left"/>
              <w:rPr>
                <w:b w:val="0"/>
                <w:bCs w:val="0"/>
              </w:rPr>
            </w:pPr>
            <w:r>
              <w:rPr>
                <w:b w:val="0"/>
                <w:bCs w:val="0"/>
              </w:rPr>
              <w:t>城市/郊区小批量包裹配送</w:t>
            </w:r>
          </w:p>
        </w:tc>
        <w:tc>
          <w:tcPr>
            <w:tcW w:w="2599" w:type="dxa"/>
            <w:tcBorders>
              <w:top w:val="nil"/>
              <w:left w:val="nil"/>
              <w:bottom w:val="nil"/>
              <w:right w:val="nil"/>
            </w:tcBorders>
            <w:shd w:val="clear"/>
            <w:vAlign w:val="center"/>
          </w:tcPr>
          <w:p w14:paraId="021D05E1">
            <w:pPr>
              <w:pStyle w:val="5"/>
              <w:keepNext w:val="0"/>
              <w:keepLines w:val="0"/>
              <w:widowControl/>
              <w:suppressLineNumbers w:val="0"/>
              <w:snapToGrid w:val="0"/>
              <w:ind w:left="0" w:leftChars="0" w:right="0" w:rightChars="0" w:firstLine="0" w:firstLineChars="0"/>
              <w:jc w:val="left"/>
              <w:rPr>
                <w:b w:val="0"/>
                <w:bCs w:val="0"/>
              </w:rPr>
            </w:pPr>
            <w:r>
              <w:rPr>
                <w:b w:val="0"/>
                <w:bCs w:val="0"/>
              </w:rPr>
              <w:t>时间导向型 (最小化完工时间)</w:t>
            </w:r>
          </w:p>
        </w:tc>
        <w:tc>
          <w:tcPr>
            <w:tcW w:w="2147" w:type="dxa"/>
            <w:tcBorders>
              <w:top w:val="nil"/>
              <w:left w:val="nil"/>
              <w:bottom w:val="nil"/>
              <w:right w:val="nil"/>
            </w:tcBorders>
            <w:shd w:val="clear"/>
            <w:vAlign w:val="center"/>
          </w:tcPr>
          <w:p w14:paraId="1CC432FD">
            <w:pPr>
              <w:pStyle w:val="5"/>
              <w:keepNext w:val="0"/>
              <w:keepLines w:val="0"/>
              <w:widowControl/>
              <w:suppressLineNumbers w:val="0"/>
              <w:snapToGrid w:val="0"/>
              <w:ind w:left="0" w:leftChars="0" w:right="0" w:rightChars="0" w:firstLine="0" w:firstLineChars="0"/>
              <w:jc w:val="left"/>
              <w:rPr>
                <w:b w:val="0"/>
                <w:bCs w:val="0"/>
              </w:rPr>
            </w:pPr>
            <w:r>
              <w:rPr>
                <w:b w:val="0"/>
                <w:bCs w:val="0"/>
              </w:rPr>
              <w:t>放宽了FSTSP的作业假设，提出了更通用的模型</w:t>
            </w:r>
          </w:p>
        </w:tc>
      </w:tr>
      <w:tr w14:paraId="6502E96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trHeight w:val="0" w:hRule="atLeast"/>
          <w:jc w:val="center"/>
        </w:trPr>
        <w:tc>
          <w:tcPr>
            <w:tcW w:w="1590" w:type="dxa"/>
            <w:tcBorders>
              <w:top w:val="nil"/>
              <w:left w:val="nil"/>
              <w:bottom w:val="nil"/>
              <w:right w:val="nil"/>
            </w:tcBorders>
            <w:shd w:val="clear"/>
            <w:vAlign w:val="center"/>
          </w:tcPr>
          <w:p w14:paraId="4B546D33">
            <w:pPr>
              <w:pStyle w:val="5"/>
              <w:keepNext w:val="0"/>
              <w:keepLines w:val="0"/>
              <w:widowControl/>
              <w:suppressLineNumbers w:val="0"/>
              <w:snapToGrid w:val="0"/>
              <w:ind w:left="0" w:leftChars="0" w:right="0" w:rightChars="0" w:firstLine="0" w:firstLineChars="0"/>
              <w:jc w:val="left"/>
              <w:rPr>
                <w:b w:val="0"/>
                <w:bCs w:val="0"/>
              </w:rPr>
            </w:pPr>
            <w:r>
              <w:rPr>
                <w:b w:val="0"/>
                <w:bCs w:val="0"/>
              </w:rPr>
              <w:t>VRPD</w:t>
            </w:r>
          </w:p>
        </w:tc>
        <w:tc>
          <w:tcPr>
            <w:tcW w:w="1966" w:type="dxa"/>
            <w:tcBorders>
              <w:top w:val="nil"/>
              <w:left w:val="nil"/>
              <w:bottom w:val="nil"/>
              <w:right w:val="nil"/>
            </w:tcBorders>
            <w:shd w:val="clear"/>
            <w:vAlign w:val="center"/>
          </w:tcPr>
          <w:p w14:paraId="73BA36C9">
            <w:pPr>
              <w:pStyle w:val="5"/>
              <w:keepNext w:val="0"/>
              <w:keepLines w:val="0"/>
              <w:widowControl/>
              <w:suppressLineNumbers w:val="0"/>
              <w:snapToGrid w:val="0"/>
              <w:ind w:left="0" w:leftChars="0" w:right="0" w:rightChars="0" w:firstLine="0" w:firstLineChars="0"/>
              <w:jc w:val="left"/>
              <w:rPr>
                <w:b w:val="0"/>
                <w:bCs w:val="0"/>
              </w:rPr>
            </w:pPr>
            <w:r>
              <w:rPr>
                <w:b w:val="0"/>
                <w:bCs w:val="0"/>
              </w:rPr>
              <w:t>多车-多无人机协同路径优化</w:t>
            </w:r>
          </w:p>
        </w:tc>
        <w:tc>
          <w:tcPr>
            <w:tcW w:w="2367" w:type="dxa"/>
            <w:tcBorders>
              <w:top w:val="nil"/>
              <w:left w:val="nil"/>
              <w:bottom w:val="nil"/>
              <w:right w:val="nil"/>
            </w:tcBorders>
            <w:shd w:val="clear"/>
            <w:vAlign w:val="center"/>
          </w:tcPr>
          <w:p w14:paraId="6EDAB106">
            <w:pPr>
              <w:pStyle w:val="5"/>
              <w:keepNext w:val="0"/>
              <w:keepLines w:val="0"/>
              <w:widowControl/>
              <w:suppressLineNumbers w:val="0"/>
              <w:snapToGrid w:val="0"/>
              <w:ind w:left="0" w:leftChars="0" w:right="0" w:rightChars="0" w:firstLine="0" w:firstLineChars="0"/>
              <w:jc w:val="left"/>
              <w:rPr>
                <w:b w:val="0"/>
                <w:bCs w:val="0"/>
              </w:rPr>
            </w:pPr>
            <w:r>
              <w:rPr>
                <w:b w:val="0"/>
                <w:bCs w:val="0"/>
              </w:rPr>
              <w:t>中大规模车队的协同配送网络</w:t>
            </w:r>
          </w:p>
        </w:tc>
        <w:tc>
          <w:tcPr>
            <w:tcW w:w="2599" w:type="dxa"/>
            <w:tcBorders>
              <w:top w:val="nil"/>
              <w:left w:val="nil"/>
              <w:bottom w:val="nil"/>
              <w:right w:val="nil"/>
            </w:tcBorders>
            <w:shd w:val="clear"/>
            <w:vAlign w:val="center"/>
          </w:tcPr>
          <w:p w14:paraId="4951F019">
            <w:pPr>
              <w:pStyle w:val="5"/>
              <w:keepNext w:val="0"/>
              <w:keepLines w:val="0"/>
              <w:widowControl/>
              <w:suppressLineNumbers w:val="0"/>
              <w:snapToGrid w:val="0"/>
              <w:ind w:left="0" w:leftChars="0" w:right="0" w:rightChars="0" w:firstLine="0" w:firstLineChars="0"/>
              <w:jc w:val="left"/>
              <w:rPr>
                <w:b w:val="0"/>
                <w:bCs w:val="0"/>
              </w:rPr>
            </w:pPr>
            <w:r>
              <w:rPr>
                <w:b w:val="0"/>
                <w:bCs w:val="0"/>
              </w:rPr>
              <w:t>时间或成本导向型</w:t>
            </w:r>
          </w:p>
        </w:tc>
        <w:tc>
          <w:tcPr>
            <w:tcW w:w="2147" w:type="dxa"/>
            <w:tcBorders>
              <w:top w:val="nil"/>
              <w:left w:val="nil"/>
              <w:bottom w:val="nil"/>
              <w:right w:val="nil"/>
            </w:tcBorders>
            <w:shd w:val="clear"/>
            <w:vAlign w:val="center"/>
          </w:tcPr>
          <w:p w14:paraId="754927F8">
            <w:pPr>
              <w:pStyle w:val="5"/>
              <w:keepNext w:val="0"/>
              <w:keepLines w:val="0"/>
              <w:widowControl/>
              <w:suppressLineNumbers w:val="0"/>
              <w:snapToGrid w:val="0"/>
              <w:ind w:left="0" w:leftChars="0" w:right="0" w:rightChars="0" w:firstLine="0" w:firstLineChars="0"/>
              <w:jc w:val="left"/>
              <w:rPr>
                <w:b w:val="0"/>
                <w:bCs w:val="0"/>
              </w:rPr>
            </w:pPr>
            <w:r>
              <w:rPr>
                <w:b w:val="0"/>
                <w:bCs w:val="0"/>
              </w:rPr>
              <w:t>将模型从单车辆扩展到车队，更具普适性</w:t>
            </w:r>
          </w:p>
        </w:tc>
      </w:tr>
      <w:tr w14:paraId="6AE4C4A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trHeight w:val="0" w:hRule="atLeast"/>
          <w:jc w:val="center"/>
        </w:trPr>
        <w:tc>
          <w:tcPr>
            <w:tcW w:w="1590" w:type="dxa"/>
            <w:tcBorders>
              <w:top w:val="nil"/>
              <w:left w:val="nil"/>
              <w:bottom w:val="nil"/>
              <w:right w:val="nil"/>
            </w:tcBorders>
            <w:shd w:val="clear"/>
            <w:vAlign w:val="center"/>
          </w:tcPr>
          <w:p w14:paraId="201DE29B">
            <w:pPr>
              <w:pStyle w:val="5"/>
              <w:keepNext w:val="0"/>
              <w:keepLines w:val="0"/>
              <w:widowControl/>
              <w:suppressLineNumbers w:val="0"/>
              <w:snapToGrid w:val="0"/>
              <w:ind w:left="0" w:leftChars="0" w:right="0" w:rightChars="0" w:firstLine="0" w:firstLineChars="0"/>
              <w:jc w:val="left"/>
              <w:rPr>
                <w:b w:val="0"/>
                <w:bCs w:val="0"/>
              </w:rPr>
            </w:pPr>
            <w:r>
              <w:rPr>
                <w:b w:val="0"/>
                <w:bCs w:val="0"/>
              </w:rPr>
              <w:t>MC-VRPTW-D</w:t>
            </w:r>
          </w:p>
        </w:tc>
        <w:tc>
          <w:tcPr>
            <w:tcW w:w="1966" w:type="dxa"/>
            <w:tcBorders>
              <w:top w:val="nil"/>
              <w:left w:val="nil"/>
              <w:bottom w:val="nil"/>
              <w:right w:val="nil"/>
            </w:tcBorders>
            <w:shd w:val="clear"/>
            <w:vAlign w:val="center"/>
          </w:tcPr>
          <w:p w14:paraId="194D6A6D">
            <w:pPr>
              <w:pStyle w:val="5"/>
              <w:keepNext w:val="0"/>
              <w:keepLines w:val="0"/>
              <w:widowControl/>
              <w:suppressLineNumbers w:val="0"/>
              <w:snapToGrid w:val="0"/>
              <w:ind w:left="0" w:leftChars="0" w:right="0" w:rightChars="0" w:firstLine="0" w:firstLineChars="0"/>
              <w:jc w:val="left"/>
              <w:rPr>
                <w:b w:val="0"/>
                <w:bCs w:val="0"/>
              </w:rPr>
            </w:pPr>
            <w:r>
              <w:rPr>
                <w:b w:val="0"/>
                <w:bCs w:val="0"/>
              </w:rPr>
              <w:t>考虑时间窗与全局成本的VRPD</w:t>
            </w:r>
          </w:p>
        </w:tc>
        <w:tc>
          <w:tcPr>
            <w:tcW w:w="2367" w:type="dxa"/>
            <w:tcBorders>
              <w:top w:val="nil"/>
              <w:left w:val="nil"/>
              <w:bottom w:val="nil"/>
              <w:right w:val="nil"/>
            </w:tcBorders>
            <w:shd w:val="clear"/>
            <w:vAlign w:val="center"/>
          </w:tcPr>
          <w:p w14:paraId="4090DA92">
            <w:pPr>
              <w:pStyle w:val="5"/>
              <w:keepNext w:val="0"/>
              <w:keepLines w:val="0"/>
              <w:widowControl/>
              <w:suppressLineNumbers w:val="0"/>
              <w:snapToGrid w:val="0"/>
              <w:ind w:left="0" w:leftChars="0" w:right="0" w:rightChars="0" w:firstLine="0" w:firstLineChars="0"/>
              <w:jc w:val="left"/>
              <w:rPr>
                <w:b w:val="0"/>
                <w:bCs w:val="0"/>
              </w:rPr>
            </w:pPr>
            <w:r>
              <w:rPr>
                <w:b w:val="0"/>
                <w:bCs w:val="0"/>
              </w:rPr>
              <w:t>对服务时效和成本控制要求高的商业配送</w:t>
            </w:r>
          </w:p>
        </w:tc>
        <w:tc>
          <w:tcPr>
            <w:tcW w:w="2599" w:type="dxa"/>
            <w:tcBorders>
              <w:top w:val="nil"/>
              <w:left w:val="nil"/>
              <w:bottom w:val="nil"/>
              <w:right w:val="nil"/>
            </w:tcBorders>
            <w:shd w:val="clear"/>
            <w:vAlign w:val="center"/>
          </w:tcPr>
          <w:p w14:paraId="226C8DA0">
            <w:pPr>
              <w:pStyle w:val="5"/>
              <w:keepNext w:val="0"/>
              <w:keepLines w:val="0"/>
              <w:widowControl/>
              <w:suppressLineNumbers w:val="0"/>
              <w:snapToGrid w:val="0"/>
              <w:ind w:left="0" w:leftChars="0" w:right="0" w:rightChars="0" w:firstLine="0" w:firstLineChars="0"/>
              <w:jc w:val="left"/>
              <w:rPr>
                <w:b w:val="0"/>
                <w:bCs w:val="0"/>
              </w:rPr>
            </w:pPr>
            <w:r>
              <w:rPr>
                <w:b w:val="0"/>
                <w:bCs w:val="0"/>
              </w:rPr>
              <w:t>成本导向型 (最小化全局成本)</w:t>
            </w:r>
          </w:p>
        </w:tc>
        <w:tc>
          <w:tcPr>
            <w:tcW w:w="2147" w:type="dxa"/>
            <w:tcBorders>
              <w:top w:val="nil"/>
              <w:left w:val="nil"/>
              <w:bottom w:val="nil"/>
              <w:right w:val="nil"/>
            </w:tcBorders>
            <w:shd w:val="clear"/>
            <w:vAlign w:val="center"/>
          </w:tcPr>
          <w:p w14:paraId="172F6E26">
            <w:pPr>
              <w:pStyle w:val="5"/>
              <w:keepNext w:val="0"/>
              <w:keepLines w:val="0"/>
              <w:widowControl/>
              <w:suppressLineNumbers w:val="0"/>
              <w:snapToGrid w:val="0"/>
              <w:ind w:left="0" w:leftChars="0" w:right="0" w:rightChars="0" w:firstLine="0" w:firstLineChars="0"/>
              <w:jc w:val="left"/>
              <w:rPr>
                <w:b w:val="0"/>
                <w:bCs w:val="0"/>
              </w:rPr>
            </w:pPr>
            <w:r>
              <w:rPr>
                <w:b w:val="0"/>
                <w:bCs w:val="0"/>
              </w:rPr>
              <w:t>引入时间窗和固定成本，模型更贴近商业现实</w:t>
            </w:r>
          </w:p>
        </w:tc>
      </w:tr>
      <w:tr w14:paraId="1FED897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trHeight w:val="0" w:hRule="atLeast"/>
          <w:jc w:val="center"/>
        </w:trPr>
        <w:tc>
          <w:tcPr>
            <w:tcW w:w="1590" w:type="dxa"/>
            <w:tcBorders>
              <w:top w:val="nil"/>
              <w:left w:val="nil"/>
              <w:bottom w:val="nil"/>
              <w:right w:val="nil"/>
            </w:tcBorders>
            <w:shd w:val="clear"/>
            <w:vAlign w:val="center"/>
          </w:tcPr>
          <w:p w14:paraId="47D2C67D">
            <w:pPr>
              <w:pStyle w:val="5"/>
              <w:keepNext w:val="0"/>
              <w:keepLines w:val="0"/>
              <w:widowControl/>
              <w:suppressLineNumbers w:val="0"/>
              <w:snapToGrid w:val="0"/>
              <w:ind w:left="0" w:leftChars="0" w:right="0" w:rightChars="0" w:firstLine="0" w:firstLineChars="0"/>
              <w:jc w:val="left"/>
              <w:rPr>
                <w:b w:val="0"/>
                <w:bCs w:val="0"/>
              </w:rPr>
            </w:pPr>
            <w:r>
              <w:rPr>
                <w:b w:val="0"/>
                <w:bCs w:val="0"/>
              </w:rPr>
              <w:t>TSPRD-DR</w:t>
            </w:r>
          </w:p>
        </w:tc>
        <w:tc>
          <w:tcPr>
            <w:tcW w:w="1966" w:type="dxa"/>
            <w:tcBorders>
              <w:top w:val="nil"/>
              <w:left w:val="nil"/>
              <w:bottom w:val="nil"/>
              <w:right w:val="nil"/>
            </w:tcBorders>
            <w:shd w:val="clear"/>
            <w:vAlign w:val="center"/>
          </w:tcPr>
          <w:p w14:paraId="268C0261">
            <w:pPr>
              <w:pStyle w:val="5"/>
              <w:keepNext w:val="0"/>
              <w:keepLines w:val="0"/>
              <w:widowControl/>
              <w:suppressLineNumbers w:val="0"/>
              <w:snapToGrid w:val="0"/>
              <w:ind w:left="0" w:leftChars="0" w:right="0" w:rightChars="0" w:firstLine="0" w:firstLineChars="0"/>
              <w:jc w:val="left"/>
              <w:rPr>
                <w:b w:val="0"/>
                <w:bCs w:val="0"/>
              </w:rPr>
            </w:pPr>
            <w:r>
              <w:rPr>
                <w:b w:val="0"/>
                <w:bCs w:val="0"/>
              </w:rPr>
              <w:t>动态新增订单的在途补给</w:t>
            </w:r>
          </w:p>
        </w:tc>
        <w:tc>
          <w:tcPr>
            <w:tcW w:w="2367" w:type="dxa"/>
            <w:tcBorders>
              <w:top w:val="nil"/>
              <w:left w:val="nil"/>
              <w:bottom w:val="nil"/>
              <w:right w:val="nil"/>
            </w:tcBorders>
            <w:shd w:val="clear"/>
            <w:vAlign w:val="center"/>
          </w:tcPr>
          <w:p w14:paraId="32198CB7">
            <w:pPr>
              <w:pStyle w:val="5"/>
              <w:keepNext w:val="0"/>
              <w:keepLines w:val="0"/>
              <w:widowControl/>
              <w:suppressLineNumbers w:val="0"/>
              <w:snapToGrid w:val="0"/>
              <w:ind w:left="0" w:leftChars="0" w:right="0" w:rightChars="0" w:firstLine="0" w:firstLineChars="0"/>
              <w:jc w:val="left"/>
              <w:rPr>
                <w:b w:val="0"/>
                <w:bCs w:val="0"/>
              </w:rPr>
            </w:pPr>
            <w:r>
              <w:rPr>
                <w:b w:val="0"/>
                <w:bCs w:val="0"/>
              </w:rPr>
              <w:t>当日达、即时零售等动态订单场景</w:t>
            </w:r>
          </w:p>
        </w:tc>
        <w:tc>
          <w:tcPr>
            <w:tcW w:w="2599" w:type="dxa"/>
            <w:tcBorders>
              <w:top w:val="nil"/>
              <w:left w:val="nil"/>
              <w:bottom w:val="nil"/>
              <w:right w:val="nil"/>
            </w:tcBorders>
            <w:shd w:val="clear"/>
            <w:vAlign w:val="center"/>
          </w:tcPr>
          <w:p w14:paraId="5B265088">
            <w:pPr>
              <w:pStyle w:val="5"/>
              <w:keepNext w:val="0"/>
              <w:keepLines w:val="0"/>
              <w:widowControl/>
              <w:suppressLineNumbers w:val="0"/>
              <w:snapToGrid w:val="0"/>
              <w:ind w:left="0" w:leftChars="0" w:right="0" w:rightChars="0" w:firstLine="0" w:firstLineChars="0"/>
              <w:jc w:val="left"/>
              <w:rPr>
                <w:b w:val="0"/>
                <w:bCs w:val="0"/>
              </w:rPr>
            </w:pPr>
            <w:r>
              <w:rPr>
                <w:b w:val="0"/>
                <w:bCs w:val="0"/>
              </w:rPr>
              <w:t>时间导向型 (最小化完工时间)</w:t>
            </w:r>
          </w:p>
        </w:tc>
        <w:tc>
          <w:tcPr>
            <w:tcW w:w="2147" w:type="dxa"/>
            <w:tcBorders>
              <w:top w:val="nil"/>
              <w:left w:val="nil"/>
              <w:bottom w:val="nil"/>
              <w:right w:val="nil"/>
            </w:tcBorders>
            <w:shd w:val="clear"/>
            <w:vAlign w:val="center"/>
          </w:tcPr>
          <w:p w14:paraId="690528C4">
            <w:pPr>
              <w:pStyle w:val="5"/>
              <w:keepNext w:val="0"/>
              <w:keepLines w:val="0"/>
              <w:widowControl/>
              <w:suppressLineNumbers w:val="0"/>
              <w:snapToGrid w:val="0"/>
              <w:ind w:left="0" w:leftChars="0" w:right="0" w:rightChars="0" w:firstLine="0" w:firstLineChars="0"/>
              <w:jc w:val="left"/>
              <w:rPr>
                <w:b w:val="0"/>
                <w:bCs w:val="0"/>
              </w:rPr>
            </w:pPr>
            <w:r>
              <w:rPr>
                <w:b w:val="0"/>
                <w:bCs w:val="0"/>
              </w:rPr>
              <w:t>创新性地提出无人机作为移动补给单位的模式</w:t>
            </w:r>
          </w:p>
        </w:tc>
      </w:tr>
      <w:tr w14:paraId="50AF7DC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trHeight w:val="0" w:hRule="atLeast"/>
          <w:jc w:val="center"/>
        </w:trPr>
        <w:tc>
          <w:tcPr>
            <w:tcW w:w="1590" w:type="dxa"/>
            <w:tcBorders>
              <w:top w:val="nil"/>
              <w:left w:val="nil"/>
              <w:bottom w:val="single" w:color="auto" w:sz="12" w:space="0"/>
              <w:right w:val="nil"/>
            </w:tcBorders>
            <w:shd w:val="clear"/>
            <w:vAlign w:val="center"/>
          </w:tcPr>
          <w:p w14:paraId="75944D32">
            <w:pPr>
              <w:pStyle w:val="5"/>
              <w:keepNext w:val="0"/>
              <w:keepLines w:val="0"/>
              <w:widowControl/>
              <w:suppressLineNumbers w:val="0"/>
              <w:snapToGrid w:val="0"/>
              <w:ind w:left="0" w:leftChars="0" w:right="0" w:rightChars="0" w:firstLine="0" w:firstLineChars="0"/>
              <w:jc w:val="left"/>
              <w:rPr>
                <w:b w:val="0"/>
                <w:bCs w:val="0"/>
              </w:rPr>
            </w:pPr>
            <w:r>
              <w:rPr>
                <w:b w:val="0"/>
                <w:bCs w:val="0"/>
              </w:rPr>
              <w:t>应急备用系统</w:t>
            </w:r>
          </w:p>
        </w:tc>
        <w:tc>
          <w:tcPr>
            <w:tcW w:w="1966" w:type="dxa"/>
            <w:tcBorders>
              <w:top w:val="nil"/>
              <w:left w:val="nil"/>
              <w:bottom w:val="single" w:color="auto" w:sz="12" w:space="0"/>
              <w:right w:val="nil"/>
            </w:tcBorders>
            <w:shd w:val="clear"/>
            <w:vAlign w:val="center"/>
          </w:tcPr>
          <w:p w14:paraId="2FDC1F5B">
            <w:pPr>
              <w:pStyle w:val="5"/>
              <w:keepNext w:val="0"/>
              <w:keepLines w:val="0"/>
              <w:widowControl/>
              <w:suppressLineNumbers w:val="0"/>
              <w:snapToGrid w:val="0"/>
              <w:ind w:left="0" w:leftChars="0" w:right="0" w:rightChars="0" w:firstLine="0" w:firstLineChars="0"/>
              <w:jc w:val="left"/>
              <w:rPr>
                <w:b w:val="0"/>
                <w:bCs w:val="0"/>
              </w:rPr>
            </w:pPr>
            <w:r>
              <w:rPr>
                <w:b w:val="0"/>
                <w:bCs w:val="0"/>
              </w:rPr>
              <w:t>利用现有公私无人机资产构建临时、高弹性的物流网络</w:t>
            </w:r>
          </w:p>
        </w:tc>
        <w:tc>
          <w:tcPr>
            <w:tcW w:w="2367" w:type="dxa"/>
            <w:tcBorders>
              <w:top w:val="nil"/>
              <w:left w:val="nil"/>
              <w:bottom w:val="single" w:color="auto" w:sz="12" w:space="0"/>
              <w:right w:val="nil"/>
            </w:tcBorders>
            <w:shd w:val="clear"/>
            <w:vAlign w:val="center"/>
          </w:tcPr>
          <w:p w14:paraId="6E52EA5F">
            <w:pPr>
              <w:pStyle w:val="5"/>
              <w:keepNext w:val="0"/>
              <w:keepLines w:val="0"/>
              <w:widowControl/>
              <w:suppressLineNumbers w:val="0"/>
              <w:snapToGrid w:val="0"/>
              <w:ind w:left="0" w:leftChars="0" w:right="0" w:rightChars="0" w:firstLine="0" w:firstLineChars="0"/>
              <w:jc w:val="left"/>
              <w:rPr>
                <w:b w:val="0"/>
                <w:bCs w:val="0"/>
              </w:rPr>
            </w:pPr>
            <w:r>
              <w:rPr>
                <w:b w:val="0"/>
                <w:bCs w:val="0"/>
              </w:rPr>
              <w:t>公共卫生危机期间的关键物资运输（如COVID-19检测试剂）及基础设施受损后的应急响应</w:t>
            </w:r>
          </w:p>
        </w:tc>
        <w:tc>
          <w:tcPr>
            <w:tcW w:w="2599" w:type="dxa"/>
            <w:tcBorders>
              <w:top w:val="nil"/>
              <w:left w:val="nil"/>
              <w:bottom w:val="single" w:color="auto" w:sz="12" w:space="0"/>
              <w:right w:val="nil"/>
            </w:tcBorders>
            <w:shd w:val="clear"/>
            <w:vAlign w:val="center"/>
          </w:tcPr>
          <w:p w14:paraId="2E56DB7A">
            <w:pPr>
              <w:pStyle w:val="5"/>
              <w:keepNext w:val="0"/>
              <w:keepLines w:val="0"/>
              <w:widowControl/>
              <w:suppressLineNumbers w:val="0"/>
              <w:snapToGrid w:val="0"/>
              <w:ind w:left="0" w:leftChars="0" w:right="0" w:rightChars="0" w:firstLine="0" w:firstLineChars="0"/>
              <w:jc w:val="left"/>
              <w:rPr>
                <w:b w:val="0"/>
                <w:bCs w:val="0"/>
              </w:rPr>
            </w:pPr>
            <w:r>
              <w:rPr>
                <w:b w:val="0"/>
                <w:bCs w:val="0"/>
              </w:rPr>
              <w:t>服务导向型 (最大化覆盖/最小化响应)</w:t>
            </w:r>
          </w:p>
        </w:tc>
        <w:tc>
          <w:tcPr>
            <w:tcW w:w="2147" w:type="dxa"/>
            <w:tcBorders>
              <w:top w:val="nil"/>
              <w:left w:val="nil"/>
              <w:bottom w:val="single" w:color="auto" w:sz="12" w:space="0"/>
              <w:right w:val="nil"/>
            </w:tcBorders>
            <w:shd w:val="clear"/>
            <w:vAlign w:val="center"/>
          </w:tcPr>
          <w:p w14:paraId="70E26CAF">
            <w:pPr>
              <w:pStyle w:val="5"/>
              <w:keepNext w:val="0"/>
              <w:keepLines w:val="0"/>
              <w:widowControl/>
              <w:suppressLineNumbers w:val="0"/>
              <w:snapToGrid w:val="0"/>
              <w:ind w:left="0" w:leftChars="0" w:right="0" w:rightChars="0" w:firstLine="0" w:firstLineChars="0"/>
              <w:jc w:val="left"/>
              <w:rPr>
                <w:b w:val="0"/>
                <w:bCs w:val="0"/>
              </w:rPr>
            </w:pPr>
            <w:r>
              <w:rPr>
                <w:b w:val="0"/>
                <w:bCs w:val="0"/>
              </w:rPr>
              <w:t>提出利用现有无人机基础设施构建弹性应急物流网络的理念</w:t>
            </w:r>
          </w:p>
        </w:tc>
      </w:tr>
    </w:tbl>
    <w:p w14:paraId="044B7FDC">
      <w:pPr>
        <w:pStyle w:val="4"/>
        <w:keepNext w:val="0"/>
        <w:keepLines w:val="0"/>
        <w:widowControl/>
        <w:suppressLineNumbers w:val="0"/>
      </w:pPr>
      <w:r>
        <w:rPr>
          <w:rFonts w:hint="eastAsia"/>
          <w:lang w:val="en-US" w:eastAsia="zh-CN"/>
        </w:rPr>
        <w:t>3</w:t>
      </w:r>
      <w:r>
        <w:t>.3. 关键技术与求解方法</w:t>
      </w:r>
    </w:p>
    <w:p w14:paraId="588BE769">
      <w:pPr>
        <w:pStyle w:val="5"/>
        <w:keepNext w:val="0"/>
        <w:keepLines w:val="0"/>
        <w:widowControl/>
        <w:suppressLineNumbers w:val="0"/>
      </w:pPr>
      <w:r>
        <w:t>上述数学模型本质上都属于NP-hard组合优化问题，求解难度极高。为此，研究人员开发了多种算法与技术来应对挑战。</w:t>
      </w:r>
    </w:p>
    <w:p w14:paraId="058B03F9">
      <w:pPr>
        <w:keepNext w:val="0"/>
        <w:keepLines w:val="0"/>
        <w:widowControl/>
        <w:numPr>
          <w:ilvl w:val="0"/>
          <w:numId w:val="5"/>
        </w:numPr>
        <w:suppressLineNumbers w:val="0"/>
        <w:spacing w:before="0" w:beforeAutospacing="1" w:after="0" w:afterAutospacing="1"/>
        <w:ind w:left="42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精确算法 (Exact Algorithms): 这类算法致力于寻找问题的理论最优解。常用的方法包括混合整数线性规划 (Mixed Integer Linear Programming, MILP) 和在此基础上发展的 分支剪切法 (Branch-and-Cut)。精确算法的优势在于解的质量有保证，但其计算复杂度会随问题规模（如客户点数量）呈指数级增长，通常仅适用于求解客户点少于20-30个的小规模算例</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_Ref20551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[3]</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rPr>
        <w:t xml:space="preserve"> 。</w:t>
      </w:r>
    </w:p>
    <w:p w14:paraId="2604913A">
      <w:pPr>
        <w:keepNext w:val="0"/>
        <w:keepLines w:val="0"/>
        <w:widowControl/>
        <w:numPr>
          <w:ilvl w:val="0"/>
          <w:numId w:val="5"/>
        </w:numPr>
        <w:suppressLineNumbers w:val="0"/>
        <w:spacing w:before="0" w:beforeAutospacing="1" w:after="0" w:afterAutospacing="1"/>
        <w:ind w:left="42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启发式与元启发式算法 (Heuristics and Metaheuristics): 在处理大规模的现实世界问题时，必须依赖启发式算法在可接受的时间内找到高质量的近似最优解。这类算法不保证找到全局最优解，但其高效性和实用性使其成为商业决策支持系统的主流选择。源材料中提及的代表性算法包括：</w:t>
      </w:r>
    </w:p>
    <w:p w14:paraId="19D280B8">
      <w:pPr>
        <w:keepNext w:val="0"/>
        <w:keepLines w:val="0"/>
        <w:widowControl/>
        <w:numPr>
          <w:ilvl w:val="0"/>
          <w:numId w:val="6"/>
        </w:numPr>
        <w:suppressLineNumbers w:val="0"/>
        <w:tabs>
          <w:tab w:val="left" w:pos="1440"/>
          <w:tab w:val="clear" w:pos="420"/>
        </w:tabs>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自适应大规模邻域搜索 (ALNS): 一种强大的元启发式算法，通过动态选择不同的“破坏”和“修复”算子来探索广阔的解空间，在多种车辆路径问题上表现出色</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_Ref21874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[9]</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_Ref21047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[7]</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1F53EE03">
      <w:pPr>
        <w:keepNext w:val="0"/>
        <w:keepLines w:val="0"/>
        <w:widowControl/>
        <w:numPr>
          <w:ilvl w:val="0"/>
          <w:numId w:val="6"/>
        </w:numPr>
        <w:suppressLineNumbers w:val="0"/>
        <w:tabs>
          <w:tab w:val="left" w:pos="1440"/>
          <w:tab w:val="clear" w:pos="420"/>
        </w:tabs>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可变邻域搜索 (VNS): 通过系统地在不同邻域结构中进行搜索来避免陷入局部最优</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_Ref22131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[10]</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020C9701">
      <w:pPr>
        <w:keepNext w:val="0"/>
        <w:keepLines w:val="0"/>
        <w:widowControl/>
        <w:numPr>
          <w:ilvl w:val="0"/>
          <w:numId w:val="6"/>
        </w:numPr>
        <w:suppressLineNumbers w:val="0"/>
        <w:tabs>
          <w:tab w:val="left" w:pos="1440"/>
          <w:tab w:val="clear" w:pos="420"/>
        </w:tabs>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“先路径后聚类” (Route-First, Cluster-Second, RFCS): 一种两阶段启发式策略，首先为货车规划一条初始路径，然后在此基础上识别可以由无人机服务的客户“簇”，进行局部优化</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_Ref22540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[11]</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53A99E85">
      <w:pPr>
        <w:keepNext w:val="0"/>
        <w:keepLines w:val="0"/>
        <w:widowControl/>
        <w:numPr>
          <w:ilvl w:val="0"/>
          <w:numId w:val="5"/>
        </w:numPr>
        <w:suppressLineNumbers w:val="0"/>
        <w:tabs>
          <w:tab w:val="left" w:pos="1440"/>
        </w:tabs>
        <w:spacing w:before="0" w:beforeAutospacing="1" w:after="0" w:afterAutospacing="1"/>
        <w:ind w:left="42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新兴使能技术 (Emerging Enabling Technologies): 区块链 (Blockchain) 技术为无人设备物流带来了新的可能性，尤其是在促进资源共享方面。传统的无人机运营模式通常是“企业独占”的，导致资产利用率不高。区块链技术通过其去中心化、不可篡改和智能合约的特性，可以构建一个“免信任” (trust-free) 的跨企业无人机机队共享平台。在这个平台上，不同公司的无人机可以被动态调度，服务于更大范围的需求，从而极大提高资产利用率和运营灵活性，为构建社会化的无人机物流网络提供了技术基础</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_Ref22628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[12]</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1AD0D1E7">
      <w:pPr>
        <w:pStyle w:val="5"/>
        <w:keepNext w:val="0"/>
        <w:keepLines w:val="0"/>
        <w:widowControl/>
        <w:suppressLineNumbers w:val="0"/>
      </w:pPr>
      <w:r>
        <w:t>下表对不同的求解方法进行了对比分析：</w:t>
      </w:r>
    </w:p>
    <w:tbl>
      <w:tblPr>
        <w:tblW w:w="10095" w:type="dxa"/>
        <w:jc w:val="cente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1872"/>
        <w:gridCol w:w="2789"/>
        <w:gridCol w:w="1484"/>
        <w:gridCol w:w="1364"/>
        <w:gridCol w:w="2586"/>
      </w:tblGrid>
      <w:tr w14:paraId="2C18112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trHeight w:val="0" w:hRule="atLeast"/>
          <w:tblHeader/>
          <w:jc w:val="center"/>
        </w:trPr>
        <w:tc>
          <w:tcPr>
            <w:tcW w:w="1872" w:type="dxa"/>
            <w:tcBorders>
              <w:top w:val="single" w:color="auto" w:sz="12" w:space="0"/>
              <w:left w:val="nil"/>
              <w:bottom w:val="single" w:color="auto" w:sz="4" w:space="0"/>
              <w:right w:val="nil"/>
            </w:tcBorders>
            <w:shd w:val="clear"/>
            <w:vAlign w:val="center"/>
          </w:tcPr>
          <w:p w14:paraId="7F3AE886">
            <w:pPr>
              <w:pStyle w:val="5"/>
              <w:keepNext w:val="0"/>
              <w:keepLines w:val="0"/>
              <w:widowControl/>
              <w:suppressLineNumbers w:val="0"/>
              <w:snapToGrid w:val="0"/>
              <w:ind w:left="0" w:leftChars="0" w:right="0" w:rightChars="0" w:firstLine="0" w:firstLineChars="0"/>
              <w:jc w:val="center"/>
              <w:rPr>
                <w:b/>
                <w:bCs/>
              </w:rPr>
            </w:pPr>
            <w:r>
              <w:rPr>
                <w:b/>
                <w:bCs/>
              </w:rPr>
              <w:t>方法类别</w:t>
            </w:r>
          </w:p>
          <w:p w14:paraId="449EBD25">
            <w:pPr>
              <w:pStyle w:val="5"/>
              <w:keepNext w:val="0"/>
              <w:keepLines w:val="0"/>
              <w:widowControl/>
              <w:suppressLineNumbers w:val="0"/>
              <w:snapToGrid w:val="0"/>
              <w:ind w:left="0" w:leftChars="0" w:right="0" w:rightChars="0" w:firstLine="0" w:firstLineChars="0"/>
              <w:jc w:val="center"/>
              <w:rPr>
                <w:b/>
              </w:rPr>
            </w:pPr>
            <w:r>
              <w:rPr>
                <w:b/>
                <w:bCs/>
              </w:rPr>
              <w:t>(MethodCategory)</w:t>
            </w:r>
          </w:p>
        </w:tc>
        <w:tc>
          <w:tcPr>
            <w:tcW w:w="2789" w:type="dxa"/>
            <w:tcBorders>
              <w:top w:val="single" w:color="auto" w:sz="12" w:space="0"/>
              <w:left w:val="nil"/>
              <w:bottom w:val="single" w:color="auto" w:sz="4" w:space="0"/>
              <w:right w:val="nil"/>
            </w:tcBorders>
            <w:shd w:val="clear"/>
            <w:vAlign w:val="center"/>
          </w:tcPr>
          <w:p w14:paraId="049FD8C0">
            <w:pPr>
              <w:pStyle w:val="5"/>
              <w:keepNext w:val="0"/>
              <w:keepLines w:val="0"/>
              <w:widowControl/>
              <w:suppressLineNumbers w:val="0"/>
              <w:snapToGrid w:val="0"/>
              <w:ind w:left="0" w:leftChars="0" w:right="0" w:rightChars="0" w:firstLine="0" w:firstLineChars="0"/>
              <w:jc w:val="center"/>
              <w:rPr>
                <w:b/>
                <w:bCs/>
              </w:rPr>
            </w:pPr>
            <w:r>
              <w:rPr>
                <w:b/>
                <w:bCs/>
              </w:rPr>
              <w:t>代表性算法</w:t>
            </w:r>
          </w:p>
          <w:p w14:paraId="1E199B26">
            <w:pPr>
              <w:pStyle w:val="5"/>
              <w:keepNext w:val="0"/>
              <w:keepLines w:val="0"/>
              <w:widowControl/>
              <w:suppressLineNumbers w:val="0"/>
              <w:snapToGrid w:val="0"/>
              <w:ind w:left="0" w:leftChars="0" w:right="0" w:rightChars="0" w:firstLine="0" w:firstLineChars="0"/>
              <w:jc w:val="center"/>
              <w:rPr>
                <w:b/>
              </w:rPr>
            </w:pPr>
            <w:r>
              <w:rPr>
                <w:b/>
                <w:bCs/>
              </w:rPr>
              <w:t>(RepresentativeAlgorithms)</w:t>
            </w:r>
          </w:p>
        </w:tc>
        <w:tc>
          <w:tcPr>
            <w:tcW w:w="1484" w:type="dxa"/>
            <w:tcBorders>
              <w:top w:val="single" w:color="auto" w:sz="12" w:space="0"/>
              <w:left w:val="nil"/>
              <w:bottom w:val="single" w:color="auto" w:sz="4" w:space="0"/>
              <w:right w:val="nil"/>
            </w:tcBorders>
            <w:shd w:val="clear"/>
            <w:vAlign w:val="center"/>
          </w:tcPr>
          <w:p w14:paraId="67834E01">
            <w:pPr>
              <w:pStyle w:val="5"/>
              <w:keepNext w:val="0"/>
              <w:keepLines w:val="0"/>
              <w:widowControl/>
              <w:suppressLineNumbers w:val="0"/>
              <w:snapToGrid w:val="0"/>
              <w:ind w:left="0" w:leftChars="0" w:right="0" w:rightChars="0" w:firstLine="0" w:firstLineChars="0"/>
              <w:jc w:val="center"/>
              <w:rPr>
                <w:b/>
                <w:bCs/>
              </w:rPr>
            </w:pPr>
            <w:r>
              <w:rPr>
                <w:b/>
                <w:bCs/>
              </w:rPr>
              <w:t>优势</w:t>
            </w:r>
          </w:p>
          <w:p w14:paraId="3C701B8B">
            <w:pPr>
              <w:pStyle w:val="5"/>
              <w:keepNext w:val="0"/>
              <w:keepLines w:val="0"/>
              <w:widowControl/>
              <w:suppressLineNumbers w:val="0"/>
              <w:snapToGrid w:val="0"/>
              <w:ind w:left="0" w:leftChars="0" w:right="0" w:rightChars="0" w:firstLine="0" w:firstLineChars="0"/>
              <w:jc w:val="center"/>
              <w:rPr>
                <w:b/>
              </w:rPr>
            </w:pPr>
            <w:r>
              <w:rPr>
                <w:b/>
                <w:bCs/>
              </w:rPr>
              <w:t>(Advantages)</w:t>
            </w:r>
          </w:p>
        </w:tc>
        <w:tc>
          <w:tcPr>
            <w:tcW w:w="1364" w:type="dxa"/>
            <w:tcBorders>
              <w:top w:val="single" w:color="auto" w:sz="12" w:space="0"/>
              <w:left w:val="nil"/>
              <w:bottom w:val="single" w:color="auto" w:sz="4" w:space="0"/>
              <w:right w:val="nil"/>
            </w:tcBorders>
            <w:shd w:val="clear"/>
            <w:vAlign w:val="center"/>
          </w:tcPr>
          <w:p w14:paraId="3A060173">
            <w:pPr>
              <w:pStyle w:val="5"/>
              <w:keepNext w:val="0"/>
              <w:keepLines w:val="0"/>
              <w:widowControl/>
              <w:suppressLineNumbers w:val="0"/>
              <w:snapToGrid w:val="0"/>
              <w:ind w:left="0" w:leftChars="0" w:right="0" w:rightChars="0" w:firstLine="0" w:firstLineChars="0"/>
              <w:jc w:val="center"/>
              <w:rPr>
                <w:b/>
                <w:bCs/>
              </w:rPr>
            </w:pPr>
            <w:r>
              <w:rPr>
                <w:b/>
                <w:bCs/>
              </w:rPr>
              <w:t>局限性</w:t>
            </w:r>
          </w:p>
          <w:p w14:paraId="382E2F4C">
            <w:pPr>
              <w:pStyle w:val="5"/>
              <w:keepNext w:val="0"/>
              <w:keepLines w:val="0"/>
              <w:widowControl/>
              <w:suppressLineNumbers w:val="0"/>
              <w:snapToGrid w:val="0"/>
              <w:ind w:left="0" w:leftChars="0" w:right="0" w:rightChars="0" w:firstLine="0" w:firstLineChars="0"/>
              <w:jc w:val="center"/>
              <w:rPr>
                <w:b/>
              </w:rPr>
            </w:pPr>
            <w:r>
              <w:rPr>
                <w:b/>
                <w:bCs/>
              </w:rPr>
              <w:t>(Limitations)</w:t>
            </w:r>
          </w:p>
        </w:tc>
        <w:tc>
          <w:tcPr>
            <w:tcW w:w="2586" w:type="dxa"/>
            <w:tcBorders>
              <w:top w:val="single" w:color="auto" w:sz="12" w:space="0"/>
              <w:left w:val="nil"/>
              <w:bottom w:val="single" w:color="auto" w:sz="4" w:space="0"/>
              <w:right w:val="nil"/>
            </w:tcBorders>
            <w:shd w:val="clear"/>
            <w:vAlign w:val="center"/>
          </w:tcPr>
          <w:p w14:paraId="7617CA40">
            <w:pPr>
              <w:pStyle w:val="5"/>
              <w:keepNext w:val="0"/>
              <w:keepLines w:val="0"/>
              <w:widowControl/>
              <w:suppressLineNumbers w:val="0"/>
              <w:snapToGrid w:val="0"/>
              <w:ind w:left="0" w:leftChars="0" w:right="0" w:rightChars="0" w:firstLine="0" w:firstLineChars="0"/>
              <w:jc w:val="center"/>
              <w:rPr>
                <w:b/>
                <w:bCs/>
              </w:rPr>
            </w:pPr>
            <w:r>
              <w:rPr>
                <w:b/>
                <w:bCs/>
              </w:rPr>
              <w:t>适用问题规模</w:t>
            </w:r>
          </w:p>
          <w:p w14:paraId="670FE670">
            <w:pPr>
              <w:pStyle w:val="5"/>
              <w:keepNext w:val="0"/>
              <w:keepLines w:val="0"/>
              <w:widowControl/>
              <w:suppressLineNumbers w:val="0"/>
              <w:snapToGrid w:val="0"/>
              <w:ind w:left="0" w:leftChars="0" w:right="0" w:rightChars="0" w:firstLine="0" w:firstLineChars="0"/>
              <w:jc w:val="center"/>
              <w:rPr>
                <w:b/>
              </w:rPr>
            </w:pPr>
            <w:r>
              <w:rPr>
                <w:b/>
                <w:bCs/>
              </w:rPr>
              <w:t>(ApplicableProblemScale)</w:t>
            </w:r>
          </w:p>
        </w:tc>
      </w:tr>
      <w:tr w14:paraId="014ABC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trHeight w:val="0" w:hRule="atLeast"/>
          <w:jc w:val="center"/>
        </w:trPr>
        <w:tc>
          <w:tcPr>
            <w:tcW w:w="1872" w:type="dxa"/>
            <w:tcBorders>
              <w:top w:val="single" w:color="auto" w:sz="4" w:space="0"/>
              <w:left w:val="nil"/>
              <w:bottom w:val="nil"/>
              <w:right w:val="nil"/>
            </w:tcBorders>
            <w:shd w:val="clear"/>
            <w:vAlign w:val="center"/>
          </w:tcPr>
          <w:p w14:paraId="1F255C2E">
            <w:pPr>
              <w:pStyle w:val="5"/>
              <w:keepNext w:val="0"/>
              <w:keepLines w:val="0"/>
              <w:widowControl/>
              <w:suppressLineNumbers w:val="0"/>
              <w:snapToGrid w:val="0"/>
              <w:ind w:left="0" w:leftChars="0" w:right="0" w:rightChars="0" w:firstLine="0" w:firstLineChars="0"/>
              <w:jc w:val="center"/>
            </w:pPr>
            <w:r>
              <w:rPr>
                <w:b/>
                <w:bCs/>
              </w:rPr>
              <w:t>精确算法</w:t>
            </w:r>
          </w:p>
        </w:tc>
        <w:tc>
          <w:tcPr>
            <w:tcW w:w="2789" w:type="dxa"/>
            <w:tcBorders>
              <w:top w:val="single" w:color="auto" w:sz="4" w:space="0"/>
              <w:left w:val="nil"/>
              <w:bottom w:val="nil"/>
              <w:right w:val="nil"/>
            </w:tcBorders>
            <w:shd w:val="clear"/>
            <w:vAlign w:val="center"/>
          </w:tcPr>
          <w:p w14:paraId="72CD623C">
            <w:pPr>
              <w:pStyle w:val="5"/>
              <w:keepNext w:val="0"/>
              <w:keepLines w:val="0"/>
              <w:widowControl/>
              <w:suppressLineNumbers w:val="0"/>
              <w:snapToGrid w:val="0"/>
              <w:ind w:left="0" w:leftChars="0" w:right="0" w:rightChars="0" w:firstLine="0" w:firstLineChars="0"/>
              <w:jc w:val="left"/>
            </w:pPr>
            <w:r>
              <w:t>MILP, Branch-and-Cut</w:t>
            </w:r>
          </w:p>
        </w:tc>
        <w:tc>
          <w:tcPr>
            <w:tcW w:w="1484" w:type="dxa"/>
            <w:tcBorders>
              <w:top w:val="single" w:color="auto" w:sz="4" w:space="0"/>
              <w:left w:val="nil"/>
              <w:bottom w:val="nil"/>
              <w:right w:val="nil"/>
            </w:tcBorders>
            <w:shd w:val="clear"/>
            <w:vAlign w:val="center"/>
          </w:tcPr>
          <w:p w14:paraId="7AFCFE27">
            <w:pPr>
              <w:pStyle w:val="5"/>
              <w:keepNext w:val="0"/>
              <w:keepLines w:val="0"/>
              <w:widowControl/>
              <w:suppressLineNumbers w:val="0"/>
              <w:snapToGrid w:val="0"/>
              <w:ind w:left="0" w:leftChars="0" w:right="0" w:rightChars="0" w:firstLine="0" w:firstLineChars="0"/>
              <w:jc w:val="left"/>
            </w:pPr>
            <w:r>
              <w:t>能够找到理论最优解，为启发式算法提供基准</w:t>
            </w:r>
          </w:p>
        </w:tc>
        <w:tc>
          <w:tcPr>
            <w:tcW w:w="1364" w:type="dxa"/>
            <w:tcBorders>
              <w:top w:val="single" w:color="auto" w:sz="4" w:space="0"/>
              <w:left w:val="nil"/>
              <w:bottom w:val="nil"/>
              <w:right w:val="nil"/>
            </w:tcBorders>
            <w:shd w:val="clear"/>
            <w:vAlign w:val="center"/>
          </w:tcPr>
          <w:p w14:paraId="6F5C3D21">
            <w:pPr>
              <w:pStyle w:val="5"/>
              <w:keepNext w:val="0"/>
              <w:keepLines w:val="0"/>
              <w:widowControl/>
              <w:suppressLineNumbers w:val="0"/>
              <w:snapToGrid w:val="0"/>
              <w:ind w:left="0" w:leftChars="0" w:right="0" w:rightChars="0" w:firstLine="0" w:firstLineChars="0"/>
              <w:jc w:val="left"/>
            </w:pPr>
            <w:r>
              <w:t>计算时间随问题规模指数增长</w:t>
            </w:r>
          </w:p>
        </w:tc>
        <w:tc>
          <w:tcPr>
            <w:tcW w:w="2586" w:type="dxa"/>
            <w:tcBorders>
              <w:top w:val="single" w:color="auto" w:sz="4" w:space="0"/>
              <w:left w:val="nil"/>
              <w:bottom w:val="nil"/>
              <w:right w:val="nil"/>
            </w:tcBorders>
            <w:shd w:val="clear"/>
            <w:vAlign w:val="center"/>
          </w:tcPr>
          <w:p w14:paraId="286A3DF1">
            <w:pPr>
              <w:pStyle w:val="5"/>
              <w:keepNext w:val="0"/>
              <w:keepLines w:val="0"/>
              <w:widowControl/>
              <w:suppressLineNumbers w:val="0"/>
              <w:snapToGrid w:val="0"/>
              <w:ind w:left="0" w:leftChars="0" w:right="0" w:rightChars="0" w:firstLine="0" w:firstLineChars="0"/>
              <w:jc w:val="left"/>
            </w:pPr>
            <w:r>
              <w:t>小规模 (通常 &lt; 30 个客户点)</w:t>
            </w:r>
          </w:p>
        </w:tc>
      </w:tr>
      <w:tr w14:paraId="2BC5EE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trHeight w:val="0" w:hRule="atLeast"/>
          <w:jc w:val="center"/>
        </w:trPr>
        <w:tc>
          <w:tcPr>
            <w:tcW w:w="1872" w:type="dxa"/>
            <w:tcBorders>
              <w:top w:val="nil"/>
              <w:left w:val="nil"/>
              <w:bottom w:val="nil"/>
              <w:right w:val="nil"/>
            </w:tcBorders>
            <w:shd w:val="clear"/>
            <w:vAlign w:val="center"/>
          </w:tcPr>
          <w:p w14:paraId="5CCE0972">
            <w:pPr>
              <w:pStyle w:val="5"/>
              <w:keepNext w:val="0"/>
              <w:keepLines w:val="0"/>
              <w:widowControl/>
              <w:suppressLineNumbers w:val="0"/>
              <w:snapToGrid w:val="0"/>
              <w:ind w:left="0" w:leftChars="0" w:right="0" w:rightChars="0" w:firstLine="0" w:firstLineChars="0"/>
              <w:jc w:val="center"/>
            </w:pPr>
            <w:r>
              <w:rPr>
                <w:b/>
                <w:bCs/>
              </w:rPr>
              <w:t>启发式算法</w:t>
            </w:r>
          </w:p>
        </w:tc>
        <w:tc>
          <w:tcPr>
            <w:tcW w:w="2789" w:type="dxa"/>
            <w:tcBorders>
              <w:top w:val="nil"/>
              <w:left w:val="nil"/>
              <w:bottom w:val="nil"/>
              <w:right w:val="nil"/>
            </w:tcBorders>
            <w:shd w:val="clear"/>
            <w:vAlign w:val="center"/>
          </w:tcPr>
          <w:p w14:paraId="5FB6A959">
            <w:pPr>
              <w:pStyle w:val="5"/>
              <w:keepNext w:val="0"/>
              <w:keepLines w:val="0"/>
              <w:widowControl/>
              <w:suppressLineNumbers w:val="0"/>
              <w:snapToGrid w:val="0"/>
              <w:ind w:left="0" w:leftChars="0" w:right="0" w:rightChars="0" w:firstLine="0" w:firstLineChars="0"/>
              <w:jc w:val="left"/>
            </w:pPr>
            <w:r>
              <w:t>ALNS, VNS, RFCS, SA, GRASP</w:t>
            </w:r>
          </w:p>
        </w:tc>
        <w:tc>
          <w:tcPr>
            <w:tcW w:w="1484" w:type="dxa"/>
            <w:tcBorders>
              <w:top w:val="nil"/>
              <w:left w:val="nil"/>
              <w:bottom w:val="nil"/>
              <w:right w:val="nil"/>
            </w:tcBorders>
            <w:shd w:val="clear"/>
            <w:vAlign w:val="center"/>
          </w:tcPr>
          <w:p w14:paraId="411742F8">
            <w:pPr>
              <w:pStyle w:val="5"/>
              <w:keepNext w:val="0"/>
              <w:keepLines w:val="0"/>
              <w:widowControl/>
              <w:suppressLineNumbers w:val="0"/>
              <w:snapToGrid w:val="0"/>
              <w:ind w:left="0" w:leftChars="0" w:right="0" w:rightChars="0" w:firstLine="0" w:firstLineChars="0"/>
              <w:jc w:val="left"/>
            </w:pPr>
            <w:r>
              <w:t>计算速度快，能够处理大规模现实问题</w:t>
            </w:r>
          </w:p>
        </w:tc>
        <w:tc>
          <w:tcPr>
            <w:tcW w:w="1364" w:type="dxa"/>
            <w:tcBorders>
              <w:top w:val="nil"/>
              <w:left w:val="nil"/>
              <w:bottom w:val="nil"/>
              <w:right w:val="nil"/>
            </w:tcBorders>
            <w:shd w:val="clear"/>
            <w:vAlign w:val="center"/>
          </w:tcPr>
          <w:p w14:paraId="2D5325FE">
            <w:pPr>
              <w:pStyle w:val="5"/>
              <w:keepNext w:val="0"/>
              <w:keepLines w:val="0"/>
              <w:widowControl/>
              <w:suppressLineNumbers w:val="0"/>
              <w:snapToGrid w:val="0"/>
              <w:ind w:left="0" w:leftChars="0" w:right="0" w:rightChars="0" w:firstLine="0" w:firstLineChars="0"/>
              <w:jc w:val="left"/>
            </w:pPr>
            <w:r>
              <w:t>不保证找到最优解，解的质量依赖于算法设计</w:t>
            </w:r>
          </w:p>
        </w:tc>
        <w:tc>
          <w:tcPr>
            <w:tcW w:w="2586" w:type="dxa"/>
            <w:tcBorders>
              <w:top w:val="nil"/>
              <w:left w:val="nil"/>
              <w:bottom w:val="nil"/>
              <w:right w:val="nil"/>
            </w:tcBorders>
            <w:shd w:val="clear"/>
            <w:vAlign w:val="center"/>
          </w:tcPr>
          <w:p w14:paraId="20AC9B90">
            <w:pPr>
              <w:pStyle w:val="5"/>
              <w:keepNext w:val="0"/>
              <w:keepLines w:val="0"/>
              <w:widowControl/>
              <w:suppressLineNumbers w:val="0"/>
              <w:snapToGrid w:val="0"/>
              <w:ind w:left="0" w:leftChars="0" w:right="0" w:rightChars="0" w:firstLine="0" w:firstLineChars="0"/>
              <w:jc w:val="left"/>
            </w:pPr>
            <w:r>
              <w:t>大规模 (可处理上百个客户点)</w:t>
            </w:r>
          </w:p>
        </w:tc>
      </w:tr>
      <w:tr w14:paraId="042C8BE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rPr>
          <w:trHeight w:val="0" w:hRule="atLeast"/>
          <w:jc w:val="center"/>
        </w:trPr>
        <w:tc>
          <w:tcPr>
            <w:tcW w:w="1872" w:type="dxa"/>
            <w:tcBorders>
              <w:top w:val="nil"/>
              <w:left w:val="nil"/>
              <w:bottom w:val="single" w:color="auto" w:sz="12" w:space="0"/>
              <w:right w:val="nil"/>
            </w:tcBorders>
            <w:shd w:val="clear"/>
            <w:vAlign w:val="center"/>
          </w:tcPr>
          <w:p w14:paraId="1A7853D3">
            <w:pPr>
              <w:pStyle w:val="5"/>
              <w:keepNext w:val="0"/>
              <w:keepLines w:val="0"/>
              <w:widowControl/>
              <w:suppressLineNumbers w:val="0"/>
              <w:snapToGrid w:val="0"/>
              <w:ind w:left="0" w:leftChars="0" w:right="0" w:rightChars="0" w:firstLine="0" w:firstLineChars="0"/>
              <w:jc w:val="center"/>
            </w:pPr>
            <w:r>
              <w:rPr>
                <w:b/>
                <w:bCs/>
              </w:rPr>
              <w:t>新兴技术</w:t>
            </w:r>
          </w:p>
        </w:tc>
        <w:tc>
          <w:tcPr>
            <w:tcW w:w="2789" w:type="dxa"/>
            <w:tcBorders>
              <w:top w:val="nil"/>
              <w:left w:val="nil"/>
              <w:bottom w:val="single" w:color="auto" w:sz="12" w:space="0"/>
              <w:right w:val="nil"/>
            </w:tcBorders>
            <w:shd w:val="clear"/>
            <w:vAlign w:val="center"/>
          </w:tcPr>
          <w:p w14:paraId="7E3A4FBC">
            <w:pPr>
              <w:pStyle w:val="5"/>
              <w:keepNext w:val="0"/>
              <w:keepLines w:val="0"/>
              <w:widowControl/>
              <w:suppressLineNumbers w:val="0"/>
              <w:snapToGrid w:val="0"/>
              <w:ind w:left="0" w:leftChars="0" w:right="0" w:rightChars="0" w:firstLine="0" w:firstLineChars="0"/>
              <w:jc w:val="left"/>
            </w:pPr>
            <w:r>
              <w:t>Blockchain-enabled Fleet Sharing</w:t>
            </w:r>
          </w:p>
        </w:tc>
        <w:tc>
          <w:tcPr>
            <w:tcW w:w="1484" w:type="dxa"/>
            <w:tcBorders>
              <w:top w:val="nil"/>
              <w:left w:val="nil"/>
              <w:bottom w:val="single" w:color="auto" w:sz="12" w:space="0"/>
              <w:right w:val="nil"/>
            </w:tcBorders>
            <w:shd w:val="clear"/>
            <w:vAlign w:val="center"/>
          </w:tcPr>
          <w:p w14:paraId="68BFB2C2">
            <w:pPr>
              <w:pStyle w:val="5"/>
              <w:keepNext w:val="0"/>
              <w:keepLines w:val="0"/>
              <w:widowControl/>
              <w:suppressLineNumbers w:val="0"/>
              <w:snapToGrid w:val="0"/>
              <w:ind w:left="0" w:leftChars="0" w:right="0" w:rightChars="0" w:firstLine="0" w:firstLineChars="0"/>
              <w:jc w:val="left"/>
            </w:pPr>
            <w:r>
              <w:t>促进资源共享，构建免信任协作网络，提升资产利用率</w:t>
            </w:r>
          </w:p>
        </w:tc>
        <w:tc>
          <w:tcPr>
            <w:tcW w:w="1364" w:type="dxa"/>
            <w:tcBorders>
              <w:top w:val="nil"/>
              <w:left w:val="nil"/>
              <w:bottom w:val="single" w:color="auto" w:sz="12" w:space="0"/>
              <w:right w:val="nil"/>
            </w:tcBorders>
            <w:shd w:val="clear"/>
            <w:vAlign w:val="center"/>
          </w:tcPr>
          <w:p w14:paraId="5D4A60C7">
            <w:pPr>
              <w:pStyle w:val="5"/>
              <w:keepNext w:val="0"/>
              <w:keepLines w:val="0"/>
              <w:widowControl/>
              <w:suppressLineNumbers w:val="0"/>
              <w:snapToGrid w:val="0"/>
              <w:ind w:left="0" w:leftChars="0" w:right="0" w:rightChars="0" w:firstLine="0" w:firstLineChars="0"/>
              <w:jc w:val="left"/>
            </w:pPr>
            <w:r>
              <w:t>技术尚处早期，需解决性能、安全和标准化问题</w:t>
            </w:r>
          </w:p>
        </w:tc>
        <w:tc>
          <w:tcPr>
            <w:tcW w:w="2586" w:type="dxa"/>
            <w:tcBorders>
              <w:top w:val="nil"/>
              <w:left w:val="nil"/>
              <w:bottom w:val="single" w:color="auto" w:sz="12" w:space="0"/>
              <w:right w:val="nil"/>
            </w:tcBorders>
            <w:shd w:val="clear"/>
            <w:vAlign w:val="center"/>
          </w:tcPr>
          <w:p w14:paraId="58E09FCE">
            <w:pPr>
              <w:pStyle w:val="5"/>
              <w:keepNext w:val="0"/>
              <w:keepLines w:val="0"/>
              <w:widowControl/>
              <w:suppressLineNumbers w:val="0"/>
              <w:snapToGrid w:val="0"/>
              <w:ind w:left="0" w:leftChars="0" w:right="0" w:rightChars="0" w:firstLine="0" w:firstLineChars="0"/>
              <w:jc w:val="left"/>
            </w:pPr>
            <w:r>
              <w:t>平台与生态系统层面</w:t>
            </w:r>
          </w:p>
        </w:tc>
      </w:tr>
    </w:tbl>
    <w:p w14:paraId="4049EC2F">
      <w:pPr>
        <w:pStyle w:val="4"/>
        <w:keepNext w:val="0"/>
        <w:keepLines w:val="0"/>
        <w:widowControl/>
        <w:suppressLineNumbers w:val="0"/>
      </w:pPr>
      <w:r>
        <w:rPr>
          <w:rFonts w:hint="eastAsia"/>
          <w:lang w:val="en-US" w:eastAsia="zh-CN"/>
        </w:rPr>
        <w:t>3</w:t>
      </w:r>
      <w:r>
        <w:t>.4. 核心约束与优化目标</w:t>
      </w:r>
    </w:p>
    <w:p w14:paraId="35B3B9F5">
      <w:pPr>
        <w:pStyle w:val="5"/>
        <w:keepNext w:val="0"/>
        <w:keepLines w:val="0"/>
        <w:widowControl/>
        <w:suppressLineNumbers w:val="0"/>
      </w:pPr>
      <w:r>
        <w:t>在对无人设备物流进行规划时，必须全面考虑一系列现实约束，并根据商业目标设定相应的优化函数。</w:t>
      </w:r>
    </w:p>
    <w:p w14:paraId="6E41BF27">
      <w:pPr>
        <w:keepNext w:val="0"/>
        <w:keepLines w:val="0"/>
        <w:widowControl/>
        <w:numPr>
          <w:numId w:val="0"/>
        </w:numPr>
        <w:suppressLineNumbers w:val="0"/>
        <w:spacing w:before="0" w:beforeAutospacing="1" w:after="0" w:afterAutospacing="1"/>
        <w:rPr>
          <w:rFonts w:hint="eastAsia" w:ascii="宋体" w:hAnsi="宋体" w:eastAsia="宋体" w:cs="宋体"/>
          <w:b w:val="0"/>
          <w:bCs w:val="0"/>
          <w:sz w:val="24"/>
          <w:szCs w:val="24"/>
        </w:rPr>
      </w:pPr>
      <w:r>
        <w:rPr>
          <w:rFonts w:hint="eastAsia" w:ascii="宋体" w:hAnsi="宋体" w:eastAsia="宋体" w:cs="宋体"/>
          <w:b w:val="0"/>
          <w:bCs w:val="0"/>
          <w:sz w:val="24"/>
          <w:szCs w:val="24"/>
        </w:rPr>
        <w:t>核心约束条件 (Core Constraints):</w:t>
      </w:r>
    </w:p>
    <w:p w14:paraId="68D60C0B">
      <w:pPr>
        <w:keepNext w:val="0"/>
        <w:keepLines w:val="0"/>
        <w:widowControl/>
        <w:numPr>
          <w:ilvl w:val="0"/>
          <w:numId w:val="7"/>
        </w:numPr>
        <w:suppressLineNumbers w:val="0"/>
        <w:spacing w:before="0" w:beforeAutospacing="1" w:after="0" w:afterAutospacing="1"/>
        <w:ind w:left="42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无人机自身限制：</w:t>
      </w:r>
    </w:p>
    <w:p w14:paraId="293E3186">
      <w:pPr>
        <w:keepNext w:val="0"/>
        <w:keepLines w:val="0"/>
        <w:widowControl/>
        <w:numPr>
          <w:ilvl w:val="1"/>
          <w:numId w:val="7"/>
        </w:numPr>
        <w:suppressLineNumbers w:val="0"/>
        <w:tabs>
          <w:tab w:val="clear" w:pos="840"/>
        </w:tabs>
        <w:spacing w:before="0" w:beforeAutospacing="1" w:after="0" w:afterAutospacing="1"/>
        <w:ind w:left="840" w:leftChars="0" w:hanging="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载重能力 (Payload Capacity): 无人机通常只能携带轻小包裹。</w:t>
      </w:r>
    </w:p>
    <w:p w14:paraId="038A0C4C">
      <w:pPr>
        <w:keepNext w:val="0"/>
        <w:keepLines w:val="0"/>
        <w:widowControl/>
        <w:numPr>
          <w:ilvl w:val="1"/>
          <w:numId w:val="7"/>
        </w:numPr>
        <w:suppressLineNumbers w:val="0"/>
        <w:tabs>
          <w:tab w:val="clear" w:pos="840"/>
        </w:tabs>
        <w:spacing w:before="0" w:beforeAutospacing="1" w:after="0" w:afterAutospacing="1"/>
        <w:ind w:left="840" w:leftChars="0" w:hanging="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续航能力 (Endurance): 无人机的飞行能力受到电池容量的严格限制，通常以最大飞行时间或最大飞行距离来衡量。</w:t>
      </w:r>
    </w:p>
    <w:p w14:paraId="009D177A">
      <w:pPr>
        <w:keepNext w:val="0"/>
        <w:keepLines w:val="0"/>
        <w:widowControl/>
        <w:numPr>
          <w:ilvl w:val="1"/>
          <w:numId w:val="7"/>
        </w:numPr>
        <w:suppressLineNumbers w:val="0"/>
        <w:tabs>
          <w:tab w:val="clear" w:pos="840"/>
        </w:tabs>
        <w:spacing w:before="0" w:beforeAutospacing="1" w:after="0" w:afterAutospacing="1"/>
        <w:ind w:left="840" w:leftChars="0" w:hanging="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电池性能 (Battery Performance): 锂电池的性能会随使用次数衰减，影响其续航和寿命，这在长期运营成本中是重要考量因素</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_Ref23030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[13]</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42AD3D48">
      <w:pPr>
        <w:keepNext w:val="0"/>
        <w:keepLines w:val="0"/>
        <w:widowControl/>
        <w:numPr>
          <w:ilvl w:val="0"/>
          <w:numId w:val="7"/>
        </w:numPr>
        <w:suppressLineNumbers w:val="0"/>
        <w:spacing w:before="0" w:beforeAutospacing="1" w:after="0" w:afterAutospacing="1"/>
        <w:ind w:left="42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运营流程约束：</w:t>
      </w:r>
    </w:p>
    <w:p w14:paraId="268DD610">
      <w:pPr>
        <w:keepNext w:val="0"/>
        <w:keepLines w:val="0"/>
        <w:widowControl/>
        <w:numPr>
          <w:ilvl w:val="1"/>
          <w:numId w:val="7"/>
        </w:numPr>
        <w:suppressLineNumbers w:val="0"/>
        <w:tabs>
          <w:tab w:val="clear" w:pos="840"/>
        </w:tabs>
        <w:spacing w:before="0" w:beforeAutospacing="1" w:after="0" w:afterAutospacing="1"/>
        <w:ind w:left="840" w:leftChars="0" w:hanging="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时间窗 (Time Windows): 客户通常会指定一个期望的收货时间段。</w:t>
      </w:r>
    </w:p>
    <w:p w14:paraId="385CA478">
      <w:pPr>
        <w:keepNext w:val="0"/>
        <w:keepLines w:val="0"/>
        <w:widowControl/>
        <w:numPr>
          <w:ilvl w:val="1"/>
          <w:numId w:val="7"/>
        </w:numPr>
        <w:suppressLineNumbers w:val="0"/>
        <w:tabs>
          <w:tab w:val="clear" w:pos="840"/>
        </w:tabs>
        <w:spacing w:before="0" w:beforeAutospacing="1" w:after="0" w:afterAutospacing="1"/>
        <w:ind w:left="840" w:leftChars="0" w:hanging="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司机工作时长 (Driver's Working Hours): 司机的最长日工作时间受到法规和合同的限制。</w:t>
      </w:r>
    </w:p>
    <w:p w14:paraId="5986892D">
      <w:pPr>
        <w:keepNext w:val="0"/>
        <w:keepLines w:val="0"/>
        <w:widowControl/>
        <w:numPr>
          <w:ilvl w:val="1"/>
          <w:numId w:val="7"/>
        </w:numPr>
        <w:suppressLineNumbers w:val="0"/>
        <w:tabs>
          <w:tab w:val="clear" w:pos="840"/>
        </w:tabs>
        <w:spacing w:before="0" w:beforeAutospacing="1" w:after="0" w:afterAutospacing="1"/>
        <w:ind w:left="840" w:leftChars="0" w:hanging="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可达性 (Accessibility): 并非所有客户地点都适合无人机安全降落（如高层公寓、密集市区等），需要对客户点进行“无人机友好度”评估。</w:t>
      </w:r>
    </w:p>
    <w:p w14:paraId="5466B2A0">
      <w:pPr>
        <w:keepNext w:val="0"/>
        <w:keepLines w:val="0"/>
        <w:widowControl/>
        <w:numPr>
          <w:ilvl w:val="0"/>
          <w:numId w:val="7"/>
        </w:numPr>
        <w:suppressLineNumbers w:val="0"/>
        <w:spacing w:before="0" w:beforeAutospacing="1" w:after="0" w:afterAutospacing="1"/>
        <w:ind w:left="42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协同作业约束：</w:t>
      </w:r>
    </w:p>
    <w:p w14:paraId="430854C7">
      <w:pPr>
        <w:keepNext w:val="0"/>
        <w:keepLines w:val="0"/>
        <w:widowControl/>
        <w:numPr>
          <w:ilvl w:val="1"/>
          <w:numId w:val="7"/>
        </w:numPr>
        <w:suppressLineNumbers w:val="0"/>
        <w:tabs>
          <w:tab w:val="clear" w:pos="840"/>
        </w:tabs>
        <w:spacing w:before="0" w:beforeAutospacing="1" w:after="0" w:afterAutospacing="1"/>
        <w:ind w:left="840" w:leftChars="0" w:hanging="42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同步要求 (Synchronization): 无人机的发射与回收必须与其母船（货车）在时间和空间上精确同步。</w:t>
      </w:r>
    </w:p>
    <w:p w14:paraId="54F4016C">
      <w:pPr>
        <w:keepNext w:val="0"/>
        <w:keepLines w:val="0"/>
        <w:widowControl/>
        <w:numPr>
          <w:numId w:val="0"/>
        </w:numPr>
        <w:suppressLineNumbers w:val="0"/>
        <w:spacing w:before="0" w:beforeAutospacing="1" w:after="0" w:afterAutospacing="1"/>
        <w:rPr>
          <w:rFonts w:hint="eastAsia" w:ascii="宋体" w:hAnsi="宋体" w:eastAsia="宋体" w:cs="宋体"/>
          <w:b w:val="0"/>
          <w:bCs w:val="0"/>
          <w:sz w:val="24"/>
          <w:szCs w:val="24"/>
        </w:rPr>
      </w:pPr>
      <w:r>
        <w:rPr>
          <w:rFonts w:hint="eastAsia" w:ascii="宋体" w:hAnsi="宋体" w:eastAsia="宋体" w:cs="宋体"/>
          <w:b w:val="0"/>
          <w:bCs w:val="0"/>
          <w:sz w:val="24"/>
          <w:szCs w:val="24"/>
        </w:rPr>
        <w:t>常见优化目标 (Optimization Objectives):</w:t>
      </w:r>
    </w:p>
    <w:p w14:paraId="012CA9DE">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1" w:after="0" w:afterAutospacing="1"/>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时间导向型： 目标是 最小化最大完工时间 (Makespan)。该目标旨在平衡车队中各车辆（司机）的工作负载，避免部分司机过劳而另一部分过闲，同时提升客户服务的公平性和整体响应速度</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_Ref23255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[14]</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rPr>
        <w:t>。</w:t>
      </w:r>
    </w:p>
    <w:p w14:paraId="026E0878">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1" w:after="0" w:afterAutospacing="1"/>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成本导向型： 目标是 最小化总运营成本。这可以细分为最小化可变成本（如燃油费、电费、司机工资），或最小化包含车辆固定折旧成本在内的全局成本，这对于评估引入无人机技术的长期投资回报率至关重要</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_Ref23725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[15]</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7429268C">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1" w:after="0" w:afterAutospacing="1"/>
        <w:ind w:left="425" w:leftChars="0" w:hanging="425"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服务导向型： 目标是 最小化客户总等待时间 或 最大化服务覆盖率。这类目标在应急物流或高端即时配送服务中尤为重要，直接关系到品牌承诺和客户忠诚度</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_Ref23820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[16]</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rPr>
        <w:t>。</w:t>
      </w:r>
    </w:p>
    <w:p w14:paraId="1F7C52B0">
      <w:pPr>
        <w:pStyle w:val="5"/>
        <w:keepNext w:val="0"/>
        <w:keepLines w:val="0"/>
        <w:widowControl/>
        <w:suppressLineNumbers w:val="0"/>
        <w:ind w:firstLine="420" w:firstLineChars="0"/>
      </w:pPr>
      <w:r>
        <w:t>本章系统梳理了无人设备物流的理论模型、求解技术与关键约束，揭示了该领域研究的深度与广度。理论与技术的成熟度，是推动无人设备物流从实验室概念走向大规模商业应用的基础。为展示这些理论如何应用于实践，下一章将聚焦于一个具体的案例，该案例恰好整合了本章所讨论的模型（VRPD）、算法（分支剪切法）与优化目标（最小化最大完工时间）。</w:t>
      </w:r>
    </w:p>
    <w:p w14:paraId="691BC499">
      <w:pPr>
        <w:pStyle w:val="8"/>
        <w:numPr>
          <w:ilvl w:val="0"/>
          <w:numId w:val="1"/>
        </w:numPr>
        <w:ind w:firstLineChars="0"/>
      </w:pPr>
      <w:r>
        <w:rPr>
          <w:rFonts w:hint="eastAsia" w:ascii="黑体" w:hAnsi="黑体" w:eastAsia="黑体"/>
          <w:color w:val="000000"/>
          <w:sz w:val="28"/>
          <w:szCs w:val="28"/>
        </w:rPr>
        <w:t>经典案例</w:t>
      </w:r>
    </w:p>
    <w:p w14:paraId="613FD695">
      <w:pPr>
        <w:pStyle w:val="4"/>
        <w:keepNext w:val="0"/>
        <w:keepLines w:val="0"/>
        <w:widowControl/>
        <w:suppressLineNumbers w:val="0"/>
      </w:pPr>
      <w:r>
        <w:rPr>
          <w:rFonts w:hint="eastAsia"/>
          <w:lang w:val="en-US" w:eastAsia="zh-CN"/>
        </w:rPr>
        <w:t>4</w:t>
      </w:r>
      <w:r>
        <w:t>.1.</w:t>
      </w:r>
      <w:r>
        <w:rPr>
          <w:rFonts w:hint="eastAsia"/>
        </w:rPr>
        <w:t>基于分支剪切算法的多车-多无人机路径优化问题</w:t>
      </w:r>
    </w:p>
    <w:p w14:paraId="471C7A4F">
      <w:pPr>
        <w:pStyle w:val="5"/>
        <w:keepNext w:val="0"/>
        <w:keepLines w:val="0"/>
        <w:widowControl/>
        <w:suppressLineNumbers w:val="0"/>
        <w:ind w:firstLine="420" w:firstLineChars="0"/>
      </w:pPr>
      <w:r>
        <w:t>理论模型的最终价值体现在其解决实际问题的能力上。本章节旨在将前述的理论框架与一个具体的应用场景相结合，以“带无人机的车辆路径问题 (VRPD)”为范本，完整剖析一个从问题定义、数学建模到算法求解的典型解决方案。通过这个案例，我们将清晰地展示运筹优化理论如何为复杂的无人机协同配送网络提供科学、量化的决策支持，从而将抽象的理论转化为可执行的运营策略</w:t>
      </w:r>
      <w:r>
        <w:rPr>
          <w:rFonts w:hint="default"/>
          <w:vertAlign w:val="superscript"/>
          <w:lang w:val="en-US"/>
        </w:rPr>
        <w:fldChar w:fldCharType="begin"/>
      </w:r>
      <w:r>
        <w:rPr>
          <w:rFonts w:hint="default"/>
          <w:vertAlign w:val="superscript"/>
          <w:lang w:val="en-US"/>
        </w:rPr>
        <w:instrText xml:space="preserve"> REF _Ref24182 \r \h </w:instrText>
      </w:r>
      <w:r>
        <w:rPr>
          <w:rFonts w:hint="default"/>
          <w:vertAlign w:val="superscript"/>
          <w:lang w:val="en-US"/>
        </w:rPr>
        <w:fldChar w:fldCharType="separate"/>
      </w:r>
      <w:r>
        <w:rPr>
          <w:rFonts w:hint="default"/>
          <w:vertAlign w:val="superscript"/>
          <w:lang w:val="en-US"/>
        </w:rPr>
        <w:t>[18]</w:t>
      </w:r>
      <w:r>
        <w:rPr>
          <w:rFonts w:hint="default"/>
          <w:vertAlign w:val="superscript"/>
          <w:lang w:val="en-US"/>
        </w:rPr>
        <w:fldChar w:fldCharType="end"/>
      </w:r>
      <w:r>
        <w:t>。</w:t>
      </w:r>
    </w:p>
    <w:p w14:paraId="6CD8D0AE">
      <w:pPr>
        <w:pStyle w:val="4"/>
        <w:keepNext w:val="0"/>
        <w:keepLines w:val="0"/>
        <w:widowControl/>
        <w:suppressLineNumbers w:val="0"/>
      </w:pPr>
      <w:r>
        <w:rPr>
          <w:rFonts w:hint="eastAsia"/>
          <w:lang w:val="en-US" w:eastAsia="zh-CN"/>
        </w:rPr>
        <w:t>4</w:t>
      </w:r>
      <w:r>
        <w:t>.2. 问题定义与作业假设</w:t>
      </w:r>
    </w:p>
    <w:p w14:paraId="7353EF73">
      <w:pPr>
        <w:pStyle w:val="5"/>
        <w:keepNext w:val="0"/>
        <w:keepLines w:val="0"/>
        <w:widowControl/>
        <w:suppressLineNumbers w:val="0"/>
        <w:ind w:firstLine="420" w:firstLineChars="0"/>
      </w:pPr>
      <w:r>
        <w:t>本案例研究源自 Tamke &amp; Buscher</w:t>
      </w:r>
      <w:r>
        <w:rPr>
          <w:rFonts w:hint="default"/>
          <w:vertAlign w:val="superscript"/>
          <w:lang w:val="en-US"/>
        </w:rPr>
        <w:fldChar w:fldCharType="begin"/>
      </w:r>
      <w:r>
        <w:rPr>
          <w:rFonts w:hint="default"/>
          <w:vertAlign w:val="superscript"/>
          <w:lang w:val="en-US"/>
        </w:rPr>
        <w:instrText xml:space="preserve"> REF _Ref20551 \r \h </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r>
        <w:t>提出的分支剪切算法，其针对的物流场景与核心假设如下：</w:t>
      </w:r>
    </w:p>
    <w:p w14:paraId="06A0F2A1">
      <w:pPr>
        <w:keepNext w:val="0"/>
        <w:keepLines w:val="0"/>
        <w:widowControl/>
        <w:numPr>
          <w:ilvl w:val="0"/>
          <w:numId w:val="9"/>
        </w:numPr>
        <w:suppressLineNumbers w:val="0"/>
        <w:tabs>
          <w:tab w:val="left" w:pos="720"/>
          <w:tab w:val="clear" w:pos="300"/>
        </w:tabs>
        <w:spacing w:before="0" w:beforeAutospacing="1" w:after="0" w:afterAutospacing="1"/>
        <w:ind w:left="300" w:leftChars="0" w:hanging="360"/>
        <w:rPr>
          <w:rFonts w:hint="eastAsia" w:ascii="宋体" w:hAnsi="宋体" w:eastAsia="宋体" w:cs="宋体"/>
          <w:b w:val="0"/>
          <w:bCs w:val="0"/>
          <w:sz w:val="24"/>
          <w:szCs w:val="24"/>
        </w:rPr>
      </w:pPr>
      <w:r>
        <w:rPr>
          <w:rFonts w:hint="eastAsia" w:ascii="宋体" w:hAnsi="宋体" w:eastAsia="宋体" w:cs="宋体"/>
          <w:b w:val="0"/>
          <w:bCs w:val="0"/>
          <w:sz w:val="24"/>
          <w:szCs w:val="24"/>
        </w:rPr>
        <w:t>场景描述： 一个物流配送网络由一个中心仓库 (depot) 和多个分散的客户点组成。一支由多辆同质化（即性能参数完全相同）的货车组成的车队负责配送任务，每辆货车上均配备了相同数量的无人机，组成一个个“协同小组” (tandem)——即一个以货车为母船、无人机为作业单元的紧密耦合的配送系统。所有小组从中心仓库统一出发，共同为所有客户提供包裹配送服务，并在完成所有任务后返回仓库。</w:t>
      </w:r>
    </w:p>
    <w:p w14:paraId="4A8DB0A6">
      <w:pPr>
        <w:keepNext w:val="0"/>
        <w:keepLines w:val="0"/>
        <w:widowControl/>
        <w:numPr>
          <w:ilvl w:val="0"/>
          <w:numId w:val="9"/>
        </w:numPr>
        <w:suppressLineNumbers w:val="0"/>
        <w:tabs>
          <w:tab w:val="left" w:pos="720"/>
          <w:tab w:val="clear" w:pos="300"/>
        </w:tabs>
        <w:spacing w:before="0" w:beforeAutospacing="1" w:after="0" w:afterAutospacing="1"/>
        <w:ind w:left="300" w:leftChars="0" w:hanging="360"/>
        <w:rPr>
          <w:rFonts w:hint="eastAsia" w:ascii="宋体" w:hAnsi="宋体" w:eastAsia="宋体" w:cs="宋体"/>
          <w:b w:val="0"/>
          <w:bCs w:val="0"/>
          <w:sz w:val="24"/>
          <w:szCs w:val="24"/>
        </w:rPr>
      </w:pPr>
      <w:r>
        <w:rPr>
          <w:rFonts w:hint="eastAsia" w:ascii="宋体" w:hAnsi="宋体" w:eastAsia="宋体" w:cs="宋体"/>
          <w:b w:val="0"/>
          <w:bCs w:val="0"/>
          <w:sz w:val="24"/>
          <w:szCs w:val="24"/>
        </w:rPr>
        <w:t>核心作业假设： 为了将复杂的现实问题转化为可求解的数学模型，该研究建立在以下一系列明确的作业假设之上：</w:t>
      </w:r>
    </w:p>
    <w:p w14:paraId="47534119">
      <w:pPr>
        <w:keepNext w:val="0"/>
        <w:keepLines w:val="0"/>
        <w:pageBreakBefore w:val="0"/>
        <w:widowControl/>
        <w:numPr>
          <w:ilvl w:val="0"/>
          <w:numId w:val="10"/>
        </w:numPr>
        <w:suppressLineNumbers w:val="0"/>
        <w:kinsoku/>
        <w:wordWrap/>
        <w:overflowPunct/>
        <w:topLinePunct w:val="0"/>
        <w:autoSpaceDE/>
        <w:autoSpaceDN/>
        <w:bidi w:val="0"/>
        <w:adjustRightInd/>
        <w:snapToGrid/>
        <w:spacing w:before="313" w:beforeLines="100" w:beforeAutospacing="0" w:after="0" w:afterAutospacing="1"/>
        <w:ind w:left="658" w:leftChars="0" w:hanging="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无人机标准操作流程： 一次完整的无人机作业包含三个步骤：(i) 从货车上起飞；(ii) 向 一名 客户配送包裹；(iii) 返回货车。每次飞行只服务一个客户点。</w:t>
      </w:r>
    </w:p>
    <w:p w14:paraId="6A6E144C">
      <w:pPr>
        <w:keepNext w:val="0"/>
        <w:keepLines w:val="0"/>
        <w:pageBreakBefore w:val="0"/>
        <w:widowControl/>
        <w:numPr>
          <w:ilvl w:val="0"/>
          <w:numId w:val="10"/>
        </w:numPr>
        <w:suppressLineNumbers w:val="0"/>
        <w:kinsoku/>
        <w:wordWrap/>
        <w:overflowPunct/>
        <w:topLinePunct w:val="0"/>
        <w:autoSpaceDE/>
        <w:autoSpaceDN/>
        <w:bidi w:val="0"/>
        <w:adjustRightInd/>
        <w:snapToGrid/>
        <w:spacing w:before="313" w:beforeLines="100" w:beforeAutospacing="0" w:after="0" w:afterAutospacing="1"/>
        <w:ind w:left="658" w:leftChars="0" w:hanging="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起降点分离原则： 无人机的起飞点和回收点必须是网络中两个不同的节点（客户位置或仓库）。这意味着货车在发射无人机后不能在原地等待其返回，而必须继续行驶至下一个节点进行回收。</w:t>
      </w:r>
    </w:p>
    <w:p w14:paraId="1380B5B8">
      <w:pPr>
        <w:keepNext w:val="0"/>
        <w:keepLines w:val="0"/>
        <w:pageBreakBefore w:val="0"/>
        <w:widowControl/>
        <w:numPr>
          <w:ilvl w:val="0"/>
          <w:numId w:val="10"/>
        </w:numPr>
        <w:suppressLineNumbers w:val="0"/>
        <w:kinsoku/>
        <w:wordWrap/>
        <w:overflowPunct/>
        <w:topLinePunct w:val="0"/>
        <w:autoSpaceDE/>
        <w:autoSpaceDN/>
        <w:bidi w:val="0"/>
        <w:adjustRightInd/>
        <w:snapToGrid/>
        <w:spacing w:before="313" w:beforeLines="100" w:beforeAutospacing="0" w:after="0" w:afterAutospacing="1"/>
        <w:ind w:left="658" w:leftChars="0" w:hanging="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专属绑定关系： 每架无人机都只与一辆特定的货车绑定，不可由其他货车进行回收。这反映了当前技术条件下，跨车辆协调无人机的技术复杂性。</w:t>
      </w:r>
    </w:p>
    <w:p w14:paraId="14AE0B0B">
      <w:pPr>
        <w:keepNext w:val="0"/>
        <w:keepLines w:val="0"/>
        <w:pageBreakBefore w:val="0"/>
        <w:widowControl/>
        <w:numPr>
          <w:ilvl w:val="0"/>
          <w:numId w:val="10"/>
        </w:numPr>
        <w:suppressLineNumbers w:val="0"/>
        <w:kinsoku/>
        <w:wordWrap/>
        <w:overflowPunct/>
        <w:topLinePunct w:val="0"/>
        <w:autoSpaceDE/>
        <w:autoSpaceDN/>
        <w:bidi w:val="0"/>
        <w:adjustRightInd/>
        <w:snapToGrid/>
        <w:spacing w:before="313" w:beforeLines="100" w:beforeAutospacing="0" w:after="0" w:afterAutospacing="1"/>
        <w:ind w:left="658" w:leftChars="0" w:hanging="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服务唯一性： 每个客户的需求必须且只能被满足一次，服务方式二选一：要么由货车司机亲自上门完成，要么由无人机空投完成。</w:t>
      </w:r>
    </w:p>
    <w:p w14:paraId="1229C865">
      <w:pPr>
        <w:keepNext w:val="0"/>
        <w:keepLines w:val="0"/>
        <w:pageBreakBefore w:val="0"/>
        <w:widowControl/>
        <w:numPr>
          <w:ilvl w:val="0"/>
          <w:numId w:val="10"/>
        </w:numPr>
        <w:suppressLineNumbers w:val="0"/>
        <w:kinsoku/>
        <w:wordWrap/>
        <w:overflowPunct/>
        <w:topLinePunct w:val="0"/>
        <w:autoSpaceDE/>
        <w:autoSpaceDN/>
        <w:bidi w:val="0"/>
        <w:adjustRightInd/>
        <w:snapToGrid/>
        <w:spacing w:before="313" w:beforeLines="100" w:beforeAutospacing="0" w:after="0" w:afterAutospacing="1"/>
        <w:ind w:left="658" w:leftChars="0" w:hanging="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等待机制： 允许无人机在回收点悬停等待其货车到达，也允许货车在回收点等待无人机返回。</w:t>
      </w:r>
    </w:p>
    <w:p w14:paraId="6AE1100B">
      <w:pPr>
        <w:keepNext w:val="0"/>
        <w:keepLines w:val="0"/>
        <w:pageBreakBefore w:val="0"/>
        <w:widowControl/>
        <w:numPr>
          <w:ilvl w:val="0"/>
          <w:numId w:val="10"/>
        </w:numPr>
        <w:suppressLineNumbers w:val="0"/>
        <w:kinsoku/>
        <w:wordWrap/>
        <w:overflowPunct/>
        <w:topLinePunct w:val="0"/>
        <w:autoSpaceDE/>
        <w:autoSpaceDN/>
        <w:bidi w:val="0"/>
        <w:adjustRightInd/>
        <w:snapToGrid/>
        <w:spacing w:before="313" w:beforeLines="100" w:beforeAutospacing="0" w:after="0" w:afterAutospacing="1"/>
        <w:ind w:left="658" w:leftChars="0" w:hanging="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卡车载重能力简化： 假设货车的载重能力不受限制。这一假设在小包裹“最后一公里”配送场景中是合理的，因为在这种场景下，车辆的空间（体积）通常比载重先达到瓶颈。</w:t>
      </w:r>
    </w:p>
    <w:p w14:paraId="3393963A">
      <w:pPr>
        <w:keepNext w:val="0"/>
        <w:keepLines w:val="0"/>
        <w:pageBreakBefore w:val="0"/>
        <w:widowControl/>
        <w:numPr>
          <w:ilvl w:val="0"/>
          <w:numId w:val="10"/>
        </w:numPr>
        <w:suppressLineNumbers w:val="0"/>
        <w:kinsoku/>
        <w:wordWrap/>
        <w:overflowPunct/>
        <w:topLinePunct w:val="0"/>
        <w:autoSpaceDE/>
        <w:autoSpaceDN/>
        <w:bidi w:val="0"/>
        <w:adjustRightInd/>
        <w:snapToGrid/>
        <w:spacing w:before="313" w:beforeLines="100" w:beforeAutospacing="0" w:after="0" w:afterAutospacing="1"/>
        <w:ind w:left="658" w:leftChars="0" w:hanging="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发射时间成本： 发射一架无人机需要一个固定的准备时间（例如，用于装载包裹或更换电池）。</w:t>
      </w:r>
    </w:p>
    <w:p w14:paraId="0D0CB90D">
      <w:pPr>
        <w:keepNext w:val="0"/>
        <w:keepLines w:val="0"/>
        <w:pageBreakBefore w:val="0"/>
        <w:widowControl/>
        <w:numPr>
          <w:ilvl w:val="0"/>
          <w:numId w:val="10"/>
        </w:numPr>
        <w:suppressLineNumbers w:val="0"/>
        <w:kinsoku/>
        <w:wordWrap/>
        <w:overflowPunct/>
        <w:topLinePunct w:val="0"/>
        <w:autoSpaceDE/>
        <w:autoSpaceDN/>
        <w:bidi w:val="0"/>
        <w:adjustRightInd/>
        <w:snapToGrid/>
        <w:spacing w:before="313" w:beforeLines="100" w:beforeAutospacing="0" w:after="0" w:afterAutospacing="1"/>
        <w:ind w:left="658" w:leftChars="0" w:hanging="42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速度关系： 假设无人机的飞行速度至少不低于货车在任意两点间的行驶速度。</w:t>
      </w:r>
    </w:p>
    <w:p w14:paraId="78B4DA5C">
      <w:pPr>
        <w:pStyle w:val="4"/>
        <w:keepNext w:val="0"/>
        <w:keepLines w:val="0"/>
        <w:widowControl/>
        <w:suppressLineNumbers w:val="0"/>
      </w:pPr>
      <w:r>
        <w:rPr>
          <w:rFonts w:hint="eastAsia"/>
          <w:lang w:val="en-US" w:eastAsia="zh-CN"/>
        </w:rPr>
        <w:t>4</w:t>
      </w:r>
      <w:r>
        <w:t>.3. 优化目标与求解框架</w:t>
      </w:r>
    </w:p>
    <w:p w14:paraId="274108D8">
      <w:pPr>
        <w:keepNext w:val="0"/>
        <w:keepLines w:val="0"/>
        <w:widowControl/>
        <w:numPr>
          <w:ilvl w:val="0"/>
          <w:numId w:val="11"/>
        </w:numPr>
        <w:suppressLineNumbers w:val="0"/>
        <w:spacing w:before="0" w:beforeAutospacing="1" w:after="0" w:afterAutospacing="1"/>
        <w:ind w:left="300" w:leftChars="0" w:hanging="36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优化目标： 该案例采用的是一种典型的以时间为导向的优化目标，即 min-max VRPD。其核心是 最小化所有配送车队中的最大完工时间 (Minimize the Maximum Completion Time)。这一目标与最小化总完工时间的“效率导向”方法不同，它更侧重于“公平性”，确保了服务水平的一致性和资源的均衡利用，这在管理大型、多司机的车队时尤为关键。其具体的管理学意义包括：</w:t>
      </w:r>
    </w:p>
    <w:p w14:paraId="60947725">
      <w:pPr>
        <w:keepNext w:val="0"/>
        <w:keepLines w:val="0"/>
        <w:widowControl/>
        <w:numPr>
          <w:ilvl w:val="0"/>
          <w:numId w:val="12"/>
        </w:numPr>
        <w:suppressLineNumbers w:val="0"/>
        <w:tabs>
          <w:tab w:val="clear" w:pos="420"/>
        </w:tabs>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平衡工作负载： 有效避免部分司机工作时间过长，而另一些司机提前收工的情况，有助于实现公平的劳动力分配。</w:t>
      </w:r>
    </w:p>
    <w:p w14:paraId="48A17F5B">
      <w:pPr>
        <w:keepNext w:val="0"/>
        <w:keepLines w:val="0"/>
        <w:widowControl/>
        <w:numPr>
          <w:ilvl w:val="0"/>
          <w:numId w:val="12"/>
        </w:numPr>
        <w:suppressLineNumbers w:val="0"/>
        <w:tabs>
          <w:tab w:val="clear" w:pos="420"/>
        </w:tabs>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提升服务一致性： 通过压缩最长任务时间，可以确保所有客户的服务体验相对均衡，提高整体客户满意度。</w:t>
      </w:r>
    </w:p>
    <w:p w14:paraId="55A4FCAA">
      <w:pPr>
        <w:keepNext w:val="0"/>
        <w:keepLines w:val="0"/>
        <w:widowControl/>
        <w:numPr>
          <w:ilvl w:val="0"/>
          <w:numId w:val="11"/>
        </w:numPr>
        <w:suppressLineNumbers w:val="0"/>
        <w:tabs>
          <w:tab w:val="clear" w:pos="300"/>
        </w:tabs>
        <w:spacing w:before="0" w:beforeAutospacing="1" w:after="0" w:afterAutospacing="1"/>
        <w:ind w:left="300" w:leftChars="0" w:hanging="360"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求解框架： 为求解这一复杂的组合优化问题，该案例采用了一种先进的精确算法——分支剪切算法 (Branch-and-Cut Algorithm)。其工作原理可以概括为：</w:t>
      </w:r>
    </w:p>
    <w:p w14:paraId="40360128">
      <w:pPr>
        <w:keepNext w:val="0"/>
        <w:keepLines w:val="0"/>
        <w:widowControl/>
        <w:numPr>
          <w:ilvl w:val="0"/>
          <w:numId w:val="13"/>
        </w:numPr>
        <w:suppressLineNumbers w:val="0"/>
        <w:tabs>
          <w:tab w:val="left" w:pos="1440"/>
          <w:tab w:val="clear" w:pos="420"/>
        </w:tabs>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建立MILP模型： 首先，将VRPD问题描述成一个混合整数线性规划 (Mixed Integer Linear Programming, MILP) 模型，用数学语言精确定义决策变量、目标函数和所有约束条件。</w:t>
      </w:r>
    </w:p>
    <w:p w14:paraId="58F0A2BB">
      <w:pPr>
        <w:keepNext w:val="0"/>
        <w:keepLines w:val="0"/>
        <w:widowControl/>
        <w:numPr>
          <w:ilvl w:val="0"/>
          <w:numId w:val="13"/>
        </w:numPr>
        <w:suppressLineNumbers w:val="0"/>
        <w:tabs>
          <w:tab w:val="left" w:pos="1440"/>
          <w:tab w:val="clear" w:pos="420"/>
        </w:tabs>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引入有效不等式并动态“剪切”： 传统的MILP求解器在面对大规模VRPD问题时效率低下。为加速求解，研究人员通过引入基于问题结构的“有效不等式 (Valid Inequalities)”，该算法能够在不牺牲最优解的前提下，大幅压缩理论上的可行解空间。在分支定界的搜索过程中，算法会动态识别并添加那些被当前松弛解违反的有效不等式（即所谓的“割平面”），从而“剪除”大量非优路径组合，极大地提升了求解效率。</w:t>
      </w:r>
    </w:p>
    <w:p w14:paraId="44993D47">
      <w:pPr>
        <w:pStyle w:val="5"/>
        <w:keepNext w:val="0"/>
        <w:keepLines w:val="0"/>
        <w:widowControl/>
        <w:suppressLineNumbers w:val="0"/>
        <w:ind w:firstLine="420" w:firstLineChars="0"/>
      </w:pPr>
      <w:r>
        <w:t>通过这一框架，该方法能够求得最优解，并且能处理比传统精确算法更大规模的问题实例（例如，在有航程限制的情况下，可求解多达30个客户点的算例）。</w:t>
      </w:r>
    </w:p>
    <w:p w14:paraId="022D5431">
      <w:pPr>
        <w:pStyle w:val="5"/>
        <w:keepNext w:val="0"/>
        <w:keepLines w:val="0"/>
        <w:widowControl/>
        <w:suppressLineNumbers w:val="0"/>
        <w:ind w:firstLine="420" w:firstLineChars="0"/>
      </w:pPr>
      <w:r>
        <w:t>本案例清晰地展示了如何通过严谨的数学建模和先进的优化算法，将一个看似杂乱无章的协同配送问题，转化为一个可计算、可优化的决策模型。这不仅为物流企业的日常运营提供了科学的调度依据，也为我们进一步探讨该技术未来的发展趋势奠定了坚实的实践基础。</w:t>
      </w:r>
    </w:p>
    <w:p w14:paraId="6EA382C2">
      <w:pPr>
        <w:pStyle w:val="8"/>
        <w:numPr>
          <w:ilvl w:val="0"/>
          <w:numId w:val="1"/>
        </w:numPr>
        <w:ind w:firstLineChars="0"/>
        <w:rPr>
          <w:rFonts w:ascii="黑体" w:hAnsi="黑体" w:eastAsia="黑体"/>
          <w:color w:val="000000"/>
          <w:sz w:val="28"/>
          <w:szCs w:val="28"/>
        </w:rPr>
      </w:pPr>
      <w:r>
        <w:rPr>
          <w:rFonts w:hint="eastAsia" w:ascii="黑体" w:hAnsi="黑体" w:eastAsia="黑体"/>
          <w:color w:val="000000"/>
          <w:sz w:val="28"/>
          <w:szCs w:val="28"/>
        </w:rPr>
        <w:t>发展趋势</w:t>
      </w:r>
    </w:p>
    <w:p w14:paraId="44852703">
      <w:pPr>
        <w:pStyle w:val="4"/>
        <w:keepNext w:val="0"/>
        <w:keepLines w:val="0"/>
        <w:widowControl/>
        <w:suppressLineNumbers w:val="0"/>
      </w:pPr>
      <w:r>
        <w:rPr>
          <w:rFonts w:hint="eastAsia"/>
          <w:lang w:val="en-US" w:eastAsia="zh-CN"/>
        </w:rPr>
        <w:t>5</w:t>
      </w:r>
      <w:r>
        <w:t>.1. 无人设备物流的未来图景</w:t>
      </w:r>
    </w:p>
    <w:p w14:paraId="50C3BA61">
      <w:pPr>
        <w:pStyle w:val="5"/>
        <w:keepNext w:val="0"/>
        <w:keepLines w:val="0"/>
        <w:widowControl/>
        <w:suppressLineNumbers w:val="0"/>
        <w:ind w:firstLine="420" w:firstLineChars="0"/>
      </w:pPr>
      <w:r>
        <w:t>本报告所分析的模型与案例，尽管在理论上已相当成熟，但它们依然建立在一系列简化假设之上，例如均质化的车队、简化的能耗模型以及固定的作业规则</w:t>
      </w:r>
      <w:r>
        <w:rPr>
          <w:rFonts w:hint="default"/>
          <w:vertAlign w:val="superscript"/>
          <w:lang w:val="en-US"/>
        </w:rPr>
        <w:fldChar w:fldCharType="begin"/>
      </w:r>
      <w:r>
        <w:rPr>
          <w:rFonts w:hint="default"/>
          <w:vertAlign w:val="superscript"/>
          <w:lang w:val="en-US"/>
        </w:rPr>
        <w:instrText xml:space="preserve"> REF _Ref24424 \r \h </w:instrText>
      </w:r>
      <w:r>
        <w:rPr>
          <w:rFonts w:hint="default"/>
          <w:vertAlign w:val="superscript"/>
          <w:lang w:val="en-US"/>
        </w:rPr>
        <w:fldChar w:fldCharType="separate"/>
      </w:r>
      <w:r>
        <w:rPr>
          <w:rFonts w:hint="default"/>
          <w:vertAlign w:val="superscript"/>
          <w:lang w:val="en-US"/>
        </w:rPr>
        <w:t>[19]</w:t>
      </w:r>
      <w:r>
        <w:rPr>
          <w:rFonts w:hint="default"/>
          <w:vertAlign w:val="superscript"/>
          <w:lang w:val="en-US"/>
        </w:rPr>
        <w:fldChar w:fldCharType="end"/>
      </w:r>
      <w:r>
        <w:t>。未来的发展前沿，正是要系统性地打破这些假设，推动无人设备物流向着更高的现实性、更广的战略整合度和更强的可持续性迈进。本章节将基于现有研究的局限与启示，从模型深化、技术融合、战略拓展、可持续发展和政策完善五个核心角度，系统性地展望其未来的发展方向。</w:t>
      </w:r>
    </w:p>
    <w:p w14:paraId="5B4E1867">
      <w:pPr>
        <w:pStyle w:val="4"/>
        <w:keepNext w:val="0"/>
        <w:keepLines w:val="0"/>
        <w:widowControl/>
        <w:suppressLineNumbers w:val="0"/>
      </w:pPr>
      <w:r>
        <w:rPr>
          <w:rFonts w:hint="eastAsia"/>
          <w:lang w:val="en-US" w:eastAsia="zh-CN"/>
        </w:rPr>
        <w:t>5</w:t>
      </w:r>
      <w:r>
        <w:t>.2. 未来发展方向分析</w:t>
      </w:r>
    </w:p>
    <w:p w14:paraId="787CEE78">
      <w:pPr>
        <w:keepNext w:val="0"/>
        <w:keepLines w:val="0"/>
        <w:widowControl/>
        <w:numPr>
          <w:ilvl w:val="0"/>
          <w:numId w:val="14"/>
        </w:numPr>
        <w:suppressLineNumbers w:val="0"/>
        <w:spacing w:before="0" w:beforeAutospacing="1" w:after="0" w:afterAutospacing="1"/>
        <w:ind w:left="720" w:hanging="360"/>
        <w:rPr>
          <w:rFonts w:hint="eastAsia" w:ascii="宋体" w:hAnsi="宋体" w:eastAsia="宋体" w:cs="宋体"/>
          <w:b w:val="0"/>
          <w:bCs w:val="0"/>
          <w:sz w:val="24"/>
          <w:szCs w:val="24"/>
        </w:rPr>
      </w:pPr>
      <w:r>
        <w:rPr>
          <w:rFonts w:hint="eastAsia" w:ascii="宋体" w:hAnsi="宋体" w:eastAsia="宋体" w:cs="宋体"/>
          <w:b w:val="0"/>
          <w:bCs w:val="0"/>
          <w:sz w:val="24"/>
          <w:szCs w:val="24"/>
        </w:rPr>
        <w:t>模型精细化与现实化 (Model Refinement and Realism): 未来的研究将致力于构建更贴近现实运营的数学模型。当前的多数模型采用了简化的假设，未来的模型需要考虑更复杂的动态因素。例如：</w:t>
      </w:r>
    </w:p>
    <w:p w14:paraId="0DD1F02E">
      <w:pPr>
        <w:keepNext w:val="0"/>
        <w:keepLines w:val="0"/>
        <w:widowControl/>
        <w:numPr>
          <w:ilvl w:val="0"/>
          <w:numId w:val="15"/>
        </w:numPr>
        <w:suppressLineNumbers w:val="0"/>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引入更真实的无人机能耗模型： 当前模型多采用基于固定距离或时间的续航约束。未来模型将集成更精确的能耗函数，考虑载重、风速、气温等环境因素对电池消耗的影响</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_Ref24525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[20]</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rPr>
        <w:t>。</w:t>
      </w:r>
    </w:p>
    <w:p w14:paraId="40DFDF7D">
      <w:pPr>
        <w:keepNext w:val="0"/>
        <w:keepLines w:val="0"/>
        <w:widowControl/>
        <w:numPr>
          <w:ilvl w:val="0"/>
          <w:numId w:val="15"/>
        </w:numPr>
        <w:suppressLineNumbers w:val="0"/>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放宽作业假设： 允许货车在配送途中等待无人机返回，或在任意合适的地点（而非仅限于客户点）进行无人机的起降作业，这将增加决策的灵活性，但也极大地增加了模型的复杂度</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_Ref24786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[21]</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6DEC2FA9">
      <w:pPr>
        <w:keepNext w:val="0"/>
        <w:keepLines w:val="0"/>
        <w:widowControl/>
        <w:numPr>
          <w:ilvl w:val="0"/>
          <w:numId w:val="15"/>
        </w:numPr>
        <w:suppressLineNumbers w:val="0"/>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处理异构化车队： 考虑由不同型号、载重、续航能力的无人机和货车组成的混合车队调度问题，使其更符合企业资产多样化的现状</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_Ref24868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[22]</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rPr>
        <w:t>。</w:t>
      </w:r>
    </w:p>
    <w:p w14:paraId="55595FC2">
      <w:pPr>
        <w:keepNext w:val="0"/>
        <w:keepLines w:val="0"/>
        <w:widowControl/>
        <w:numPr>
          <w:ilvl w:val="0"/>
          <w:numId w:val="14"/>
        </w:numPr>
        <w:suppressLineNumbers w:val="0"/>
        <w:spacing w:before="0" w:beforeAutospacing="1" w:after="0" w:afterAutospacing="1"/>
        <w:ind w:left="720" w:hanging="360"/>
        <w:rPr>
          <w:rFonts w:hint="eastAsia" w:ascii="宋体" w:hAnsi="宋体" w:eastAsia="宋体" w:cs="宋体"/>
          <w:b w:val="0"/>
          <w:bCs w:val="0"/>
          <w:sz w:val="24"/>
          <w:szCs w:val="24"/>
        </w:rPr>
      </w:pPr>
      <w:r>
        <w:rPr>
          <w:rFonts w:hint="eastAsia" w:ascii="宋体" w:hAnsi="宋体" w:eastAsia="宋体" w:cs="宋体"/>
          <w:b w:val="0"/>
          <w:bCs w:val="0"/>
          <w:sz w:val="24"/>
          <w:szCs w:val="24"/>
        </w:rPr>
        <w:t>技术深度融合 (Deeper Technology Integration): 无人设备物流的发展离不开与其他前沿技术的深度融合。其中，区块链 (Blockchain) 技术在促进跨企业无人机机队共享、实现去中心化调度方面展现出巨大潜力。通过构建去中心化的“免信任”协作平台，区块链能够使一家公司的闲置无人机被动态调度，为另一家公司的高峰期订单提供服务，从而实现整个社会物流资源的优化配置，极大提升资产利用率</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_Ref22628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[12]</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rPr>
        <w:t>。</w:t>
      </w:r>
    </w:p>
    <w:p w14:paraId="233920F2">
      <w:pPr>
        <w:keepNext w:val="0"/>
        <w:keepLines w:val="0"/>
        <w:widowControl/>
        <w:numPr>
          <w:ilvl w:val="0"/>
          <w:numId w:val="14"/>
        </w:numPr>
        <w:suppressLineNumbers w:val="0"/>
        <w:spacing w:before="0" w:beforeAutospacing="1" w:after="0" w:afterAutospacing="1"/>
        <w:ind w:left="720" w:hanging="360"/>
        <w:rPr>
          <w:rFonts w:hint="eastAsia" w:ascii="宋体" w:hAnsi="宋体" w:eastAsia="宋体" w:cs="宋体"/>
          <w:b w:val="0"/>
          <w:bCs w:val="0"/>
          <w:sz w:val="24"/>
          <w:szCs w:val="24"/>
        </w:rPr>
      </w:pPr>
      <w:r>
        <w:rPr>
          <w:rFonts w:hint="eastAsia" w:ascii="宋体" w:hAnsi="宋体" w:eastAsia="宋体" w:cs="宋体"/>
          <w:b w:val="0"/>
          <w:bCs w:val="0"/>
          <w:sz w:val="24"/>
          <w:szCs w:val="24"/>
        </w:rPr>
        <w:t>从运营到战略的拓展 (Expansion from Operations to Strategy): 研究的焦点将从当前侧重的单日运营层面的“路径优化”问题，逐步拓展到更宏观、更长期的战略层面。这包括：</w:t>
      </w:r>
    </w:p>
    <w:p w14:paraId="0F441344">
      <w:pPr>
        <w:keepNext w:val="0"/>
        <w:keepLines w:val="0"/>
        <w:widowControl/>
        <w:numPr>
          <w:ilvl w:val="0"/>
          <w:numId w:val="16"/>
        </w:numPr>
        <w:suppressLineNumbers w:val="0"/>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基础设施选址： 如何科学规划无人机枢纽、停靠站或电池更换站点的网络布局，以最大化服务覆盖和效率。</w:t>
      </w:r>
    </w:p>
    <w:p w14:paraId="3C726819">
      <w:pPr>
        <w:keepNext w:val="0"/>
        <w:keepLines w:val="0"/>
        <w:widowControl/>
        <w:numPr>
          <w:ilvl w:val="0"/>
          <w:numId w:val="16"/>
        </w:numPr>
        <w:suppressLineNumbers w:val="0"/>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机队规模与构成 (Fleet Configuration)： 对于一个特定的区域或业务量，企业应投资多少辆货车和多少架无人机？无人机和货车的最佳配比是多少？这些战略性问题将成为未来研究的重要方向</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_Ref25022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[23]</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vertAlign w:val="superscript"/>
        </w:rPr>
        <w:t xml:space="preserve"> </w:t>
      </w:r>
      <w:r>
        <w:rPr>
          <w:rFonts w:hint="eastAsia" w:ascii="宋体" w:hAnsi="宋体" w:eastAsia="宋体" w:cs="宋体"/>
          <w:b w:val="0"/>
          <w:bCs w:val="0"/>
          <w:sz w:val="24"/>
          <w:szCs w:val="24"/>
        </w:rPr>
        <w:t>。</w:t>
      </w:r>
    </w:p>
    <w:p w14:paraId="728E10F9">
      <w:pPr>
        <w:keepNext w:val="0"/>
        <w:keepLines w:val="0"/>
        <w:widowControl/>
        <w:numPr>
          <w:ilvl w:val="0"/>
          <w:numId w:val="14"/>
        </w:numPr>
        <w:suppressLineNumbers w:val="0"/>
        <w:spacing w:before="0" w:beforeAutospacing="1" w:after="0" w:afterAutospacing="1"/>
        <w:ind w:left="720" w:hanging="360"/>
        <w:rPr>
          <w:rFonts w:hint="eastAsia" w:ascii="宋体" w:hAnsi="宋体" w:eastAsia="宋体" w:cs="宋体"/>
          <w:b w:val="0"/>
          <w:bCs w:val="0"/>
          <w:sz w:val="24"/>
          <w:szCs w:val="24"/>
        </w:rPr>
      </w:pPr>
      <w:r>
        <w:rPr>
          <w:rFonts w:hint="eastAsia" w:ascii="宋体" w:hAnsi="宋体" w:eastAsia="宋体" w:cs="宋体"/>
          <w:b w:val="0"/>
          <w:bCs w:val="0"/>
          <w:sz w:val="24"/>
          <w:szCs w:val="24"/>
        </w:rPr>
        <w:t>可持续性成为核心议题 (Sustainability as a Core Issue): 随着社会对环境保护日益关注，无人设备物流的环境影响将成为不可回避的核心议题。未来的研究将更多地关注：</w:t>
      </w:r>
    </w:p>
    <w:p w14:paraId="186BC1CF">
      <w:pPr>
        <w:keepNext w:val="0"/>
        <w:keepLines w:val="0"/>
        <w:widowControl/>
        <w:numPr>
          <w:ilvl w:val="0"/>
          <w:numId w:val="17"/>
        </w:numPr>
        <w:suppressLineNumbers w:val="0"/>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 xml:space="preserve">温室气体减排： 将环境成本纳入优化目标，例如在路径规划中引入“污染路径问题 (Pollution Routing Problem, PRP)”框架，旨在最小化运输过程中的碳排放 </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_Ref24786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[21]</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rPr>
        <w:t>。</w:t>
      </w:r>
    </w:p>
    <w:p w14:paraId="0296442D">
      <w:pPr>
        <w:keepNext w:val="0"/>
        <w:keepLines w:val="0"/>
        <w:widowControl/>
        <w:numPr>
          <w:ilvl w:val="0"/>
          <w:numId w:val="17"/>
        </w:numPr>
        <w:suppressLineNumbers w:val="0"/>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电池全生命周期管理： 无人机普遍使用的锂电池，其生产和废弃处理过程会带来环境问题。研究需要关注电池的全生命周期管理，包括优化充电策略以延长电池寿命，以及建立高效的电池回收和处置体系</w:t>
      </w:r>
      <w:r>
        <w:rPr>
          <w:rFonts w:hint="eastAsia" w:ascii="宋体" w:hAnsi="宋体" w:eastAsia="宋体" w:cs="宋体"/>
          <w:b w:val="0"/>
          <w:bCs w:val="0"/>
          <w:sz w:val="24"/>
          <w:szCs w:val="24"/>
          <w:vertAlign w:val="superscript"/>
          <w:lang w:eastAsia="zh-CN"/>
        </w:rPr>
        <w:fldChar w:fldCharType="begin"/>
      </w:r>
      <w:r>
        <w:rPr>
          <w:rFonts w:hint="eastAsia" w:ascii="宋体" w:hAnsi="宋体" w:eastAsia="宋体" w:cs="宋体"/>
          <w:b w:val="0"/>
          <w:bCs w:val="0"/>
          <w:sz w:val="24"/>
          <w:szCs w:val="24"/>
          <w:vertAlign w:val="superscript"/>
          <w:lang w:eastAsia="zh-CN"/>
        </w:rPr>
        <w:instrText xml:space="preserve"> REF _Ref22628 \r \h </w:instrText>
      </w:r>
      <w:r>
        <w:rPr>
          <w:rFonts w:hint="eastAsia" w:ascii="宋体" w:hAnsi="宋体" w:eastAsia="宋体" w:cs="宋体"/>
          <w:b w:val="0"/>
          <w:bCs w:val="0"/>
          <w:sz w:val="24"/>
          <w:szCs w:val="24"/>
          <w:vertAlign w:val="superscript"/>
          <w:lang w:eastAsia="zh-CN"/>
        </w:rPr>
        <w:fldChar w:fldCharType="separate"/>
      </w:r>
      <w:r>
        <w:rPr>
          <w:rFonts w:hint="eastAsia" w:ascii="宋体" w:hAnsi="宋体" w:eastAsia="宋体" w:cs="宋体"/>
          <w:b w:val="0"/>
          <w:bCs w:val="0"/>
          <w:sz w:val="24"/>
          <w:szCs w:val="24"/>
          <w:vertAlign w:val="superscript"/>
          <w:lang w:eastAsia="zh-CN"/>
        </w:rPr>
        <w:t>[12]</w:t>
      </w:r>
      <w:r>
        <w:rPr>
          <w:rFonts w:hint="eastAsia" w:ascii="宋体" w:hAnsi="宋体" w:eastAsia="宋体" w:cs="宋体"/>
          <w:b w:val="0"/>
          <w:bCs w:val="0"/>
          <w:sz w:val="24"/>
          <w:szCs w:val="24"/>
          <w:vertAlign w:val="superscript"/>
          <w:lang w:eastAsia="zh-CN"/>
        </w:rPr>
        <w:fldChar w:fldCharType="end"/>
      </w:r>
      <w:r>
        <w:rPr>
          <w:rFonts w:hint="eastAsia" w:ascii="宋体" w:hAnsi="宋体" w:eastAsia="宋体" w:cs="宋体"/>
          <w:b w:val="0"/>
          <w:bCs w:val="0"/>
          <w:sz w:val="24"/>
          <w:szCs w:val="24"/>
        </w:rPr>
        <w:t>。</w:t>
      </w:r>
    </w:p>
    <w:p w14:paraId="6CA21E0E">
      <w:pPr>
        <w:keepNext w:val="0"/>
        <w:keepLines w:val="0"/>
        <w:widowControl/>
        <w:numPr>
          <w:ilvl w:val="0"/>
          <w:numId w:val="14"/>
        </w:numPr>
        <w:suppressLineNumbers w:val="0"/>
        <w:spacing w:before="0" w:beforeAutospacing="1" w:after="0" w:afterAutospacing="1"/>
        <w:ind w:left="720" w:hanging="360"/>
        <w:rPr>
          <w:rFonts w:hint="eastAsia" w:ascii="宋体" w:hAnsi="宋体" w:eastAsia="宋体" w:cs="宋体"/>
          <w:b w:val="0"/>
          <w:bCs w:val="0"/>
          <w:sz w:val="24"/>
          <w:szCs w:val="24"/>
        </w:rPr>
      </w:pPr>
      <w:r>
        <w:rPr>
          <w:rFonts w:hint="eastAsia" w:ascii="宋体" w:hAnsi="宋体" w:eastAsia="宋体" w:cs="宋体"/>
          <w:b w:val="0"/>
          <w:bCs w:val="0"/>
          <w:sz w:val="24"/>
          <w:szCs w:val="24"/>
        </w:rPr>
        <w:t>法律与政策框架的完善 (Maturation of Legal and Policy Frameworks): 技术的商业化应用离不开成熟的法律与政策环境作为支撑。无人机物流的大规模推广，迫切需要相关法规的完善。未来的政策焦点将集中在：</w:t>
      </w:r>
    </w:p>
    <w:p w14:paraId="0773EAAC">
      <w:pPr>
        <w:keepNext w:val="0"/>
        <w:keepLines w:val="0"/>
        <w:widowControl/>
        <w:numPr>
          <w:ilvl w:val="0"/>
          <w:numId w:val="18"/>
        </w:numPr>
        <w:suppressLineNumbers w:val="0"/>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超视距飞行 (BVLOS - Beyond Visual Line of Sight)： 建立BVLOS飞行的审批标准、技术要求和安全监管体系，这是无人机物流实现长距离、自动化运营的法律前提。</w:t>
      </w:r>
    </w:p>
    <w:p w14:paraId="13753B67">
      <w:pPr>
        <w:keepNext w:val="0"/>
        <w:keepLines w:val="0"/>
        <w:widowControl/>
        <w:numPr>
          <w:ilvl w:val="0"/>
          <w:numId w:val="18"/>
        </w:numPr>
        <w:suppressLineNumbers w:val="0"/>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低空空域管理： 制定清晰的低空空域使用规则，建立类似地面交通管制的“U-space”或无人机交通管理 (UTM) 系统，确保空域安全有序。</w:t>
      </w:r>
    </w:p>
    <w:p w14:paraId="02229968">
      <w:pPr>
        <w:keepNext w:val="0"/>
        <w:keepLines w:val="0"/>
        <w:widowControl/>
        <w:numPr>
          <w:ilvl w:val="0"/>
          <w:numId w:val="18"/>
        </w:numPr>
        <w:suppressLineNumbers w:val="0"/>
        <w:spacing w:before="0" w:beforeAutospacing="1" w:after="0" w:afterAutospacing="1"/>
        <w:ind w:left="845" w:leftChars="0" w:hanging="425" w:firstLineChars="0"/>
        <w:rPr>
          <w:rFonts w:hint="eastAsia" w:ascii="宋体" w:hAnsi="宋体" w:eastAsia="宋体" w:cs="宋体"/>
          <w:b w:val="0"/>
          <w:bCs w:val="0"/>
          <w:sz w:val="24"/>
          <w:szCs w:val="24"/>
        </w:rPr>
      </w:pPr>
      <w:r>
        <w:rPr>
          <w:rFonts w:hint="eastAsia" w:ascii="宋体" w:hAnsi="宋体" w:eastAsia="宋体" w:cs="宋体"/>
          <w:b w:val="0"/>
          <w:bCs w:val="0"/>
          <w:sz w:val="24"/>
          <w:szCs w:val="24"/>
        </w:rPr>
        <w:t>隐私与安全： 解决无人机在飞行和数据采集中可能涉及的隐私侵犯问题，并建立防范网络攻击和物理劫持的安全标准。</w:t>
      </w:r>
    </w:p>
    <w:p w14:paraId="0A35D8EE">
      <w:pPr>
        <w:pStyle w:val="5"/>
        <w:keepNext w:val="0"/>
        <w:keepLines w:val="0"/>
        <w:widowControl/>
        <w:suppressLineNumbers w:val="0"/>
        <w:ind w:firstLine="420" w:firstLineChars="0"/>
      </w:pPr>
      <w:r>
        <w:t>总而言之，基于无人设备的电子商务物流是一个充满活力与潜力的交叉学科领域。其未来的发展，将不再是单一技术的线性进步，而是技术创新、商业模式演进和政策法规完善三者相互作用、共同驱动的宏大进程。</w:t>
      </w:r>
    </w:p>
    <w:p w14:paraId="4D83FF68">
      <w:pPr>
        <w:pStyle w:val="8"/>
        <w:ind w:firstLine="0" w:firstLineChars="0"/>
        <w:rPr>
          <w:rFonts w:ascii="黑体" w:hAnsi="黑体" w:eastAsia="黑体"/>
          <w:color w:val="000000"/>
          <w:sz w:val="28"/>
          <w:szCs w:val="28"/>
        </w:rPr>
      </w:pPr>
      <w:bookmarkStart w:id="0" w:name="_Ref20352"/>
      <w:bookmarkStart w:id="1" w:name="_Ref17726"/>
      <w:r>
        <w:rPr>
          <w:rFonts w:hint="eastAsia" w:ascii="黑体" w:hAnsi="黑体" w:eastAsia="黑体"/>
          <w:color w:val="000000"/>
          <w:sz w:val="28"/>
          <w:szCs w:val="28"/>
        </w:rPr>
        <w:t>参考文献</w:t>
      </w:r>
    </w:p>
    <w:p w14:paraId="1CCDE9A5">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r>
        <w:rPr>
          <w:rFonts w:hint="eastAsia" w:ascii="宋体" w:hAnsi="宋体" w:eastAsia="宋体" w:cs="宋体"/>
          <w:sz w:val="21"/>
          <w:szCs w:val="21"/>
        </w:rPr>
        <w:t xml:space="preserve">World Economic Forum. (2020). </w:t>
      </w:r>
      <w:r>
        <w:rPr>
          <w:rFonts w:hint="eastAsia" w:ascii="宋体" w:hAnsi="宋体" w:eastAsia="宋体" w:cs="宋体"/>
          <w:i/>
          <w:iCs/>
          <w:sz w:val="21"/>
          <w:szCs w:val="21"/>
        </w:rPr>
        <w:t>The Future of the Last-Mile Ecosystem</w:t>
      </w:r>
      <w:r>
        <w:rPr>
          <w:rFonts w:hint="eastAsia" w:ascii="宋体" w:hAnsi="宋体" w:eastAsia="宋体" w:cs="宋体"/>
          <w:sz w:val="21"/>
          <w:szCs w:val="21"/>
        </w:rPr>
        <w:t>.</w:t>
      </w:r>
      <w:bookmarkEnd w:id="0"/>
    </w:p>
    <w:p w14:paraId="31586C5B">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bookmarkStart w:id="2" w:name="_Ref20466"/>
      <w:r>
        <w:rPr>
          <w:rFonts w:hint="eastAsia" w:ascii="宋体" w:hAnsi="宋体" w:eastAsia="宋体" w:cs="宋体"/>
          <w:sz w:val="21"/>
          <w:szCs w:val="21"/>
        </w:rPr>
        <w:t xml:space="preserve">Kunovjanek, M., &amp; Wankmüller, C. (2021). Containing the COVID-19 pandemic with drones - Feasibility of a drone enabled back-up transport system. </w:t>
      </w:r>
      <w:r>
        <w:rPr>
          <w:rFonts w:hint="eastAsia" w:ascii="宋体" w:hAnsi="宋体" w:eastAsia="宋体" w:cs="宋体"/>
          <w:i/>
          <w:iCs/>
          <w:sz w:val="21"/>
          <w:szCs w:val="21"/>
        </w:rPr>
        <w:t>Transport Policy, 106</w:t>
      </w:r>
      <w:r>
        <w:rPr>
          <w:rFonts w:hint="eastAsia" w:ascii="宋体" w:hAnsi="宋体" w:eastAsia="宋体" w:cs="宋体"/>
          <w:sz w:val="21"/>
          <w:szCs w:val="21"/>
        </w:rPr>
        <w:t>, 141–152.</w:t>
      </w:r>
      <w:bookmarkEnd w:id="1"/>
      <w:bookmarkEnd w:id="2"/>
    </w:p>
    <w:p w14:paraId="0760A943">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bookmarkStart w:id="3" w:name="_Ref20551"/>
      <w:r>
        <w:rPr>
          <w:rFonts w:hint="eastAsia" w:ascii="宋体" w:hAnsi="宋体" w:eastAsia="宋体" w:cs="宋体"/>
          <w:sz w:val="21"/>
          <w:szCs w:val="21"/>
        </w:rPr>
        <w:t xml:space="preserve">Tamke, F., &amp; Buscher, U. (2021). A branch-and-cut algorithm for the vehicle routing problem with drones and time-oriented objectives. </w:t>
      </w:r>
      <w:r>
        <w:rPr>
          <w:rFonts w:hint="eastAsia" w:ascii="宋体" w:hAnsi="宋体" w:eastAsia="宋体" w:cs="宋体"/>
          <w:i/>
          <w:iCs/>
          <w:sz w:val="21"/>
          <w:szCs w:val="21"/>
        </w:rPr>
        <w:t>Transportation Research Part B: Methodological, 144</w:t>
      </w:r>
      <w:r>
        <w:rPr>
          <w:rFonts w:hint="eastAsia" w:ascii="宋体" w:hAnsi="宋体" w:eastAsia="宋体" w:cs="宋体"/>
          <w:sz w:val="21"/>
          <w:szCs w:val="21"/>
        </w:rPr>
        <w:t>, 174–203.</w:t>
      </w:r>
      <w:bookmarkEnd w:id="3"/>
    </w:p>
    <w:p w14:paraId="34B4CC54">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bookmarkStart w:id="4" w:name="_Ref20763"/>
      <w:r>
        <w:rPr>
          <w:rFonts w:hint="eastAsia" w:ascii="宋体" w:hAnsi="宋体" w:eastAsia="宋体" w:cs="宋体"/>
          <w:sz w:val="21"/>
          <w:szCs w:val="21"/>
        </w:rPr>
        <w:t xml:space="preserve">Murray, C. C., &amp; Chu, A. G. (2015). The flying sidekick traveling salesman problem: Optimization of drone-assisted parcel delivery. </w:t>
      </w:r>
      <w:r>
        <w:rPr>
          <w:rFonts w:hint="eastAsia" w:ascii="宋体" w:hAnsi="宋体" w:eastAsia="宋体" w:cs="宋体"/>
          <w:i/>
          <w:iCs/>
          <w:sz w:val="21"/>
          <w:szCs w:val="21"/>
        </w:rPr>
        <w:t>Transportation Research Part C: Emerging Technologies, 54</w:t>
      </w:r>
      <w:r>
        <w:rPr>
          <w:rFonts w:hint="eastAsia" w:ascii="宋体" w:hAnsi="宋体" w:eastAsia="宋体" w:cs="宋体"/>
          <w:sz w:val="21"/>
          <w:szCs w:val="21"/>
        </w:rPr>
        <w:t>, 86–109.</w:t>
      </w:r>
      <w:bookmarkEnd w:id="4"/>
    </w:p>
    <w:p w14:paraId="36A871E2">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bookmarkStart w:id="5" w:name="_Ref20897"/>
      <w:r>
        <w:rPr>
          <w:rFonts w:hint="eastAsia" w:ascii="宋体" w:hAnsi="宋体" w:eastAsia="宋体" w:cs="宋体"/>
          <w:sz w:val="21"/>
          <w:szCs w:val="21"/>
        </w:rPr>
        <w:t xml:space="preserve">Agatz, N., Bouman, P., &amp; Schmidt, M. (2018). Optimization approaches for the traveling salesman problem with drone. </w:t>
      </w:r>
      <w:r>
        <w:rPr>
          <w:rFonts w:hint="eastAsia" w:ascii="宋体" w:hAnsi="宋体" w:eastAsia="宋体" w:cs="宋体"/>
          <w:i/>
          <w:iCs/>
          <w:sz w:val="21"/>
          <w:szCs w:val="21"/>
        </w:rPr>
        <w:t>Transportation Science, 52</w:t>
      </w:r>
      <w:r>
        <w:rPr>
          <w:rFonts w:hint="eastAsia" w:ascii="宋体" w:hAnsi="宋体" w:eastAsia="宋体" w:cs="宋体"/>
          <w:sz w:val="21"/>
          <w:szCs w:val="21"/>
        </w:rPr>
        <w:t>(4), 965–981.</w:t>
      </w:r>
      <w:bookmarkEnd w:id="5"/>
    </w:p>
    <w:p w14:paraId="5E683072">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bookmarkStart w:id="6" w:name="_Ref20982"/>
      <w:r>
        <w:rPr>
          <w:rFonts w:hint="eastAsia" w:ascii="宋体" w:hAnsi="宋体" w:eastAsia="宋体" w:cs="宋体"/>
          <w:sz w:val="21"/>
          <w:szCs w:val="21"/>
        </w:rPr>
        <w:t xml:space="preserve">Wang, X., Poikonen, S., &amp; Golden, B. (2017). The vehicle routing problem with drones: several worst-case results. </w:t>
      </w:r>
      <w:r>
        <w:rPr>
          <w:rFonts w:hint="eastAsia" w:ascii="宋体" w:hAnsi="宋体" w:eastAsia="宋体" w:cs="宋体"/>
          <w:i/>
          <w:iCs/>
          <w:sz w:val="21"/>
          <w:szCs w:val="21"/>
        </w:rPr>
        <w:t>Optimization Letters, 11</w:t>
      </w:r>
      <w:r>
        <w:rPr>
          <w:rFonts w:hint="eastAsia" w:ascii="宋体" w:hAnsi="宋体" w:eastAsia="宋体" w:cs="宋体"/>
          <w:sz w:val="21"/>
          <w:szCs w:val="21"/>
        </w:rPr>
        <w:t>(4), 679–697.</w:t>
      </w:r>
      <w:bookmarkEnd w:id="6"/>
    </w:p>
    <w:p w14:paraId="1C06D368">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bookmarkStart w:id="7" w:name="_Ref21047"/>
      <w:r>
        <w:rPr>
          <w:rFonts w:hint="eastAsia" w:ascii="宋体" w:hAnsi="宋体" w:eastAsia="宋体" w:cs="宋体"/>
          <w:sz w:val="21"/>
          <w:szCs w:val="21"/>
        </w:rPr>
        <w:t xml:space="preserve">Coindreau, M. A., Deroussi, L., &amp; Sadykov, R. (2021). Parcel delivery cost minimization with time window constraints using a truck-and-drone system. </w:t>
      </w:r>
      <w:r>
        <w:rPr>
          <w:rFonts w:hint="eastAsia" w:ascii="宋体" w:hAnsi="宋体" w:eastAsia="宋体" w:cs="宋体"/>
          <w:i/>
          <w:iCs/>
          <w:sz w:val="21"/>
          <w:szCs w:val="21"/>
        </w:rPr>
        <w:t>EURO Journal on Transportation and Logistics, 10</w:t>
      </w:r>
      <w:r>
        <w:rPr>
          <w:rFonts w:hint="eastAsia" w:ascii="宋体" w:hAnsi="宋体" w:eastAsia="宋体" w:cs="宋体"/>
          <w:sz w:val="21"/>
          <w:szCs w:val="21"/>
        </w:rPr>
        <w:t>, 100030.</w:t>
      </w:r>
      <w:bookmarkEnd w:id="7"/>
    </w:p>
    <w:p w14:paraId="792EB9BD">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bookmarkStart w:id="8" w:name="_Ref21273"/>
      <w:r>
        <w:rPr>
          <w:rFonts w:hint="eastAsia" w:ascii="宋体" w:hAnsi="宋体" w:eastAsia="宋体" w:cs="宋体"/>
          <w:sz w:val="21"/>
          <w:szCs w:val="21"/>
        </w:rPr>
        <w:t xml:space="preserve">Pina-Pardo, J. C., Silva, D. F., &amp; Smith, A. E. (2021). The Traveling Salesman Problem with Release Dates and Drone Resupply. </w:t>
      </w:r>
      <w:r>
        <w:rPr>
          <w:rFonts w:hint="eastAsia" w:ascii="宋体" w:hAnsi="宋体" w:eastAsia="宋体" w:cs="宋体"/>
          <w:i/>
          <w:iCs/>
          <w:sz w:val="21"/>
          <w:szCs w:val="21"/>
        </w:rPr>
        <w:t>Computers &amp; Operations Research, 130</w:t>
      </w:r>
      <w:r>
        <w:rPr>
          <w:rFonts w:hint="eastAsia" w:ascii="宋体" w:hAnsi="宋体" w:eastAsia="宋体" w:cs="宋体"/>
          <w:sz w:val="21"/>
          <w:szCs w:val="21"/>
        </w:rPr>
        <w:t>, 105170.</w:t>
      </w:r>
      <w:bookmarkEnd w:id="8"/>
    </w:p>
    <w:p w14:paraId="327CB5D5">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bookmarkStart w:id="9" w:name="_Ref21874"/>
      <w:r>
        <w:rPr>
          <w:rFonts w:hint="eastAsia" w:ascii="宋体" w:hAnsi="宋体" w:eastAsia="宋体" w:cs="宋体"/>
          <w:sz w:val="21"/>
          <w:szCs w:val="21"/>
        </w:rPr>
        <w:t xml:space="preserve">Sacramento, D., Pisinger, D., &amp; Ropke, S. (2019). An adaptive large neighborhood search metaheuristic for the vehicle routing problem with drones. </w:t>
      </w:r>
      <w:r>
        <w:rPr>
          <w:rFonts w:hint="eastAsia" w:ascii="宋体" w:hAnsi="宋体" w:eastAsia="宋体" w:cs="宋体"/>
          <w:i/>
          <w:iCs/>
          <w:sz w:val="21"/>
          <w:szCs w:val="21"/>
        </w:rPr>
        <w:t>Transportation Research Part C: Emerging Technologies, 102</w:t>
      </w:r>
      <w:r>
        <w:rPr>
          <w:rFonts w:hint="eastAsia" w:ascii="宋体" w:hAnsi="宋体" w:eastAsia="宋体" w:cs="宋体"/>
          <w:sz w:val="21"/>
          <w:szCs w:val="21"/>
        </w:rPr>
        <w:t>, 289–315.</w:t>
      </w:r>
      <w:bookmarkEnd w:id="9"/>
    </w:p>
    <w:p w14:paraId="775979E4">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bookmarkStart w:id="10" w:name="_Ref22131"/>
      <w:r>
        <w:rPr>
          <w:rFonts w:hint="eastAsia" w:ascii="宋体" w:hAnsi="宋体" w:eastAsia="宋体" w:cs="宋体"/>
          <w:sz w:val="21"/>
          <w:szCs w:val="21"/>
        </w:rPr>
        <w:t xml:space="preserve">Schermer, D., Moeini, M., &amp; Wendt, O. (2019a). A hybrid VNS/tabu search algorithm for solving the vehicle routing problem with drones and en route operations. </w:t>
      </w:r>
      <w:r>
        <w:rPr>
          <w:rFonts w:hint="eastAsia" w:ascii="宋体" w:hAnsi="宋体" w:eastAsia="宋体" w:cs="宋体"/>
          <w:i/>
          <w:iCs/>
          <w:sz w:val="21"/>
          <w:szCs w:val="21"/>
        </w:rPr>
        <w:t>Computers &amp; Operations Research, 109</w:t>
      </w:r>
      <w:r>
        <w:rPr>
          <w:rFonts w:hint="eastAsia" w:ascii="宋体" w:hAnsi="宋体" w:eastAsia="宋体" w:cs="宋体"/>
          <w:sz w:val="21"/>
          <w:szCs w:val="21"/>
        </w:rPr>
        <w:t>, 134–158.</w:t>
      </w:r>
      <w:bookmarkEnd w:id="10"/>
    </w:p>
    <w:p w14:paraId="2A1D048D">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bookmarkStart w:id="11" w:name="_Ref22540"/>
      <w:r>
        <w:rPr>
          <w:rFonts w:hint="eastAsia" w:ascii="宋体" w:hAnsi="宋体" w:eastAsia="宋体" w:cs="宋体"/>
          <w:sz w:val="21"/>
          <w:szCs w:val="21"/>
        </w:rPr>
        <w:t xml:space="preserve">Murray, C. C., &amp; Raj, R. (2020). The multiple flying sidekicks traveling salesman problem: Parcel delivery with multiple drones. </w:t>
      </w:r>
      <w:r>
        <w:rPr>
          <w:rFonts w:hint="eastAsia" w:ascii="宋体" w:hAnsi="宋体" w:eastAsia="宋体" w:cs="宋体"/>
          <w:i/>
          <w:iCs/>
          <w:sz w:val="21"/>
          <w:szCs w:val="21"/>
        </w:rPr>
        <w:t>Transportation Research Part C: Emerging Technologies, 110</w:t>
      </w:r>
      <w:r>
        <w:rPr>
          <w:rFonts w:hint="eastAsia" w:ascii="宋体" w:hAnsi="宋体" w:eastAsia="宋体" w:cs="宋体"/>
          <w:sz w:val="21"/>
          <w:szCs w:val="21"/>
        </w:rPr>
        <w:t>, 368–398.</w:t>
      </w:r>
      <w:bookmarkEnd w:id="11"/>
    </w:p>
    <w:p w14:paraId="4B4DAB06">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bookmarkStart w:id="12" w:name="_Ref22628"/>
      <w:r>
        <w:rPr>
          <w:rFonts w:hint="eastAsia" w:ascii="宋体" w:hAnsi="宋体" w:eastAsia="宋体" w:cs="宋体"/>
          <w:sz w:val="21"/>
          <w:szCs w:val="21"/>
        </w:rPr>
        <w:t xml:space="preserve">Hua, Y., Zhang, R., Wang, S., &amp; Jia, G. (2023). Joint optimisation of drone routing and battery wear for sustainable supply chain development: a mixed-integer programming model based on blockchain-enabled fleet sharing. </w:t>
      </w:r>
      <w:r>
        <w:rPr>
          <w:rFonts w:hint="eastAsia" w:ascii="宋体" w:hAnsi="宋体" w:eastAsia="宋体" w:cs="宋体"/>
          <w:i/>
          <w:iCs/>
          <w:sz w:val="21"/>
          <w:szCs w:val="21"/>
        </w:rPr>
        <w:t>Annals of Operations Research, 327</w:t>
      </w:r>
      <w:r>
        <w:rPr>
          <w:rFonts w:hint="eastAsia" w:ascii="宋体" w:hAnsi="宋体" w:eastAsia="宋体" w:cs="宋体"/>
          <w:sz w:val="21"/>
          <w:szCs w:val="21"/>
        </w:rPr>
        <w:t>, 89–127.</w:t>
      </w:r>
      <w:bookmarkEnd w:id="12"/>
    </w:p>
    <w:p w14:paraId="657DF8C5">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bookmarkStart w:id="13" w:name="_Ref23030"/>
      <w:r>
        <w:rPr>
          <w:rFonts w:hint="eastAsia" w:ascii="宋体" w:hAnsi="宋体" w:eastAsia="宋体" w:cs="宋体"/>
          <w:sz w:val="21"/>
          <w:szCs w:val="21"/>
        </w:rPr>
        <w:t xml:space="preserve">Wang, Z., &amp; Sheu, J.-B. (2019). Vehicle routing problem with drones. </w:t>
      </w:r>
      <w:r>
        <w:rPr>
          <w:rFonts w:hint="eastAsia" w:ascii="宋体" w:hAnsi="宋体" w:eastAsia="宋体" w:cs="宋体"/>
          <w:i/>
          <w:iCs/>
          <w:sz w:val="21"/>
          <w:szCs w:val="21"/>
        </w:rPr>
        <w:t>Transportation Research Part B: Methodological, 122</w:t>
      </w:r>
      <w:r>
        <w:rPr>
          <w:rFonts w:hint="eastAsia" w:ascii="宋体" w:hAnsi="宋体" w:eastAsia="宋体" w:cs="宋体"/>
          <w:sz w:val="21"/>
          <w:szCs w:val="21"/>
        </w:rPr>
        <w:t>, 350–364.</w:t>
      </w:r>
      <w:bookmarkEnd w:id="13"/>
    </w:p>
    <w:p w14:paraId="4BBAA4CA">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bookmarkStart w:id="14" w:name="_Ref23255"/>
      <w:r>
        <w:rPr>
          <w:rFonts w:hint="eastAsia" w:ascii="宋体" w:hAnsi="宋体" w:eastAsia="宋体" w:cs="宋体"/>
          <w:sz w:val="21"/>
          <w:szCs w:val="21"/>
        </w:rPr>
        <w:t xml:space="preserve">Pugliese, L. D. P., &amp; Guerriero, F. (2017). Last-mile deliveries by using drones and classical vehicles. In </w:t>
      </w:r>
      <w:r>
        <w:rPr>
          <w:rFonts w:hint="eastAsia" w:ascii="宋体" w:hAnsi="宋体" w:eastAsia="宋体" w:cs="宋体"/>
          <w:i/>
          <w:iCs/>
          <w:sz w:val="21"/>
          <w:szCs w:val="21"/>
        </w:rPr>
        <w:t>International Conference on Optimization and Decision Science</w:t>
      </w:r>
      <w:r>
        <w:rPr>
          <w:rFonts w:hint="eastAsia" w:ascii="宋体" w:hAnsi="宋体" w:eastAsia="宋体" w:cs="宋体"/>
          <w:sz w:val="21"/>
          <w:szCs w:val="21"/>
        </w:rPr>
        <w:t xml:space="preserve"> (pp. 557–565). Springer.</w:t>
      </w:r>
      <w:bookmarkEnd w:id="14"/>
    </w:p>
    <w:p w14:paraId="281972CC">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bookmarkStart w:id="15" w:name="_Ref23725"/>
      <w:r>
        <w:rPr>
          <w:rFonts w:hint="eastAsia" w:ascii="宋体" w:hAnsi="宋体" w:eastAsia="宋体" w:cs="宋体"/>
          <w:sz w:val="21"/>
          <w:szCs w:val="21"/>
        </w:rPr>
        <w:t xml:space="preserve">Yurek, E. E., &amp; Ozmutlu, H. C. (2018). A decomposition-based iterative optimization algorithm for traveling salesman problem with drone. </w:t>
      </w:r>
      <w:r>
        <w:rPr>
          <w:rFonts w:hint="eastAsia" w:ascii="宋体" w:hAnsi="宋体" w:eastAsia="宋体" w:cs="宋体"/>
          <w:i/>
          <w:iCs/>
          <w:sz w:val="21"/>
          <w:szCs w:val="21"/>
        </w:rPr>
        <w:t>Transportation Research Part C: Emerging Technologies, 91</w:t>
      </w:r>
      <w:r>
        <w:rPr>
          <w:rFonts w:hint="eastAsia" w:ascii="宋体" w:hAnsi="宋体" w:eastAsia="宋体" w:cs="宋体"/>
          <w:sz w:val="21"/>
          <w:szCs w:val="21"/>
        </w:rPr>
        <w:t>, 249–262.</w:t>
      </w:r>
      <w:bookmarkEnd w:id="15"/>
    </w:p>
    <w:p w14:paraId="05D3807C">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bookmarkStart w:id="16" w:name="_Ref23820"/>
      <w:r>
        <w:rPr>
          <w:rFonts w:hint="eastAsia" w:ascii="宋体" w:hAnsi="宋体" w:eastAsia="宋体" w:cs="宋体"/>
          <w:sz w:val="21"/>
          <w:szCs w:val="21"/>
        </w:rPr>
        <w:t xml:space="preserve">Bouman, P., Agatz, N., &amp; Schmidt, M. (2018). Dynamic programming approaches for the traveling salesman problem with drone. </w:t>
      </w:r>
      <w:r>
        <w:rPr>
          <w:rFonts w:hint="eastAsia" w:ascii="宋体" w:hAnsi="宋体" w:eastAsia="宋体" w:cs="宋体"/>
          <w:i/>
          <w:iCs/>
          <w:sz w:val="21"/>
          <w:szCs w:val="21"/>
        </w:rPr>
        <w:t>Networks, 72</w:t>
      </w:r>
      <w:r>
        <w:rPr>
          <w:rFonts w:hint="eastAsia" w:ascii="宋体" w:hAnsi="宋体" w:eastAsia="宋体" w:cs="宋体"/>
          <w:sz w:val="21"/>
          <w:szCs w:val="21"/>
        </w:rPr>
        <w:t>(4), 528–542.</w:t>
      </w:r>
      <w:bookmarkEnd w:id="16"/>
    </w:p>
    <w:p w14:paraId="6935BE09">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r>
        <w:rPr>
          <w:rFonts w:hint="eastAsia" w:ascii="宋体" w:hAnsi="宋体" w:eastAsia="宋体" w:cs="宋体"/>
          <w:sz w:val="21"/>
          <w:szCs w:val="21"/>
        </w:rPr>
        <w:t xml:space="preserve">Kitjacharoenchai, P., Min, B.-C., &amp; Lee, S. (2019). Two echelon vehicle routing problem with drones in last mile delivery. </w:t>
      </w:r>
      <w:r>
        <w:rPr>
          <w:rFonts w:hint="eastAsia" w:ascii="宋体" w:hAnsi="宋体" w:eastAsia="宋体" w:cs="宋体"/>
          <w:i/>
          <w:iCs/>
          <w:sz w:val="21"/>
          <w:szCs w:val="21"/>
        </w:rPr>
        <w:t>International Journal of Production Economics, 225</w:t>
      </w:r>
      <w:r>
        <w:rPr>
          <w:rFonts w:hint="eastAsia" w:ascii="宋体" w:hAnsi="宋体" w:eastAsia="宋体" w:cs="宋体"/>
          <w:sz w:val="21"/>
          <w:szCs w:val="21"/>
        </w:rPr>
        <w:t>, 107598.</w:t>
      </w:r>
    </w:p>
    <w:p w14:paraId="3AEDF1DA">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bookmarkStart w:id="17" w:name="_Ref24182"/>
      <w:r>
        <w:rPr>
          <w:rFonts w:hint="eastAsia" w:ascii="宋体" w:hAnsi="宋体" w:eastAsia="宋体" w:cs="宋体"/>
          <w:sz w:val="21"/>
          <w:szCs w:val="21"/>
        </w:rPr>
        <w:t xml:space="preserve">Ha, Q. M., Deville, Y., Pham, Q. D., &amp; Hà, M. H. (2018). On the min-cost traveling salesman problem with drone. </w:t>
      </w:r>
      <w:r>
        <w:rPr>
          <w:rFonts w:hint="eastAsia" w:ascii="宋体" w:hAnsi="宋体" w:eastAsia="宋体" w:cs="宋体"/>
          <w:i/>
          <w:iCs/>
          <w:sz w:val="21"/>
          <w:szCs w:val="21"/>
        </w:rPr>
        <w:t>Transportation Research Part C: Emerging Technologies, 86</w:t>
      </w:r>
      <w:r>
        <w:rPr>
          <w:rFonts w:hint="eastAsia" w:ascii="宋体" w:hAnsi="宋体" w:eastAsia="宋体" w:cs="宋体"/>
          <w:sz w:val="21"/>
          <w:szCs w:val="21"/>
        </w:rPr>
        <w:t>, 597–621.</w:t>
      </w:r>
      <w:bookmarkEnd w:id="17"/>
    </w:p>
    <w:p w14:paraId="0081110E">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bookmarkStart w:id="18" w:name="_Ref24424"/>
      <w:r>
        <w:rPr>
          <w:rFonts w:hint="eastAsia" w:ascii="宋体" w:hAnsi="宋体" w:eastAsia="宋体" w:cs="宋体"/>
          <w:sz w:val="21"/>
          <w:szCs w:val="21"/>
        </w:rPr>
        <w:t xml:space="preserve">Moshref-Javadi, M., Hemmati, A., &amp; Winkenbach, M. (2020). A truck and drones model for last-mile delivery: a mathematical model and heuristic approach. </w:t>
      </w:r>
      <w:r>
        <w:rPr>
          <w:rFonts w:hint="eastAsia" w:ascii="宋体" w:hAnsi="宋体" w:eastAsia="宋体" w:cs="宋体"/>
          <w:i/>
          <w:iCs/>
          <w:sz w:val="21"/>
          <w:szCs w:val="21"/>
        </w:rPr>
        <w:t>Applied Mathematical Modelling, 80</w:t>
      </w:r>
      <w:r>
        <w:rPr>
          <w:rFonts w:hint="eastAsia" w:ascii="宋体" w:hAnsi="宋体" w:eastAsia="宋体" w:cs="宋体"/>
          <w:sz w:val="21"/>
          <w:szCs w:val="21"/>
        </w:rPr>
        <w:t>, 290–318.</w:t>
      </w:r>
      <w:bookmarkEnd w:id="18"/>
    </w:p>
    <w:p w14:paraId="61338786">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bookmarkStart w:id="19" w:name="_Ref24525"/>
      <w:r>
        <w:rPr>
          <w:rFonts w:hint="eastAsia" w:ascii="宋体" w:hAnsi="宋体" w:eastAsia="宋体" w:cs="宋体"/>
          <w:sz w:val="21"/>
          <w:szCs w:val="21"/>
        </w:rPr>
        <w:t xml:space="preserve">Jeong, H. Y., Song, B. D., &amp; Lee, S. (2019). Truck-drone hybrid delivery routing: payload-energy dependency and no-fly zones. </w:t>
      </w:r>
      <w:r>
        <w:rPr>
          <w:rFonts w:hint="eastAsia" w:ascii="宋体" w:hAnsi="宋体" w:eastAsia="宋体" w:cs="宋体"/>
          <w:i/>
          <w:iCs/>
          <w:sz w:val="21"/>
          <w:szCs w:val="21"/>
        </w:rPr>
        <w:t>International Journal of Production Economics, 214</w:t>
      </w:r>
      <w:r>
        <w:rPr>
          <w:rFonts w:hint="eastAsia" w:ascii="宋体" w:hAnsi="宋体" w:eastAsia="宋体" w:cs="宋体"/>
          <w:sz w:val="21"/>
          <w:szCs w:val="21"/>
        </w:rPr>
        <w:t>, 220–233.</w:t>
      </w:r>
      <w:bookmarkEnd w:id="19"/>
    </w:p>
    <w:p w14:paraId="4346F928">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bookmarkStart w:id="20" w:name="_Ref24786"/>
      <w:r>
        <w:rPr>
          <w:rFonts w:hint="eastAsia" w:ascii="宋体" w:hAnsi="宋体" w:eastAsia="宋体" w:cs="宋体"/>
          <w:sz w:val="21"/>
          <w:szCs w:val="21"/>
        </w:rPr>
        <w:t xml:space="preserve">Bektas, T., &amp; Laporte, G. (2011). The pollution-routing problem. </w:t>
      </w:r>
      <w:r>
        <w:rPr>
          <w:rFonts w:hint="eastAsia" w:ascii="宋体" w:hAnsi="宋体" w:eastAsia="宋体" w:cs="宋体"/>
          <w:i/>
          <w:iCs/>
          <w:sz w:val="21"/>
          <w:szCs w:val="21"/>
        </w:rPr>
        <w:t>Transportation Research Part B: Methodological, 45</w:t>
      </w:r>
      <w:r>
        <w:rPr>
          <w:rFonts w:hint="eastAsia" w:ascii="宋体" w:hAnsi="宋体" w:eastAsia="宋体" w:cs="宋体"/>
          <w:sz w:val="21"/>
          <w:szCs w:val="21"/>
        </w:rPr>
        <w:t>(8), 1232–1250.</w:t>
      </w:r>
      <w:bookmarkEnd w:id="20"/>
    </w:p>
    <w:p w14:paraId="76FA9C5C">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bookmarkStart w:id="21" w:name="_Ref24868"/>
      <w:r>
        <w:rPr>
          <w:rFonts w:hint="eastAsia" w:ascii="宋体" w:hAnsi="宋体" w:eastAsia="宋体" w:cs="宋体"/>
          <w:sz w:val="21"/>
          <w:szCs w:val="21"/>
        </w:rPr>
        <w:t xml:space="preserve">Poikonen, S., Wang, X., &amp; Golden, B. (2017). The vehicle routing problem with drones: Extended models and connections. </w:t>
      </w:r>
      <w:r>
        <w:rPr>
          <w:rFonts w:hint="eastAsia" w:ascii="宋体" w:hAnsi="宋体" w:eastAsia="宋体" w:cs="宋体"/>
          <w:i/>
          <w:iCs/>
          <w:sz w:val="21"/>
          <w:szCs w:val="21"/>
        </w:rPr>
        <w:t>Networks, 70</w:t>
      </w:r>
      <w:r>
        <w:rPr>
          <w:rFonts w:hint="eastAsia" w:ascii="宋体" w:hAnsi="宋体" w:eastAsia="宋体" w:cs="宋体"/>
          <w:sz w:val="21"/>
          <w:szCs w:val="21"/>
        </w:rPr>
        <w:t>(1), 34–43.</w:t>
      </w:r>
      <w:bookmarkEnd w:id="21"/>
    </w:p>
    <w:p w14:paraId="17BF197A">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bookmarkStart w:id="22" w:name="_Ref25022"/>
      <w:r>
        <w:rPr>
          <w:rFonts w:hint="eastAsia" w:ascii="宋体" w:hAnsi="宋体" w:eastAsia="宋体" w:cs="宋体"/>
          <w:sz w:val="21"/>
          <w:szCs w:val="21"/>
        </w:rPr>
        <w:t xml:space="preserve">Schermer, D., Moeini, M., &amp; Wendt, O. (2019b). A matheuristic for the vehicle routing problem with drones and its variants. </w:t>
      </w:r>
      <w:r>
        <w:rPr>
          <w:rFonts w:hint="eastAsia" w:ascii="宋体" w:hAnsi="宋体" w:eastAsia="宋体" w:cs="宋体"/>
          <w:i/>
          <w:iCs/>
          <w:sz w:val="21"/>
          <w:szCs w:val="21"/>
        </w:rPr>
        <w:t>Transportation Research Part C: Emerging Technologies, 106</w:t>
      </w:r>
      <w:r>
        <w:rPr>
          <w:rFonts w:hint="eastAsia" w:ascii="宋体" w:hAnsi="宋体" w:eastAsia="宋体" w:cs="宋体"/>
          <w:sz w:val="21"/>
          <w:szCs w:val="21"/>
        </w:rPr>
        <w:t>, 166–204.</w:t>
      </w:r>
      <w:bookmarkEnd w:id="22"/>
    </w:p>
    <w:p w14:paraId="4D43EFB0">
      <w:pPr>
        <w:pStyle w:val="5"/>
        <w:keepNext w:val="0"/>
        <w:keepLines w:val="0"/>
        <w:widowControl/>
        <w:numPr>
          <w:ilvl w:val="0"/>
          <w:numId w:val="19"/>
        </w:numPr>
        <w:suppressLineNumbers w:val="0"/>
        <w:ind w:left="425" w:leftChars="0" w:hanging="425" w:firstLineChars="0"/>
        <w:rPr>
          <w:rFonts w:hint="eastAsia" w:ascii="宋体" w:hAnsi="宋体" w:eastAsia="宋体" w:cs="宋体"/>
          <w:sz w:val="21"/>
          <w:szCs w:val="21"/>
        </w:rPr>
      </w:pPr>
      <w:r>
        <w:rPr>
          <w:rFonts w:hint="eastAsia" w:ascii="宋体" w:hAnsi="宋体" w:eastAsia="宋体" w:cs="宋体"/>
          <w:sz w:val="21"/>
          <w:szCs w:val="21"/>
        </w:rPr>
        <w:t xml:space="preserve">Archetti, C., Feillet, D., Mor, A., &amp; Speranza, M. G. (2018). An iterated local search for the traveling salesman problem with release dates and completion time minimization. </w:t>
      </w:r>
      <w:r>
        <w:rPr>
          <w:rFonts w:hint="eastAsia" w:ascii="宋体" w:hAnsi="宋体" w:eastAsia="宋体" w:cs="宋体"/>
          <w:i/>
          <w:iCs/>
          <w:sz w:val="21"/>
          <w:szCs w:val="21"/>
        </w:rPr>
        <w:t>Computers &amp; Operations Research, 98</w:t>
      </w:r>
      <w:r>
        <w:rPr>
          <w:rFonts w:hint="eastAsia" w:ascii="宋体" w:hAnsi="宋体" w:eastAsia="宋体" w:cs="宋体"/>
          <w:sz w:val="21"/>
          <w:szCs w:val="21"/>
        </w:rPr>
        <w:t>, 24-37.</w:t>
      </w:r>
    </w:p>
    <w:p w14:paraId="323CF17B">
      <w:pPr>
        <w:pStyle w:val="5"/>
        <w:keepNext w:val="0"/>
        <w:keepLines w:val="0"/>
        <w:widowControl/>
        <w:numPr>
          <w:numId w:val="0"/>
        </w:numPr>
        <w:suppressLineNumbers w:val="0"/>
        <w:ind w:leftChars="0" w:right="0" w:rightChars="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2302BE"/>
    <w:multiLevelType w:val="multilevel"/>
    <w:tmpl w:val="B92302B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CF7AB349"/>
    <w:multiLevelType w:val="singleLevel"/>
    <w:tmpl w:val="CF7AB349"/>
    <w:lvl w:ilvl="0" w:tentative="0">
      <w:start w:val="1"/>
      <w:numFmt w:val="decimal"/>
      <w:lvlText w:val="(%1)"/>
      <w:lvlJc w:val="left"/>
      <w:pPr>
        <w:tabs>
          <w:tab w:val="left" w:pos="420"/>
        </w:tabs>
        <w:ind w:left="845" w:hanging="425"/>
      </w:pPr>
      <w:rPr>
        <w:rFonts w:hint="default"/>
      </w:rPr>
    </w:lvl>
  </w:abstractNum>
  <w:abstractNum w:abstractNumId="2">
    <w:nsid w:val="D1CF42A8"/>
    <w:multiLevelType w:val="singleLevel"/>
    <w:tmpl w:val="D1CF42A8"/>
    <w:lvl w:ilvl="0" w:tentative="0">
      <w:start w:val="1"/>
      <w:numFmt w:val="decimal"/>
      <w:lvlText w:val="(%1)"/>
      <w:lvlJc w:val="left"/>
      <w:pPr>
        <w:tabs>
          <w:tab w:val="left" w:pos="420"/>
        </w:tabs>
        <w:ind w:left="845" w:hanging="425"/>
      </w:pPr>
      <w:rPr>
        <w:rFonts w:hint="default"/>
      </w:rPr>
    </w:lvl>
  </w:abstractNum>
  <w:abstractNum w:abstractNumId="3">
    <w:nsid w:val="E744B00D"/>
    <w:multiLevelType w:val="singleLevel"/>
    <w:tmpl w:val="E744B00D"/>
    <w:lvl w:ilvl="0" w:tentative="0">
      <w:start w:val="1"/>
      <w:numFmt w:val="decimal"/>
      <w:lvlText w:val="(%1)"/>
      <w:lvlJc w:val="left"/>
      <w:pPr>
        <w:tabs>
          <w:tab w:val="left" w:pos="420"/>
        </w:tabs>
        <w:ind w:left="845" w:hanging="425"/>
      </w:pPr>
      <w:rPr>
        <w:rFonts w:hint="default"/>
      </w:rPr>
    </w:lvl>
  </w:abstractNum>
  <w:abstractNum w:abstractNumId="4">
    <w:nsid w:val="EC702A35"/>
    <w:multiLevelType w:val="multilevel"/>
    <w:tmpl w:val="EC702A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FB23288D"/>
    <w:multiLevelType w:val="multilevel"/>
    <w:tmpl w:val="FB23288D"/>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FB32891E"/>
    <w:multiLevelType w:val="singleLevel"/>
    <w:tmpl w:val="FB32891E"/>
    <w:lvl w:ilvl="0" w:tentative="0">
      <w:start w:val="1"/>
      <w:numFmt w:val="decimal"/>
      <w:lvlText w:val="%1."/>
      <w:lvlJc w:val="left"/>
      <w:pPr>
        <w:ind w:left="425" w:hanging="425"/>
      </w:pPr>
      <w:rPr>
        <w:rFonts w:hint="default"/>
      </w:rPr>
    </w:lvl>
  </w:abstractNum>
  <w:abstractNum w:abstractNumId="7">
    <w:nsid w:val="0F5DE559"/>
    <w:multiLevelType w:val="multilevel"/>
    <w:tmpl w:val="0F5DE559"/>
    <w:lvl w:ilvl="0" w:tentative="0">
      <w:start w:val="1"/>
      <w:numFmt w:val="decimal"/>
      <w:lvlText w:val="%1."/>
      <w:lvlJc w:val="left"/>
      <w:pPr>
        <w:tabs>
          <w:tab w:val="left" w:pos="300"/>
        </w:tabs>
        <w:ind w:left="300" w:hanging="360"/>
      </w:pPr>
      <w:rPr>
        <w:sz w:val="24"/>
        <w:szCs w:val="24"/>
      </w:rPr>
    </w:lvl>
    <w:lvl w:ilvl="1" w:tentative="0">
      <w:start w:val="1"/>
      <w:numFmt w:val="decimal"/>
      <w:lvlText w:val="%2."/>
      <w:lvlJc w:val="left"/>
      <w:pPr>
        <w:tabs>
          <w:tab w:val="left" w:pos="1020"/>
        </w:tabs>
        <w:ind w:left="1020" w:hanging="360"/>
      </w:pPr>
      <w:rPr>
        <w:sz w:val="24"/>
        <w:szCs w:val="24"/>
      </w:rPr>
    </w:lvl>
    <w:lvl w:ilvl="2" w:tentative="0">
      <w:start w:val="1"/>
      <w:numFmt w:val="decimal"/>
      <w:lvlText w:val="%3."/>
      <w:lvlJc w:val="left"/>
      <w:pPr>
        <w:tabs>
          <w:tab w:val="left" w:pos="1740"/>
        </w:tabs>
        <w:ind w:left="1740" w:hanging="360"/>
      </w:pPr>
      <w:rPr>
        <w:sz w:val="24"/>
        <w:szCs w:val="24"/>
      </w:rPr>
    </w:lvl>
    <w:lvl w:ilvl="3" w:tentative="0">
      <w:start w:val="1"/>
      <w:numFmt w:val="decimal"/>
      <w:lvlText w:val="%4."/>
      <w:lvlJc w:val="left"/>
      <w:pPr>
        <w:tabs>
          <w:tab w:val="left" w:pos="2097"/>
        </w:tabs>
        <w:ind w:left="2460" w:hanging="360"/>
      </w:pPr>
      <w:rPr>
        <w:sz w:val="24"/>
        <w:szCs w:val="24"/>
      </w:rPr>
    </w:lvl>
    <w:lvl w:ilvl="4" w:tentative="0">
      <w:start w:val="1"/>
      <w:numFmt w:val="decimal"/>
      <w:lvlText w:val="%5."/>
      <w:lvlJc w:val="left"/>
      <w:pPr>
        <w:tabs>
          <w:tab w:val="left" w:pos="2818"/>
        </w:tabs>
        <w:ind w:left="3180" w:hanging="360"/>
      </w:pPr>
      <w:rPr>
        <w:sz w:val="24"/>
        <w:szCs w:val="24"/>
      </w:rPr>
    </w:lvl>
    <w:lvl w:ilvl="5" w:tentative="0">
      <w:start w:val="1"/>
      <w:numFmt w:val="decimal"/>
      <w:lvlText w:val="%6."/>
      <w:lvlJc w:val="left"/>
      <w:pPr>
        <w:tabs>
          <w:tab w:val="left" w:pos="3538"/>
        </w:tabs>
        <w:ind w:left="3900" w:hanging="360"/>
      </w:pPr>
      <w:rPr>
        <w:sz w:val="24"/>
        <w:szCs w:val="24"/>
      </w:rPr>
    </w:lvl>
    <w:lvl w:ilvl="6" w:tentative="0">
      <w:start w:val="1"/>
      <w:numFmt w:val="decimal"/>
      <w:lvlText w:val="%7."/>
      <w:lvlJc w:val="left"/>
      <w:pPr>
        <w:tabs>
          <w:tab w:val="left" w:pos="4258"/>
        </w:tabs>
        <w:ind w:left="4620" w:hanging="360"/>
      </w:pPr>
      <w:rPr>
        <w:sz w:val="24"/>
        <w:szCs w:val="24"/>
      </w:rPr>
    </w:lvl>
    <w:lvl w:ilvl="7" w:tentative="0">
      <w:start w:val="1"/>
      <w:numFmt w:val="decimal"/>
      <w:lvlText w:val="%8."/>
      <w:lvlJc w:val="left"/>
      <w:pPr>
        <w:tabs>
          <w:tab w:val="left" w:pos="4978"/>
        </w:tabs>
        <w:ind w:left="5340" w:hanging="360"/>
      </w:pPr>
      <w:rPr>
        <w:sz w:val="24"/>
        <w:szCs w:val="24"/>
      </w:rPr>
    </w:lvl>
    <w:lvl w:ilvl="8" w:tentative="0">
      <w:start w:val="1"/>
      <w:numFmt w:val="decimal"/>
      <w:lvlText w:val="%9."/>
      <w:lvlJc w:val="left"/>
      <w:pPr>
        <w:tabs>
          <w:tab w:val="left" w:pos="5698"/>
        </w:tabs>
        <w:ind w:left="6060" w:hanging="360"/>
      </w:pPr>
      <w:rPr>
        <w:sz w:val="24"/>
        <w:szCs w:val="24"/>
      </w:rPr>
    </w:lvl>
  </w:abstractNum>
  <w:abstractNum w:abstractNumId="8">
    <w:nsid w:val="144919E9"/>
    <w:multiLevelType w:val="singleLevel"/>
    <w:tmpl w:val="144919E9"/>
    <w:lvl w:ilvl="0" w:tentative="0">
      <w:start w:val="2"/>
      <w:numFmt w:val="decimal"/>
      <w:suff w:val="space"/>
      <w:lvlText w:val="%1."/>
      <w:lvlJc w:val="left"/>
    </w:lvl>
  </w:abstractNum>
  <w:abstractNum w:abstractNumId="9">
    <w:nsid w:val="2893A220"/>
    <w:multiLevelType w:val="singleLevel"/>
    <w:tmpl w:val="2893A220"/>
    <w:lvl w:ilvl="0" w:tentative="0">
      <w:start w:val="1"/>
      <w:numFmt w:val="decimal"/>
      <w:lvlText w:val="(%1)"/>
      <w:lvlJc w:val="left"/>
      <w:pPr>
        <w:tabs>
          <w:tab w:val="left" w:pos="420"/>
        </w:tabs>
        <w:ind w:left="845" w:hanging="425"/>
      </w:pPr>
      <w:rPr>
        <w:rFonts w:hint="default"/>
      </w:rPr>
    </w:lvl>
  </w:abstractNum>
  <w:abstractNum w:abstractNumId="10">
    <w:nsid w:val="33A9B644"/>
    <w:multiLevelType w:val="multilevel"/>
    <w:tmpl w:val="33A9B644"/>
    <w:lvl w:ilvl="0" w:tentative="0">
      <w:start w:val="1"/>
      <w:numFmt w:val="decimal"/>
      <w:lvlText w:val="%1."/>
      <w:lvlJc w:val="left"/>
      <w:pPr>
        <w:tabs>
          <w:tab w:val="left" w:pos="-120"/>
        </w:tabs>
        <w:ind w:left="-120" w:hanging="360"/>
      </w:pPr>
      <w:rPr>
        <w:sz w:val="24"/>
        <w:szCs w:val="24"/>
      </w:rPr>
    </w:lvl>
    <w:lvl w:ilvl="1" w:tentative="0">
      <w:start w:val="1"/>
      <w:numFmt w:val="decimal"/>
      <w:lvlText w:val="%2."/>
      <w:lvlJc w:val="left"/>
      <w:pPr>
        <w:tabs>
          <w:tab w:val="left" w:pos="600"/>
        </w:tabs>
        <w:ind w:left="600" w:hanging="360"/>
      </w:pPr>
      <w:rPr>
        <w:sz w:val="24"/>
        <w:szCs w:val="24"/>
      </w:rPr>
    </w:lvl>
    <w:lvl w:ilvl="2" w:tentative="0">
      <w:start w:val="1"/>
      <w:numFmt w:val="decimal"/>
      <w:lvlText w:val="%3."/>
      <w:lvlJc w:val="left"/>
      <w:pPr>
        <w:tabs>
          <w:tab w:val="left" w:pos="1320"/>
        </w:tabs>
        <w:ind w:left="1320" w:hanging="360"/>
      </w:pPr>
      <w:rPr>
        <w:sz w:val="24"/>
        <w:szCs w:val="24"/>
      </w:rPr>
    </w:lvl>
    <w:lvl w:ilvl="3" w:tentative="0">
      <w:start w:val="1"/>
      <w:numFmt w:val="decimal"/>
      <w:lvlText w:val="%4."/>
      <w:lvlJc w:val="left"/>
      <w:pPr>
        <w:tabs>
          <w:tab w:val="left" w:pos="1677"/>
        </w:tabs>
        <w:ind w:left="2040" w:hanging="360"/>
      </w:pPr>
      <w:rPr>
        <w:sz w:val="24"/>
        <w:szCs w:val="24"/>
      </w:rPr>
    </w:lvl>
    <w:lvl w:ilvl="4" w:tentative="0">
      <w:start w:val="1"/>
      <w:numFmt w:val="decimal"/>
      <w:lvlText w:val="%5."/>
      <w:lvlJc w:val="left"/>
      <w:pPr>
        <w:tabs>
          <w:tab w:val="left" w:pos="2398"/>
        </w:tabs>
        <w:ind w:left="2760" w:hanging="360"/>
      </w:pPr>
      <w:rPr>
        <w:sz w:val="24"/>
        <w:szCs w:val="24"/>
      </w:rPr>
    </w:lvl>
    <w:lvl w:ilvl="5" w:tentative="0">
      <w:start w:val="1"/>
      <w:numFmt w:val="decimal"/>
      <w:lvlText w:val="%6."/>
      <w:lvlJc w:val="left"/>
      <w:pPr>
        <w:tabs>
          <w:tab w:val="left" w:pos="3118"/>
        </w:tabs>
        <w:ind w:left="3480" w:hanging="360"/>
      </w:pPr>
      <w:rPr>
        <w:sz w:val="24"/>
        <w:szCs w:val="24"/>
      </w:rPr>
    </w:lvl>
    <w:lvl w:ilvl="6" w:tentative="0">
      <w:start w:val="1"/>
      <w:numFmt w:val="decimal"/>
      <w:lvlText w:val="%7."/>
      <w:lvlJc w:val="left"/>
      <w:pPr>
        <w:tabs>
          <w:tab w:val="left" w:pos="3838"/>
        </w:tabs>
        <w:ind w:left="4200" w:hanging="360"/>
      </w:pPr>
      <w:rPr>
        <w:sz w:val="24"/>
        <w:szCs w:val="24"/>
      </w:rPr>
    </w:lvl>
    <w:lvl w:ilvl="7" w:tentative="0">
      <w:start w:val="1"/>
      <w:numFmt w:val="decimal"/>
      <w:lvlText w:val="%8."/>
      <w:lvlJc w:val="left"/>
      <w:pPr>
        <w:tabs>
          <w:tab w:val="left" w:pos="4558"/>
        </w:tabs>
        <w:ind w:left="4920" w:hanging="360"/>
      </w:pPr>
      <w:rPr>
        <w:sz w:val="24"/>
        <w:szCs w:val="24"/>
      </w:rPr>
    </w:lvl>
    <w:lvl w:ilvl="8" w:tentative="0">
      <w:start w:val="1"/>
      <w:numFmt w:val="decimal"/>
      <w:lvlText w:val="%9."/>
      <w:lvlJc w:val="left"/>
      <w:pPr>
        <w:tabs>
          <w:tab w:val="left" w:pos="5278"/>
        </w:tabs>
        <w:ind w:left="5640" w:hanging="360"/>
      </w:pPr>
      <w:rPr>
        <w:sz w:val="24"/>
        <w:szCs w:val="24"/>
      </w:rPr>
    </w:lvl>
  </w:abstractNum>
  <w:abstractNum w:abstractNumId="11">
    <w:nsid w:val="341E1921"/>
    <w:multiLevelType w:val="singleLevel"/>
    <w:tmpl w:val="341E1921"/>
    <w:lvl w:ilvl="0" w:tentative="0">
      <w:start w:val="1"/>
      <w:numFmt w:val="decimal"/>
      <w:lvlText w:val="(%1)"/>
      <w:lvlJc w:val="left"/>
      <w:pPr>
        <w:tabs>
          <w:tab w:val="left" w:pos="420"/>
        </w:tabs>
        <w:ind w:left="845" w:hanging="425"/>
      </w:pPr>
      <w:rPr>
        <w:rFonts w:hint="default"/>
      </w:rPr>
    </w:lvl>
  </w:abstractNum>
  <w:abstractNum w:abstractNumId="12">
    <w:nsid w:val="35DDBE8E"/>
    <w:multiLevelType w:val="singleLevel"/>
    <w:tmpl w:val="35DDBE8E"/>
    <w:lvl w:ilvl="0" w:tentative="0">
      <w:start w:val="1"/>
      <w:numFmt w:val="decimal"/>
      <w:lvlText w:val="(%1)"/>
      <w:lvlJc w:val="left"/>
      <w:pPr>
        <w:tabs>
          <w:tab w:val="left" w:pos="420"/>
        </w:tabs>
        <w:ind w:left="845" w:hanging="425"/>
      </w:pPr>
      <w:rPr>
        <w:rFonts w:hint="default"/>
      </w:rPr>
    </w:lvl>
  </w:abstractNum>
  <w:abstractNum w:abstractNumId="13">
    <w:nsid w:val="4AAA22CE"/>
    <w:multiLevelType w:val="multilevel"/>
    <w:tmpl w:val="4AAA22CE"/>
    <w:lvl w:ilvl="0" w:tentative="0">
      <w:start w:val="1"/>
      <w:numFmt w:val="japaneseCounting"/>
      <w:lvlText w:val="%1、"/>
      <w:lvlJc w:val="left"/>
      <w:pPr>
        <w:ind w:left="420" w:hanging="420"/>
      </w:pPr>
      <w:rPr>
        <w:rFonts w:hint="eastAsia" w:ascii="黑体" w:hAnsi="黑体" w:eastAsia="黑体" w:cs="黑体"/>
        <w:sz w:val="28"/>
        <w:szCs w:val="2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5190E44C"/>
    <w:multiLevelType w:val="singleLevel"/>
    <w:tmpl w:val="5190E44C"/>
    <w:lvl w:ilvl="0" w:tentative="0">
      <w:start w:val="1"/>
      <w:numFmt w:val="decimal"/>
      <w:lvlText w:val="[%1]"/>
      <w:lvlJc w:val="left"/>
      <w:pPr>
        <w:tabs>
          <w:tab w:val="left" w:pos="420"/>
        </w:tabs>
        <w:ind w:left="425" w:leftChars="0" w:hanging="425" w:firstLineChars="0"/>
      </w:pPr>
      <w:rPr>
        <w:rFonts w:hint="default"/>
      </w:rPr>
    </w:lvl>
  </w:abstractNum>
  <w:abstractNum w:abstractNumId="15">
    <w:nsid w:val="51DA0100"/>
    <w:multiLevelType w:val="singleLevel"/>
    <w:tmpl w:val="51DA0100"/>
    <w:lvl w:ilvl="0" w:tentative="0">
      <w:start w:val="1"/>
      <w:numFmt w:val="decimal"/>
      <w:lvlText w:val="(%1)"/>
      <w:lvlJc w:val="left"/>
      <w:pPr>
        <w:tabs>
          <w:tab w:val="left" w:pos="420"/>
        </w:tabs>
        <w:ind w:left="845" w:hanging="425"/>
      </w:pPr>
      <w:rPr>
        <w:rFonts w:hint="default"/>
      </w:rPr>
    </w:lvl>
  </w:abstractNum>
  <w:abstractNum w:abstractNumId="16">
    <w:nsid w:val="544393EE"/>
    <w:multiLevelType w:val="multilevel"/>
    <w:tmpl w:val="544393EE"/>
    <w:lvl w:ilvl="0" w:tentative="0">
      <w:start w:val="1"/>
      <w:numFmt w:val="bullet"/>
      <w:lvlText w:val=""/>
      <w:lvlJc w:val="left"/>
      <w:pPr>
        <w:tabs>
          <w:tab w:val="left" w:pos="300"/>
        </w:tabs>
        <w:ind w:left="300" w:hanging="360"/>
      </w:pPr>
      <w:rPr>
        <w:rFonts w:hint="default" w:ascii="Symbol" w:hAnsi="Symbol" w:cs="Symbol"/>
        <w:sz w:val="20"/>
      </w:rPr>
    </w:lvl>
    <w:lvl w:ilvl="1" w:tentative="0">
      <w:start w:val="1"/>
      <w:numFmt w:val="bullet"/>
      <w:lvlText w:val="o"/>
      <w:lvlJc w:val="left"/>
      <w:pPr>
        <w:tabs>
          <w:tab w:val="left" w:pos="1020"/>
        </w:tabs>
        <w:ind w:left="1020" w:hanging="360"/>
      </w:pPr>
      <w:rPr>
        <w:rFonts w:hint="default" w:ascii="Courier New" w:hAnsi="Courier New" w:cs="Courier New"/>
        <w:sz w:val="20"/>
      </w:rPr>
    </w:lvl>
    <w:lvl w:ilvl="2" w:tentative="0">
      <w:start w:val="1"/>
      <w:numFmt w:val="bullet"/>
      <w:lvlText w:val=""/>
      <w:lvlJc w:val="left"/>
      <w:pPr>
        <w:tabs>
          <w:tab w:val="left" w:pos="1740"/>
        </w:tabs>
        <w:ind w:left="1740" w:hanging="360"/>
      </w:pPr>
      <w:rPr>
        <w:rFonts w:hint="default" w:ascii="Wingdings" w:hAnsi="Wingdings" w:cs="Wingdings"/>
        <w:sz w:val="20"/>
      </w:rPr>
    </w:lvl>
    <w:lvl w:ilvl="3" w:tentative="0">
      <w:start w:val="1"/>
      <w:numFmt w:val="bullet"/>
      <w:lvlText w:val=""/>
      <w:lvlJc w:val="left"/>
      <w:pPr>
        <w:tabs>
          <w:tab w:val="left" w:pos="2460"/>
        </w:tabs>
        <w:ind w:left="2460" w:hanging="360"/>
      </w:pPr>
      <w:rPr>
        <w:rFonts w:hint="default" w:ascii="Wingdings" w:hAnsi="Wingdings" w:cs="Wingdings"/>
        <w:sz w:val="20"/>
      </w:rPr>
    </w:lvl>
    <w:lvl w:ilvl="4" w:tentative="0">
      <w:start w:val="1"/>
      <w:numFmt w:val="bullet"/>
      <w:lvlText w:val=""/>
      <w:lvlJc w:val="left"/>
      <w:pPr>
        <w:tabs>
          <w:tab w:val="left" w:pos="3180"/>
        </w:tabs>
        <w:ind w:left="3180" w:hanging="360"/>
      </w:pPr>
      <w:rPr>
        <w:rFonts w:hint="default" w:ascii="Wingdings" w:hAnsi="Wingdings" w:cs="Wingdings"/>
        <w:sz w:val="20"/>
      </w:rPr>
    </w:lvl>
    <w:lvl w:ilvl="5" w:tentative="0">
      <w:start w:val="1"/>
      <w:numFmt w:val="bullet"/>
      <w:lvlText w:val=""/>
      <w:lvlJc w:val="left"/>
      <w:pPr>
        <w:tabs>
          <w:tab w:val="left" w:pos="3900"/>
        </w:tabs>
        <w:ind w:left="3900" w:hanging="360"/>
      </w:pPr>
      <w:rPr>
        <w:rFonts w:hint="default" w:ascii="Wingdings" w:hAnsi="Wingdings" w:cs="Wingdings"/>
        <w:sz w:val="20"/>
      </w:rPr>
    </w:lvl>
    <w:lvl w:ilvl="6" w:tentative="0">
      <w:start w:val="1"/>
      <w:numFmt w:val="bullet"/>
      <w:lvlText w:val=""/>
      <w:lvlJc w:val="left"/>
      <w:pPr>
        <w:tabs>
          <w:tab w:val="left" w:pos="4620"/>
        </w:tabs>
        <w:ind w:left="4620" w:hanging="360"/>
      </w:pPr>
      <w:rPr>
        <w:rFonts w:hint="default" w:ascii="Wingdings" w:hAnsi="Wingdings" w:cs="Wingdings"/>
        <w:sz w:val="20"/>
      </w:rPr>
    </w:lvl>
    <w:lvl w:ilvl="7" w:tentative="0">
      <w:start w:val="1"/>
      <w:numFmt w:val="bullet"/>
      <w:lvlText w:val=""/>
      <w:lvlJc w:val="left"/>
      <w:pPr>
        <w:tabs>
          <w:tab w:val="left" w:pos="5340"/>
        </w:tabs>
        <w:ind w:left="5340" w:hanging="360"/>
      </w:pPr>
      <w:rPr>
        <w:rFonts w:hint="default" w:ascii="Wingdings" w:hAnsi="Wingdings" w:cs="Wingdings"/>
        <w:sz w:val="20"/>
      </w:rPr>
    </w:lvl>
    <w:lvl w:ilvl="8" w:tentative="0">
      <w:start w:val="1"/>
      <w:numFmt w:val="bullet"/>
      <w:lvlText w:val=""/>
      <w:lvlJc w:val="left"/>
      <w:pPr>
        <w:tabs>
          <w:tab w:val="left" w:pos="6060"/>
        </w:tabs>
        <w:ind w:left="6060" w:hanging="360"/>
      </w:pPr>
      <w:rPr>
        <w:rFonts w:hint="default" w:ascii="Wingdings" w:hAnsi="Wingdings" w:cs="Wingdings"/>
        <w:sz w:val="20"/>
      </w:rPr>
    </w:lvl>
  </w:abstractNum>
  <w:abstractNum w:abstractNumId="17">
    <w:nsid w:val="54F6A7D8"/>
    <w:multiLevelType w:val="singleLevel"/>
    <w:tmpl w:val="54F6A7D8"/>
    <w:lvl w:ilvl="0" w:tentative="0">
      <w:start w:val="1"/>
      <w:numFmt w:val="decimal"/>
      <w:lvlText w:val="(%1)"/>
      <w:lvlJc w:val="left"/>
      <w:pPr>
        <w:tabs>
          <w:tab w:val="left" w:pos="420"/>
        </w:tabs>
        <w:ind w:left="845" w:hanging="425"/>
      </w:pPr>
      <w:rPr>
        <w:rFonts w:hint="default"/>
      </w:rPr>
    </w:lvl>
  </w:abstractNum>
  <w:abstractNum w:abstractNumId="18">
    <w:nsid w:val="6B6FFC20"/>
    <w:multiLevelType w:val="singleLevel"/>
    <w:tmpl w:val="6B6FFC20"/>
    <w:lvl w:ilvl="0" w:tentative="0">
      <w:start w:val="1"/>
      <w:numFmt w:val="decimal"/>
      <w:lvlText w:val="(%1)"/>
      <w:lvlJc w:val="left"/>
      <w:pPr>
        <w:tabs>
          <w:tab w:val="left" w:pos="420"/>
        </w:tabs>
        <w:ind w:left="845" w:hanging="425"/>
      </w:pPr>
      <w:rPr>
        <w:rFonts w:hint="default"/>
      </w:rPr>
    </w:lvl>
  </w:abstractNum>
  <w:num w:numId="1">
    <w:abstractNumId w:val="13"/>
  </w:num>
  <w:num w:numId="2">
    <w:abstractNumId w:val="8"/>
  </w:num>
  <w:num w:numId="3">
    <w:abstractNumId w:val="9"/>
  </w:num>
  <w:num w:numId="4">
    <w:abstractNumId w:val="17"/>
  </w:num>
  <w:num w:numId="5">
    <w:abstractNumId w:val="6"/>
  </w:num>
  <w:num w:numId="6">
    <w:abstractNumId w:val="3"/>
  </w:num>
  <w:num w:numId="7">
    <w:abstractNumId w:val="0"/>
  </w:num>
  <w:num w:numId="8">
    <w:abstractNumId w:val="5"/>
  </w:num>
  <w:num w:numId="9">
    <w:abstractNumId w:val="16"/>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18"/>
  </w:num>
  <w:num w:numId="13">
    <w:abstractNumId w:val="2"/>
  </w:num>
  <w:num w:numId="14">
    <w:abstractNumId w:val="4"/>
  </w:num>
  <w:num w:numId="15">
    <w:abstractNumId w:val="12"/>
  </w:num>
  <w:num w:numId="16">
    <w:abstractNumId w:val="15"/>
  </w:num>
  <w:num w:numId="17">
    <w:abstractNumId w:val="11"/>
  </w:num>
  <w:num w:numId="18">
    <w:abstractNumId w:val="1"/>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41559E"/>
    <w:rsid w:val="04CC57D4"/>
    <w:rsid w:val="0F0528B4"/>
    <w:rsid w:val="34E63899"/>
    <w:rsid w:val="36751796"/>
    <w:rsid w:val="604155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color w:val="auto"/>
      <w:kern w:val="2"/>
      <w:sz w:val="21"/>
      <w:szCs w:val="21"/>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2025-11-30T03:44:00Z</dcterms:created>
  <dc:creator>鹤汐</dc:creator>
  <cp:lastModifiedBy>鹤汐</cp:lastModifiedBy>
  <dcterms:modified xsi:type="dcterms:W3CDTF">2025-11-30T16:34:05Z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F457E4F090F445E982831D4D93FFFEC6_11</vt:lpwstr>
  </property>
  <property fmtid="{D5CDD505-2E9C-101B-9397-08002B2CF9AE}" pid="4" name="KSOTemplateDocerSaveRecord">
    <vt:lpwstr>eyJoZGlkIjoiNDZiN2RhZGQyMmY1YzdjYzkxMTY5MWJkM2NhYzU0NjUiLCJ1c2VySWQiOiI3MzA1MTQ3MjEifQ==</vt:lpwstr>
  </property>
</Properties>
</file>