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80"/>
        <w:jc w:val="center"/>
      </w:pPr>
      <w:r>
        <w:rPr>
          <w:rFonts w:ascii="Noto Sans" w:hAnsi="Noto Sans"/>
          <w:b/>
          <w:color w:val="17365D"/>
          <w:sz w:val="54"/>
        </w:rPr>
        <w:t>FINITE INFORMATION</w:t>
        <w:br/>
        <w:t>AND INFINITE CONTINUATION</w:t>
      </w:r>
    </w:p>
    <w:p>
      <w:pPr>
        <w:spacing w:after="320"/>
        <w:jc w:val="center"/>
      </w:pPr>
      <w:r>
        <w:rPr>
          <w:rFonts w:ascii="Noto Sans" w:hAnsi="Noto Sans"/>
          <w:color w:val="44546A"/>
          <w:sz w:val="28"/>
        </w:rPr>
        <w:t>What established mathematics already solves, what it does not,</w:t>
        <w:br/>
        <w:t>and a theorem-first research program beyond continued fractions</w:t>
      </w:r>
    </w:p>
    <w:p>
      <w:pPr>
        <w:spacing w:after="600"/>
      </w:pPr>
    </w:p>
    <w:tbl>
      <w:tblPr>
        <w:tblW w:type="auto" w:w="0"/>
        <w:jc w:val="center"/>
        <w:tblLayout w:type="autofit"/>
        <w:tblLook w:firstColumn="1" w:firstRow="1" w:lastColumn="0" w:lastRow="0" w:noHBand="0" w:noVBand="1" w:val="04A0"/>
      </w:tblPr>
      <w:tblGrid>
        <w:gridCol w:w="10166"/>
      </w:tblGrid>
      <w:tr>
        <w:tc>
          <w:tcPr>
            <w:tcW w:type="dxa" w:w="10166"/>
            <w:shd w:fill="DDEBF7"/>
            <w:tcMar>
              <w:top w:w="120" w:type="dxa"/>
              <w:start w:w="150" w:type="dxa"/>
              <w:bottom w:w="120" w:type="dxa"/>
              <w:end w:w="150" w:type="dxa"/>
            </w:tcMar>
            <w:tcBorders>
              <w:left w:val="single" w:sz="18" w:color="2F5597"/>
            </w:tcBorders>
          </w:tcPr>
          <w:p>
            <w:pPr>
              <w:spacing w:after="0"/>
            </w:pPr>
            <w:r>
              <w:rPr>
                <w:b/>
                <w:color w:val="1F4E79"/>
              </w:rPr>
              <w:t>Principal verdict</w:t>
            </w:r>
            <w:r>
              <w:br/>
              <w:t>The qualitative thesis is already a standard consequence of continuous symbolic coding: finite prefixes define nested continuation sets; continuity localizes those sets; the admissible language fixes the asymptotic reachable set. Continued-fraction Experiments 1 and 2 instantiate this established structure. The remaining research opportunity is quantitative and conditional: identify coding-invariant resource laws, or prove precisely how target geometry controls minimum containment cost.</w:t>
            </w:r>
          </w:p>
        </w:tc>
      </w:tr>
    </w:tbl>
    <w:p>
      <w:pPr>
        <w:spacing w:after="0"/>
      </w:pPr>
    </w:p>
    <w:p>
      <w:pPr>
        <w:spacing w:before="680"/>
        <w:jc w:val="center"/>
      </w:pPr>
      <w:r>
        <w:rPr>
          <w:rFonts w:ascii="Noto Sans" w:hAnsi="Noto Sans"/>
          <w:b/>
          <w:sz w:val="22"/>
        </w:rPr>
        <w:t>Scientific synthesis and novelty audit</w:t>
      </w:r>
    </w:p>
    <w:p>
      <w:pPr>
        <w:jc w:val="center"/>
      </w:pPr>
      <w:r>
        <w:rPr>
          <w:rFonts w:ascii="Tinos" w:hAnsi="Tinos"/>
          <w:sz w:val="21"/>
        </w:rPr>
        <w:t>Prepared for the Apophatic Relational Geometry research program</w:t>
      </w:r>
    </w:p>
    <w:p>
      <w:pPr>
        <w:jc w:val="center"/>
      </w:pPr>
      <w:r>
        <w:rPr>
          <w:rFonts w:ascii="Tinos" w:hAnsi="Tinos"/>
          <w:sz w:val="21"/>
        </w:rPr>
        <w:t>6 August 2026</w:t>
      </w:r>
    </w:p>
    <w:p>
      <w:r>
        <w:br w:type="page"/>
      </w:r>
    </w:p>
    <w:p>
      <w:bookmarkStart w:id="1" w:name="abstract"/>
      <w:pPr>
        <w:pStyle w:val="Heading1"/>
        <w:keepNext/>
      </w:pPr>
      <w:r>
        <w:t>Abstract</w:t>
      </w:r>
      <w:bookmarkEnd w:id="1"/>
    </w:p>
    <w:p>
      <w:pPr>
        <w:spacing w:after="80"/>
      </w:pPr>
      <w:r>
        <w:t>This paper reconstructs the research question behind three continued-fraction experiments: whether finite organization governs, restricts, and localizes infinite continuation. It then asks what established mathematics already proves across topology, symbolic dynamics, automata theory, iterated function systems, information theory, ergodic theory, domain theory, predictive-state modeling, number systems, and symbolic control. The central result is a synthesis theorem, not a new theorem: if an infinite object is represented by a compact symbolic space and a continuous coding map, every finite prefix defines a nested continuation set, and the diameters of those sets shrink uniformly. An open target contains a complete continuation set exactly when it intersects the coded reachable set. Restricting the alphabet or admissible language changes the reachable set; increasing depth only refines localization within it. This theorem subsumes the qualitative conclusions of Continued-Fraction Experiments 1 and 2. Their exact finite tables remain valid computational certificates, but they do not establish new foundational mathematics. The proposed Experiment 3 quantities are then audited. Minimum raw depth and alphabet size are not intrinsic: block recoding changes them without changing the represented object. Geometric overshoot is more defensible, but remains coordinate- and target-dependent. The paper therefore terminates the broad experimental program and replaces it with a theorem-first program. The strongest immediate candidate is a target-clearance law relating minimum geometric overshoot to the largest attractor-centered ball contained in a target. A small certified experiment is specified only as a conjecture discriminator and proof-development instrument.</w:t>
      </w:r>
    </w:p>
    <w:p>
      <w:pPr>
        <w:pStyle w:val="Heading2"/>
        <w:keepNext/>
      </w:pPr>
      <w:r>
        <w:t>Scope and evidentiary standard</w:t>
      </w:r>
    </w:p>
    <w:p>
      <w:pPr>
        <w:spacing w:after="80"/>
      </w:pPr>
      <w:r>
        <w:t>The review distinguishes four evidentiary levels: peer-reviewed theorem, established textbook synthesis, project computation, and candidate open problem. A quantity is not treated as novel merely because its notation or control-theoretic interpretation is new. A problem is called an open candidate only when the reviewed literature does not provide an equivalent theorem; that label is not a substitute for a specialist MathSciNet or Zentralblatt novelty search.</w:t>
      </w:r>
    </w:p>
    <w:p>
      <w:bookmarkStart w:id="2" w:name="contents"/>
      <w:pPr>
        <w:pStyle w:val="Heading1"/>
        <w:keepNext/>
      </w:pPr>
      <w:r>
        <w:t>Contents</w:t>
      </w:r>
      <w:bookmarkEnd w:id="2"/>
    </w:p>
    <w:p>
      <w:pPr>
        <w:spacing w:after="30"/>
        <w:ind w:left="259"/>
      </w:pPr>
      <w:hyperlink w:anchor="exec">
        <w:r>
          <w:rPr>
            <w:color w:val="2F5597"/>
            <w:u w:val="single"/>
          </w:rPr>
          <w:t>1. Executive findings</w:t>
        </w:r>
      </w:hyperlink>
    </w:p>
    <w:p>
      <w:pPr>
        <w:spacing w:after="30"/>
        <w:ind w:left="259"/>
      </w:pPr>
      <w:hyperlink w:anchor="question">
        <w:r>
          <w:rPr>
            <w:color w:val="2F5597"/>
            <w:u w:val="single"/>
          </w:rPr>
          <w:t>2. The actual research question</w:t>
        </w:r>
      </w:hyperlink>
    </w:p>
    <w:p>
      <w:pPr>
        <w:spacing w:after="30"/>
        <w:ind w:left="259"/>
      </w:pPr>
      <w:hyperlink w:anchor="model">
        <w:r>
          <w:rPr>
            <w:color w:val="2F5597"/>
            <w:u w:val="single"/>
          </w:rPr>
          <w:t>3. General mathematical model</w:t>
        </w:r>
      </w:hyperlink>
    </w:p>
    <w:p>
      <w:pPr>
        <w:spacing w:after="30"/>
        <w:ind w:left="259"/>
      </w:pPr>
      <w:hyperlink w:anchor="theorem">
        <w:r>
          <w:rPr>
            <w:color w:val="2F5597"/>
            <w:u w:val="single"/>
          </w:rPr>
          <w:t>4. The standard coding theorem</w:t>
        </w:r>
      </w:hyperlink>
    </w:p>
    <w:p>
      <w:pPr>
        <w:spacing w:after="30"/>
        <w:ind w:left="259"/>
      </w:pPr>
      <w:hyperlink w:anchor="fields">
        <w:r>
          <w:rPr>
            <w:color w:val="2F5597"/>
            <w:u w:val="single"/>
          </w:rPr>
          <w:t>5. What each established field already contributes</w:t>
        </w:r>
      </w:hyperlink>
    </w:p>
    <w:p>
      <w:pPr>
        <w:spacing w:after="30"/>
        <w:ind w:left="259"/>
      </w:pPr>
      <w:hyperlink w:anchor="cf">
        <w:r>
          <w:rPr>
            <w:color w:val="2F5597"/>
            <w:u w:val="single"/>
          </w:rPr>
          <w:t>6. Continued fractions as one special case</w:t>
        </w:r>
      </w:hyperlink>
    </w:p>
    <w:p>
      <w:pPr>
        <w:spacing w:after="30"/>
        <w:ind w:left="259"/>
      </w:pPr>
      <w:hyperlink w:anchor="universal">
        <w:r>
          <w:rPr>
            <w:color w:val="2F5597"/>
            <w:u w:val="single"/>
          </w:rPr>
          <w:t>7. What is genuinely universal - and what is not</w:t>
        </w:r>
      </w:hyperlink>
    </w:p>
    <w:p>
      <w:pPr>
        <w:spacing w:after="30"/>
        <w:ind w:left="259"/>
      </w:pPr>
      <w:hyperlink w:anchor="audit">
        <w:r>
          <w:rPr>
            <w:color w:val="2F5597"/>
            <w:u w:val="single"/>
          </w:rPr>
          <w:t>8. Novelty audit of Experiments 1-3</w:t>
        </w:r>
      </w:hyperlink>
    </w:p>
    <w:p>
      <w:pPr>
        <w:spacing w:after="30"/>
        <w:ind w:left="259"/>
      </w:pPr>
      <w:hyperlink w:anchor="open">
        <w:r>
          <w:rPr>
            <w:color w:val="2F5597"/>
            <w:u w:val="single"/>
          </w:rPr>
          <w:t>9. Research questions that remain defensible</w:t>
        </w:r>
      </w:hyperlink>
    </w:p>
    <w:p>
      <w:pPr>
        <w:spacing w:after="30"/>
        <w:ind w:left="259"/>
      </w:pPr>
      <w:hyperlink w:anchor="experiments">
        <w:r>
          <w:rPr>
            <w:color w:val="2F5597"/>
            <w:u w:val="single"/>
          </w:rPr>
          <w:t>10. Exact theorem-first experimental program</w:t>
        </w:r>
      </w:hyperlink>
    </w:p>
    <w:p>
      <w:pPr>
        <w:spacing w:after="30"/>
        <w:ind w:left="259"/>
      </w:pPr>
      <w:hyperlink w:anchor="decision">
        <w:r>
          <w:rPr>
            <w:color w:val="2F5597"/>
            <w:u w:val="single"/>
          </w:rPr>
          <w:t>11. Decision and roadmap</w:t>
        </w:r>
      </w:hyperlink>
    </w:p>
    <w:p>
      <w:pPr>
        <w:spacing w:after="30"/>
        <w:ind w:left="259"/>
      </w:pPr>
      <w:hyperlink w:anchor="appa">
        <w:r>
          <w:rPr>
            <w:color w:val="2F5597"/>
            <w:u w:val="single"/>
          </w:rPr>
          <w:t>Appendix A. Project evidence</w:t>
        </w:r>
      </w:hyperlink>
    </w:p>
    <w:p>
      <w:pPr>
        <w:spacing w:after="30"/>
        <w:ind w:left="259"/>
      </w:pPr>
      <w:hyperlink w:anchor="appb">
        <w:r>
          <w:rPr>
            <w:color w:val="2F5597"/>
            <w:u w:val="single"/>
          </w:rPr>
          <w:t>Appendix B. Proof details and counterexamples</w:t>
        </w:r>
      </w:hyperlink>
    </w:p>
    <w:p>
      <w:pPr>
        <w:spacing w:after="30"/>
        <w:ind w:left="259"/>
      </w:pPr>
      <w:hyperlink w:anchor="refs">
        <w:r>
          <w:rPr>
            <w:color w:val="2F5597"/>
            <w:u w:val="single"/>
          </w:rPr>
          <w:t>References</w:t>
        </w:r>
      </w:hyperlink>
    </w:p>
    <w:p>
      <w:r>
        <w:br w:type="page"/>
      </w:r>
    </w:p>
    <w:p>
      <w:bookmarkStart w:id="10" w:name="exec"/>
      <w:pPr>
        <w:pStyle w:val="Heading1"/>
        <w:keepNext/>
      </w:pPr>
      <w:r>
        <w:t>1. Executive findings</w:t>
      </w:r>
      <w:bookmarkEnd w:id="10"/>
    </w:p>
    <w:tbl>
      <w:tblPr>
        <w:tblW w:type="auto" w:w="0"/>
        <w:jc w:val="center"/>
        <w:tblLayout w:type="autofit"/>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Borders>
              <w:left w:val="single" w:sz="18" w:color="70AD47"/>
            </w:tcBorders>
          </w:tcPr>
          <w:p>
            <w:pPr>
              <w:spacing w:after="0"/>
            </w:pPr>
            <w:r>
              <w:rPr>
                <w:b/>
                <w:color w:val="1F4E79"/>
              </w:rPr>
              <w:t>Bottom line</w:t>
            </w:r>
            <w:r>
              <w:br/>
              <w:t>The broad question is solved under explicit assumptions. The correct scientific statement is conditional, not metaphysical: in a compact symbolic coding with a continuous decoder, finite prefixes localize the set of compatible infinite continuations. The admissible language determines the asymptotic possibility set. Entropy, contraction, Lyapunov exponents, and dimension quantify the rate and residual freedom.</w:t>
            </w:r>
          </w:p>
        </w:tc>
      </w:tr>
    </w:tbl>
    <w:p>
      <w:pPr>
        <w:spacing w:after="0"/>
      </w:pPr>
    </w:p>
    <w:p>
      <w:pPr>
        <w:spacing w:after="40"/>
        <w:ind w:left="403" w:hanging="346"/>
      </w:pPr>
      <w:r>
        <w:rPr>
          <w:b w:val="0"/>
        </w:rPr>
        <w:t xml:space="preserve">1. </w:t>
      </w:r>
      <w:r>
        <w:t>Experiment 1 reproduced continued-fraction cylinder and continuant theory. Finite prefixes define exact cylinders; convergent denominators determine width; digit order affects continuants and therefore width.</w:t>
      </w:r>
    </w:p>
    <w:p>
      <w:pPr>
        <w:spacing w:after="40"/>
        <w:ind w:left="403" w:hanging="346"/>
      </w:pPr>
      <w:r>
        <w:rPr>
          <w:b w:val="0"/>
        </w:rPr>
        <w:t xml:space="preserve">2. </w:t>
      </w:r>
      <w:r>
        <w:t>Experiment 2 reproduced restricted-digit continued-fraction Cantor-set theory. A bounded alphabet fixes a compact fractal reachable set with permanent complementary gaps. Greater depth resolves the set but does not enlarge it.</w:t>
      </w:r>
    </w:p>
    <w:p>
      <w:pPr>
        <w:spacing w:after="40"/>
        <w:ind w:left="403" w:hanging="346"/>
      </w:pPr>
      <w:r>
        <w:rPr>
          <w:b w:val="0"/>
        </w:rPr>
        <w:t xml:space="preserve">3. </w:t>
      </w:r>
      <w:r>
        <w:t>The project computations are still useful. They verify the implementation, give exact finite-resolution counts, expose greedy failures, and provide reproducible examples. Their scientific role is validation and illustration, not foundational discovery.</w:t>
      </w:r>
    </w:p>
    <w:p>
      <w:pPr>
        <w:spacing w:after="40"/>
        <w:ind w:left="403" w:hanging="346"/>
      </w:pPr>
      <w:r>
        <w:rPr>
          <w:b w:val="0"/>
        </w:rPr>
        <w:t xml:space="preserve">4. </w:t>
      </w:r>
      <w:r>
        <w:t>The cross-disciplinary principle is older and broader than continued fractions. It appears as cylinder sets in symbolic dynamics, right-congruence classes in automata, cells in iterated function systems, finite approximants in domain theory, causal states in computational mechanics, and finite abstractions in control.</w:t>
      </w:r>
    </w:p>
    <w:p>
      <w:pPr>
        <w:spacing w:after="40"/>
        <w:ind w:left="403" w:hanging="346"/>
      </w:pPr>
      <w:r>
        <w:rPr>
          <w:b w:val="0"/>
        </w:rPr>
        <w:t xml:space="preserve">5. </w:t>
      </w:r>
      <w:r>
        <w:t>The principle is not universally valid without assumptions. Discontinuous codes, noncompact spaces, expanding forward dynamics, and Turing-complete systems defeat uniform localization, computability, or decidability.</w:t>
      </w:r>
    </w:p>
    <w:p>
      <w:pPr>
        <w:spacing w:after="40"/>
        <w:ind w:left="403" w:hanging="346"/>
      </w:pPr>
      <w:r>
        <w:rPr>
          <w:b w:val="0"/>
        </w:rPr>
        <w:t xml:space="preserve">6. </w:t>
      </w:r>
      <w:r>
        <w:t>Experiment 3 should not be run in its present large-grid form. Raw depth and alphabet ceiling are representation-dependent. A block code can divide depth by two and square the alphabet without changing the represented set or outcomes.</w:t>
      </w:r>
    </w:p>
    <w:p>
      <w:pPr>
        <w:spacing w:after="40"/>
        <w:ind w:left="403" w:hanging="346"/>
      </w:pPr>
      <w:r>
        <w:rPr>
          <w:b w:val="0"/>
        </w:rPr>
        <w:t xml:space="preserve">7. </w:t>
      </w:r>
      <w:r>
        <w:t>The defensible research opportunity is to identify normalized or geometric costs that are stable under a declared class of recodings, then prove target-conditioned scaling laws. Computation should test a precise conjecture, not discover a vocabulary.</w:t>
      </w:r>
    </w:p>
    <w:p>
      <w:pPr>
        <w:pStyle w:val="Heading2"/>
        <w:keepNext/>
      </w:pPr>
      <w:r>
        <w:t>1.1 Status matrix</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952"/>
            <w:shd w:fill="D9EAF7"/>
            <w:tcMar>
              <w:top w:w="80" w:type="dxa"/>
              <w:start w:w="90" w:type="dxa"/>
              <w:bottom w:w="80" w:type="dxa"/>
              <w:end w:w="90" w:type="dxa"/>
            </w:tcMar>
            <w:vAlign w:val="center"/>
          </w:tcPr>
          <w:p>
            <w:pPr>
              <w:jc w:val="left"/>
            </w:pPr>
            <w:r>
              <w:rPr>
                <w:b/>
                <w:sz w:val="16"/>
              </w:rPr>
              <w:t>Question</w:t>
            </w:r>
          </w:p>
        </w:tc>
        <w:tc>
          <w:tcPr>
            <w:tcW w:type="dxa" w:w="1224"/>
            <w:shd w:fill="D9EAF7"/>
            <w:tcMar>
              <w:top w:w="80" w:type="dxa"/>
              <w:start w:w="90" w:type="dxa"/>
              <w:bottom w:w="80" w:type="dxa"/>
              <w:end w:w="90" w:type="dxa"/>
            </w:tcMar>
            <w:vAlign w:val="center"/>
          </w:tcPr>
          <w:p>
            <w:pPr>
              <w:jc w:val="left"/>
            </w:pPr>
            <w:r>
              <w:rPr>
                <w:b/>
                <w:sz w:val="16"/>
              </w:rPr>
              <w:t>Status</w:t>
            </w:r>
          </w:p>
        </w:tc>
        <w:tc>
          <w:tcPr>
            <w:tcW w:type="dxa" w:w="3096"/>
            <w:shd w:fill="D9EAF7"/>
            <w:tcMar>
              <w:top w:w="80" w:type="dxa"/>
              <w:start w:w="90" w:type="dxa"/>
              <w:bottom w:w="80" w:type="dxa"/>
              <w:end w:w="90" w:type="dxa"/>
            </w:tcMar>
            <w:vAlign w:val="center"/>
          </w:tcPr>
          <w:p>
            <w:pPr>
              <w:jc w:val="left"/>
            </w:pPr>
            <w:r>
              <w:rPr>
                <w:b/>
                <w:sz w:val="16"/>
              </w:rPr>
              <w:t>Established framework</w:t>
            </w:r>
          </w:p>
        </w:tc>
        <w:tc>
          <w:tcPr>
            <w:tcW w:type="dxa" w:w="2448"/>
            <w:shd w:fill="D9EAF7"/>
            <w:tcMar>
              <w:top w:w="80" w:type="dxa"/>
              <w:start w:w="90" w:type="dxa"/>
              <w:bottom w:w="80" w:type="dxa"/>
              <w:end w:w="90" w:type="dxa"/>
            </w:tcMar>
            <w:vAlign w:val="center"/>
          </w:tcPr>
          <w:p>
            <w:pPr>
              <w:jc w:val="left"/>
            </w:pPr>
            <w:r>
              <w:rPr>
                <w:b/>
                <w:sz w:val="16"/>
              </w:rPr>
              <w:t>Action</w:t>
            </w:r>
          </w:p>
        </w:tc>
      </w:tr>
      <w:tr>
        <w:tc>
          <w:tcPr>
            <w:tcW w:type="dxa" w:w="2952"/>
            <w:tcMar>
              <w:top w:w="80" w:type="dxa"/>
              <w:start w:w="90" w:type="dxa"/>
              <w:bottom w:w="80" w:type="dxa"/>
              <w:end w:w="90" w:type="dxa"/>
            </w:tcMar>
            <w:vAlign w:val="top"/>
          </w:tcPr>
          <w:p>
            <w:pPr>
              <w:spacing w:after="0" w:line="240" w:lineRule="auto"/>
            </w:pPr>
            <w:r>
              <w:rPr>
                <w:sz w:val="16"/>
              </w:rPr>
              <w:t>Finite prefix defines compatible continuation set</w:t>
            </w:r>
          </w:p>
        </w:tc>
        <w:tc>
          <w:tcPr>
            <w:tcW w:type="dxa" w:w="1224"/>
            <w:tcMar>
              <w:top w:w="80" w:type="dxa"/>
              <w:start w:w="90" w:type="dxa"/>
              <w:bottom w:w="80" w:type="dxa"/>
              <w:end w:w="90" w:type="dxa"/>
            </w:tcMar>
            <w:vAlign w:val="top"/>
          </w:tcPr>
          <w:p>
            <w:pPr>
              <w:spacing w:after="0" w:line="240" w:lineRule="auto"/>
            </w:pPr>
            <w:r>
              <w:rPr>
                <w:sz w:val="16"/>
              </w:rPr>
              <w:t>Solved</w:t>
            </w:r>
          </w:p>
        </w:tc>
        <w:tc>
          <w:tcPr>
            <w:tcW w:type="dxa" w:w="3096"/>
            <w:tcMar>
              <w:top w:w="80" w:type="dxa"/>
              <w:start w:w="90" w:type="dxa"/>
              <w:bottom w:w="80" w:type="dxa"/>
              <w:end w:w="90" w:type="dxa"/>
            </w:tcMar>
            <w:vAlign w:val="top"/>
          </w:tcPr>
          <w:p>
            <w:pPr>
              <w:spacing w:after="0" w:line="240" w:lineRule="auto"/>
            </w:pPr>
            <w:r>
              <w:rPr>
                <w:sz w:val="16"/>
              </w:rPr>
              <w:t>Cylinder sets / prefix topology</w:t>
            </w:r>
          </w:p>
        </w:tc>
        <w:tc>
          <w:tcPr>
            <w:tcW w:type="dxa" w:w="2448"/>
            <w:tcMar>
              <w:top w:w="80" w:type="dxa"/>
              <w:start w:w="90" w:type="dxa"/>
              <w:bottom w:w="80" w:type="dxa"/>
              <w:end w:w="90" w:type="dxa"/>
            </w:tcMar>
            <w:vAlign w:val="top"/>
          </w:tcPr>
          <w:p>
            <w:pPr>
              <w:spacing w:after="0" w:line="240" w:lineRule="auto"/>
            </w:pPr>
            <w:r>
              <w:rPr>
                <w:sz w:val="16"/>
              </w:rPr>
              <w:t>No experiment</w:t>
            </w:r>
          </w:p>
        </w:tc>
      </w:tr>
      <w:tr>
        <w:tc>
          <w:tcPr>
            <w:tcW w:type="dxa" w:w="2952"/>
            <w:shd w:fill="F7F9FB"/>
            <w:tcMar>
              <w:top w:w="80" w:type="dxa"/>
              <w:start w:w="90" w:type="dxa"/>
              <w:bottom w:w="80" w:type="dxa"/>
              <w:end w:w="90" w:type="dxa"/>
            </w:tcMar>
            <w:vAlign w:val="top"/>
          </w:tcPr>
          <w:p>
            <w:pPr>
              <w:spacing w:after="0" w:line="240" w:lineRule="auto"/>
            </w:pPr>
            <w:r>
              <w:rPr>
                <w:sz w:val="16"/>
              </w:rPr>
              <w:t>Longer prefix localizes under continuous compact coding</w:t>
            </w:r>
          </w:p>
        </w:tc>
        <w:tc>
          <w:tcPr>
            <w:tcW w:type="dxa" w:w="1224"/>
            <w:shd w:fill="F7F9FB"/>
            <w:tcMar>
              <w:top w:w="80" w:type="dxa"/>
              <w:start w:w="90" w:type="dxa"/>
              <w:bottom w:w="80" w:type="dxa"/>
              <w:end w:w="90" w:type="dxa"/>
            </w:tcMar>
            <w:vAlign w:val="top"/>
          </w:tcPr>
          <w:p>
            <w:pPr>
              <w:spacing w:after="0" w:line="240" w:lineRule="auto"/>
            </w:pPr>
            <w:r>
              <w:rPr>
                <w:sz w:val="16"/>
              </w:rPr>
              <w:t>Solved</w:t>
            </w:r>
          </w:p>
        </w:tc>
        <w:tc>
          <w:tcPr>
            <w:tcW w:type="dxa" w:w="3096"/>
            <w:shd w:fill="F7F9FB"/>
            <w:tcMar>
              <w:top w:w="80" w:type="dxa"/>
              <w:start w:w="90" w:type="dxa"/>
              <w:bottom w:w="80" w:type="dxa"/>
              <w:end w:w="90" w:type="dxa"/>
            </w:tcMar>
            <w:vAlign w:val="top"/>
          </w:tcPr>
          <w:p>
            <w:pPr>
              <w:spacing w:after="0" w:line="240" w:lineRule="auto"/>
            </w:pPr>
            <w:r>
              <w:rPr>
                <w:sz w:val="16"/>
              </w:rPr>
              <w:t>Uniform continuity on compact symbolic space</w:t>
            </w:r>
          </w:p>
        </w:tc>
        <w:tc>
          <w:tcPr>
            <w:tcW w:type="dxa" w:w="2448"/>
            <w:shd w:fill="F7F9FB"/>
            <w:tcMar>
              <w:top w:w="80" w:type="dxa"/>
              <w:start w:w="90" w:type="dxa"/>
              <w:bottom w:w="80" w:type="dxa"/>
              <w:end w:w="90" w:type="dxa"/>
            </w:tcMar>
            <w:vAlign w:val="top"/>
          </w:tcPr>
          <w:p>
            <w:pPr>
              <w:spacing w:after="0" w:line="240" w:lineRule="auto"/>
            </w:pPr>
            <w:r>
              <w:rPr>
                <w:sz w:val="16"/>
              </w:rPr>
              <w:t>No experiment</w:t>
            </w:r>
          </w:p>
        </w:tc>
      </w:tr>
      <w:tr>
        <w:tc>
          <w:tcPr>
            <w:tcW w:type="dxa" w:w="2952"/>
            <w:tcMar>
              <w:top w:w="80" w:type="dxa"/>
              <w:start w:w="90" w:type="dxa"/>
              <w:bottom w:w="80" w:type="dxa"/>
              <w:end w:w="90" w:type="dxa"/>
            </w:tcMar>
            <w:vAlign w:val="top"/>
          </w:tcPr>
          <w:p>
            <w:pPr>
              <w:spacing w:after="0" w:line="240" w:lineRule="auto"/>
            </w:pPr>
            <w:r>
              <w:rPr>
                <w:sz w:val="16"/>
              </w:rPr>
              <w:t>Restricted alphabet/language fixes reachable set</w:t>
            </w:r>
          </w:p>
        </w:tc>
        <w:tc>
          <w:tcPr>
            <w:tcW w:type="dxa" w:w="1224"/>
            <w:tcMar>
              <w:top w:w="80" w:type="dxa"/>
              <w:start w:w="90" w:type="dxa"/>
              <w:bottom w:w="80" w:type="dxa"/>
              <w:end w:w="90" w:type="dxa"/>
            </w:tcMar>
            <w:vAlign w:val="top"/>
          </w:tcPr>
          <w:p>
            <w:pPr>
              <w:spacing w:after="0" w:line="240" w:lineRule="auto"/>
            </w:pPr>
            <w:r>
              <w:rPr>
                <w:sz w:val="16"/>
              </w:rPr>
              <w:t>Solved</w:t>
            </w:r>
          </w:p>
        </w:tc>
        <w:tc>
          <w:tcPr>
            <w:tcW w:type="dxa" w:w="3096"/>
            <w:tcMar>
              <w:top w:w="80" w:type="dxa"/>
              <w:start w:w="90" w:type="dxa"/>
              <w:bottom w:w="80" w:type="dxa"/>
              <w:end w:w="90" w:type="dxa"/>
            </w:tcMar>
            <w:vAlign w:val="top"/>
          </w:tcPr>
          <w:p>
            <w:pPr>
              <w:spacing w:after="0" w:line="240" w:lineRule="auto"/>
            </w:pPr>
            <w:r>
              <w:rPr>
                <w:sz w:val="16"/>
              </w:rPr>
              <w:t>Subshifts, IFS attractors, automata languages</w:t>
            </w:r>
          </w:p>
        </w:tc>
        <w:tc>
          <w:tcPr>
            <w:tcW w:type="dxa" w:w="2448"/>
            <w:tcMar>
              <w:top w:w="80" w:type="dxa"/>
              <w:start w:w="90" w:type="dxa"/>
              <w:bottom w:w="80" w:type="dxa"/>
              <w:end w:w="90" w:type="dxa"/>
            </w:tcMar>
            <w:vAlign w:val="top"/>
          </w:tcPr>
          <w:p>
            <w:pPr>
              <w:spacing w:after="0" w:line="240" w:lineRule="auto"/>
            </w:pPr>
            <w:r>
              <w:rPr>
                <w:sz w:val="16"/>
              </w:rPr>
              <w:t>No experiment</w:t>
            </w:r>
          </w:p>
        </w:tc>
      </w:tr>
      <w:tr>
        <w:tc>
          <w:tcPr>
            <w:tcW w:type="dxa" w:w="2952"/>
            <w:shd w:fill="F7F9FB"/>
            <w:tcMar>
              <w:top w:w="80" w:type="dxa"/>
              <w:start w:w="90" w:type="dxa"/>
              <w:bottom w:w="80" w:type="dxa"/>
              <w:end w:w="90" w:type="dxa"/>
            </w:tcMar>
            <w:vAlign w:val="top"/>
          </w:tcPr>
          <w:p>
            <w:pPr>
              <w:spacing w:after="0" w:line="240" w:lineRule="auto"/>
            </w:pPr>
            <w:r>
              <w:rPr>
                <w:sz w:val="16"/>
              </w:rPr>
              <w:t>Permanent gaps for bounded continued-fraction digits</w:t>
            </w:r>
          </w:p>
        </w:tc>
        <w:tc>
          <w:tcPr>
            <w:tcW w:type="dxa" w:w="1224"/>
            <w:shd w:fill="F7F9FB"/>
            <w:tcMar>
              <w:top w:w="80" w:type="dxa"/>
              <w:start w:w="90" w:type="dxa"/>
              <w:bottom w:w="80" w:type="dxa"/>
              <w:end w:w="90" w:type="dxa"/>
            </w:tcMar>
            <w:vAlign w:val="top"/>
          </w:tcPr>
          <w:p>
            <w:pPr>
              <w:spacing w:after="0" w:line="240" w:lineRule="auto"/>
            </w:pPr>
            <w:r>
              <w:rPr>
                <w:sz w:val="16"/>
              </w:rPr>
              <w:t>Solved</w:t>
            </w:r>
          </w:p>
        </w:tc>
        <w:tc>
          <w:tcPr>
            <w:tcW w:type="dxa" w:w="3096"/>
            <w:shd w:fill="F7F9FB"/>
            <w:tcMar>
              <w:top w:w="80" w:type="dxa"/>
              <w:start w:w="90" w:type="dxa"/>
              <w:bottom w:w="80" w:type="dxa"/>
              <w:end w:w="90" w:type="dxa"/>
            </w:tcMar>
            <w:vAlign w:val="top"/>
          </w:tcPr>
          <w:p>
            <w:pPr>
              <w:spacing w:after="0" w:line="240" w:lineRule="auto"/>
            </w:pPr>
            <w:r>
              <w:rPr>
                <w:sz w:val="16"/>
              </w:rPr>
              <w:t>Continued-fraction Cantor sets</w:t>
            </w:r>
          </w:p>
        </w:tc>
        <w:tc>
          <w:tcPr>
            <w:tcW w:type="dxa" w:w="2448"/>
            <w:shd w:fill="F7F9FB"/>
            <w:tcMar>
              <w:top w:w="80" w:type="dxa"/>
              <w:start w:w="90" w:type="dxa"/>
              <w:bottom w:w="80" w:type="dxa"/>
              <w:end w:w="90" w:type="dxa"/>
            </w:tcMar>
            <w:vAlign w:val="top"/>
          </w:tcPr>
          <w:p>
            <w:pPr>
              <w:spacing w:after="0" w:line="240" w:lineRule="auto"/>
            </w:pPr>
            <w:r>
              <w:rPr>
                <w:sz w:val="16"/>
              </w:rPr>
              <w:t>No experiment</w:t>
            </w:r>
          </w:p>
        </w:tc>
      </w:tr>
      <w:tr>
        <w:tc>
          <w:tcPr>
            <w:tcW w:type="dxa" w:w="2952"/>
            <w:tcMar>
              <w:top w:w="80" w:type="dxa"/>
              <w:start w:w="90" w:type="dxa"/>
              <w:bottom w:w="80" w:type="dxa"/>
              <w:end w:w="90" w:type="dxa"/>
            </w:tcMar>
            <w:vAlign w:val="top"/>
          </w:tcPr>
          <w:p>
            <w:pPr>
              <w:spacing w:after="0" w:line="240" w:lineRule="auto"/>
            </w:pPr>
            <w:r>
              <w:rPr>
                <w:sz w:val="16"/>
              </w:rPr>
              <w:t>Order changes continued-fraction focusing</w:t>
            </w:r>
          </w:p>
        </w:tc>
        <w:tc>
          <w:tcPr>
            <w:tcW w:type="dxa" w:w="1224"/>
            <w:tcMar>
              <w:top w:w="80" w:type="dxa"/>
              <w:start w:w="90" w:type="dxa"/>
              <w:bottom w:w="80" w:type="dxa"/>
              <w:end w:w="90" w:type="dxa"/>
            </w:tcMar>
            <w:vAlign w:val="top"/>
          </w:tcPr>
          <w:p>
            <w:pPr>
              <w:spacing w:after="0" w:line="240" w:lineRule="auto"/>
            </w:pPr>
            <w:r>
              <w:rPr>
                <w:sz w:val="16"/>
              </w:rPr>
              <w:t>Solved as phenomenon</w:t>
            </w:r>
          </w:p>
        </w:tc>
        <w:tc>
          <w:tcPr>
            <w:tcW w:type="dxa" w:w="3096"/>
            <w:tcMar>
              <w:top w:w="80" w:type="dxa"/>
              <w:start w:w="90" w:type="dxa"/>
              <w:bottom w:w="80" w:type="dxa"/>
              <w:end w:w="90" w:type="dxa"/>
            </w:tcMar>
            <w:vAlign w:val="top"/>
          </w:tcPr>
          <w:p>
            <w:pPr>
              <w:spacing w:after="0" w:line="240" w:lineRule="auto"/>
            </w:pPr>
            <w:r>
              <w:rPr>
                <w:sz w:val="16"/>
              </w:rPr>
              <w:t>Continuants and rearrangement theory</w:t>
            </w:r>
          </w:p>
        </w:tc>
        <w:tc>
          <w:tcPr>
            <w:tcW w:type="dxa" w:w="2448"/>
            <w:tcMar>
              <w:top w:w="80" w:type="dxa"/>
              <w:start w:w="90" w:type="dxa"/>
              <w:bottom w:w="80" w:type="dxa"/>
              <w:end w:w="90" w:type="dxa"/>
            </w:tcMar>
            <w:vAlign w:val="top"/>
          </w:tcPr>
          <w:p>
            <w:pPr>
              <w:spacing w:after="0" w:line="240" w:lineRule="auto"/>
            </w:pPr>
            <w:r>
              <w:rPr>
                <w:sz w:val="16"/>
              </w:rPr>
              <w:t>No broad experiment</w:t>
            </w:r>
          </w:p>
        </w:tc>
      </w:tr>
      <w:tr>
        <w:tc>
          <w:tcPr>
            <w:tcW w:type="dxa" w:w="2952"/>
            <w:shd w:fill="F7F9FB"/>
            <w:tcMar>
              <w:top w:w="80" w:type="dxa"/>
              <w:start w:w="90" w:type="dxa"/>
              <w:bottom w:w="80" w:type="dxa"/>
              <w:end w:w="90" w:type="dxa"/>
            </w:tcMar>
            <w:vAlign w:val="top"/>
          </w:tcPr>
          <w:p>
            <w:pPr>
              <w:spacing w:after="0" w:line="240" w:lineRule="auto"/>
            </w:pPr>
            <w:r>
              <w:rPr>
                <w:sz w:val="16"/>
              </w:rPr>
              <w:t>Raw minimum depth as intrinsic cost</w:t>
            </w:r>
          </w:p>
        </w:tc>
        <w:tc>
          <w:tcPr>
            <w:tcW w:type="dxa" w:w="1224"/>
            <w:shd w:fill="F7F9FB"/>
            <w:tcMar>
              <w:top w:w="80" w:type="dxa"/>
              <w:start w:w="90" w:type="dxa"/>
              <w:bottom w:w="80" w:type="dxa"/>
              <w:end w:w="90" w:type="dxa"/>
            </w:tcMar>
            <w:vAlign w:val="top"/>
          </w:tcPr>
          <w:p>
            <w:pPr>
              <w:spacing w:after="0" w:line="240" w:lineRule="auto"/>
            </w:pPr>
            <w:r>
              <w:rPr>
                <w:sz w:val="16"/>
              </w:rPr>
              <w:t>False</w:t>
            </w:r>
          </w:p>
        </w:tc>
        <w:tc>
          <w:tcPr>
            <w:tcW w:type="dxa" w:w="3096"/>
            <w:shd w:fill="F7F9FB"/>
            <w:tcMar>
              <w:top w:w="80" w:type="dxa"/>
              <w:start w:w="90" w:type="dxa"/>
              <w:bottom w:w="80" w:type="dxa"/>
              <w:end w:w="90" w:type="dxa"/>
            </w:tcMar>
            <w:vAlign w:val="top"/>
          </w:tcPr>
          <w:p>
            <w:pPr>
              <w:spacing w:after="0" w:line="240" w:lineRule="auto"/>
            </w:pPr>
            <w:r>
              <w:rPr>
                <w:sz w:val="16"/>
              </w:rPr>
              <w:t>Destroyed by block recoding</w:t>
            </w:r>
          </w:p>
        </w:tc>
        <w:tc>
          <w:tcPr>
            <w:tcW w:type="dxa" w:w="2448"/>
            <w:shd w:fill="F7F9FB"/>
            <w:tcMar>
              <w:top w:w="80" w:type="dxa"/>
              <w:start w:w="90" w:type="dxa"/>
              <w:bottom w:w="80" w:type="dxa"/>
              <w:end w:w="90" w:type="dxa"/>
            </w:tcMar>
            <w:vAlign w:val="top"/>
          </w:tcPr>
          <w:p>
            <w:pPr>
              <w:spacing w:after="0" w:line="240" w:lineRule="auto"/>
            </w:pPr>
            <w:r>
              <w:rPr>
                <w:sz w:val="16"/>
              </w:rPr>
              <w:t>Do not use unnormalized</w:t>
            </w:r>
          </w:p>
        </w:tc>
      </w:tr>
      <w:tr>
        <w:tc>
          <w:tcPr>
            <w:tcW w:type="dxa" w:w="2952"/>
            <w:tcMar>
              <w:top w:w="80" w:type="dxa"/>
              <w:start w:w="90" w:type="dxa"/>
              <w:bottom w:w="80" w:type="dxa"/>
              <w:end w:w="90" w:type="dxa"/>
            </w:tcMar>
            <w:vAlign w:val="top"/>
          </w:tcPr>
          <w:p>
            <w:pPr>
              <w:spacing w:after="0" w:line="240" w:lineRule="auto"/>
            </w:pPr>
            <w:r>
              <w:rPr>
                <w:sz w:val="16"/>
              </w:rPr>
              <w:t>Alphabet ceiling as intrinsic operator strength</w:t>
            </w:r>
          </w:p>
        </w:tc>
        <w:tc>
          <w:tcPr>
            <w:tcW w:type="dxa" w:w="1224"/>
            <w:tcMar>
              <w:top w:w="80" w:type="dxa"/>
              <w:start w:w="90" w:type="dxa"/>
              <w:bottom w:w="80" w:type="dxa"/>
              <w:end w:w="90" w:type="dxa"/>
            </w:tcMar>
            <w:vAlign w:val="top"/>
          </w:tcPr>
          <w:p>
            <w:pPr>
              <w:spacing w:after="0" w:line="240" w:lineRule="auto"/>
            </w:pPr>
            <w:r>
              <w:rPr>
                <w:sz w:val="16"/>
              </w:rPr>
              <w:t>False in general</w:t>
            </w:r>
          </w:p>
        </w:tc>
        <w:tc>
          <w:tcPr>
            <w:tcW w:type="dxa" w:w="3096"/>
            <w:tcMar>
              <w:top w:w="80" w:type="dxa"/>
              <w:start w:w="90" w:type="dxa"/>
              <w:bottom w:w="80" w:type="dxa"/>
              <w:end w:w="90" w:type="dxa"/>
            </w:tcMar>
            <w:vAlign w:val="top"/>
          </w:tcPr>
          <w:p>
            <w:pPr>
              <w:spacing w:after="0" w:line="240" w:lineRule="auto"/>
            </w:pPr>
            <w:r>
              <w:rPr>
                <w:sz w:val="16"/>
              </w:rPr>
              <w:t>Alphabet is a representation choice</w:t>
            </w:r>
          </w:p>
        </w:tc>
        <w:tc>
          <w:tcPr>
            <w:tcW w:type="dxa" w:w="2448"/>
            <w:tcMar>
              <w:top w:w="80" w:type="dxa"/>
              <w:start w:w="90" w:type="dxa"/>
              <w:bottom w:w="80" w:type="dxa"/>
              <w:end w:w="90" w:type="dxa"/>
            </w:tcMar>
            <w:vAlign w:val="top"/>
          </w:tcPr>
          <w:p>
            <w:pPr>
              <w:spacing w:after="0" w:line="240" w:lineRule="auto"/>
            </w:pPr>
            <w:r>
              <w:rPr>
                <w:sz w:val="16"/>
              </w:rPr>
              <w:t>Do not generalize</w:t>
            </w:r>
          </w:p>
        </w:tc>
      </w:tr>
      <w:tr>
        <w:tc>
          <w:tcPr>
            <w:tcW w:type="dxa" w:w="2952"/>
            <w:shd w:fill="F7F9FB"/>
            <w:tcMar>
              <w:top w:w="80" w:type="dxa"/>
              <w:start w:w="90" w:type="dxa"/>
              <w:bottom w:w="80" w:type="dxa"/>
              <w:end w:w="90" w:type="dxa"/>
            </w:tcMar>
            <w:vAlign w:val="top"/>
          </w:tcPr>
          <w:p>
            <w:pPr>
              <w:spacing w:after="0" w:line="240" w:lineRule="auto"/>
            </w:pPr>
            <w:r>
              <w:rPr>
                <w:sz w:val="16"/>
              </w:rPr>
              <w:t>Geometric overshoot versus target clearance</w:t>
            </w:r>
          </w:p>
        </w:tc>
        <w:tc>
          <w:tcPr>
            <w:tcW w:type="dxa" w:w="1224"/>
            <w:shd w:fill="F7F9FB"/>
            <w:tcMar>
              <w:top w:w="80" w:type="dxa"/>
              <w:start w:w="90" w:type="dxa"/>
              <w:bottom w:w="80" w:type="dxa"/>
              <w:end w:w="90" w:type="dxa"/>
            </w:tcMar>
            <w:vAlign w:val="top"/>
          </w:tcPr>
          <w:p>
            <w:pPr>
              <w:spacing w:after="0" w:line="240" w:lineRule="auto"/>
            </w:pPr>
            <w:r>
              <w:rPr>
                <w:sz w:val="16"/>
              </w:rPr>
              <w:t>Not clearly settled in exact target-conditioned form</w:t>
            </w:r>
          </w:p>
        </w:tc>
        <w:tc>
          <w:tcPr>
            <w:tcW w:type="dxa" w:w="3096"/>
            <w:shd w:fill="F7F9FB"/>
            <w:tcMar>
              <w:top w:w="80" w:type="dxa"/>
              <w:start w:w="90" w:type="dxa"/>
              <w:bottom w:w="80" w:type="dxa"/>
              <w:end w:w="90" w:type="dxa"/>
            </w:tcMar>
            <w:vAlign w:val="top"/>
          </w:tcPr>
          <w:p>
            <w:pPr>
              <w:spacing w:after="0" w:line="240" w:lineRule="auto"/>
            </w:pPr>
            <w:r>
              <w:rPr>
                <w:sz w:val="16"/>
              </w:rPr>
              <w:t>Moran covers, bounded distortion, stopping sets</w:t>
            </w:r>
          </w:p>
        </w:tc>
        <w:tc>
          <w:tcPr>
            <w:tcW w:type="dxa" w:w="2448"/>
            <w:shd w:fill="F7F9FB"/>
            <w:tcMar>
              <w:top w:w="80" w:type="dxa"/>
              <w:start w:w="90" w:type="dxa"/>
              <w:bottom w:w="80" w:type="dxa"/>
              <w:end w:w="90" w:type="dxa"/>
            </w:tcMar>
            <w:vAlign w:val="top"/>
          </w:tcPr>
          <w:p>
            <w:pPr>
              <w:spacing w:after="0" w:line="240" w:lineRule="auto"/>
            </w:pPr>
            <w:r>
              <w:rPr>
                <w:sz w:val="16"/>
              </w:rPr>
              <w:t>Focused theorem audit + pilot</w:t>
            </w:r>
          </w:p>
        </w:tc>
      </w:tr>
      <w:tr>
        <w:tc>
          <w:tcPr>
            <w:tcW w:type="dxa" w:w="2952"/>
            <w:tcMar>
              <w:top w:w="80" w:type="dxa"/>
              <w:start w:w="90" w:type="dxa"/>
              <w:bottom w:w="80" w:type="dxa"/>
              <w:end w:w="90" w:type="dxa"/>
            </w:tcMar>
            <w:vAlign w:val="top"/>
          </w:tcPr>
          <w:p>
            <w:pPr>
              <w:spacing w:after="0" w:line="240" w:lineRule="auto"/>
            </w:pPr>
            <w:r>
              <w:rPr>
                <w:sz w:val="16"/>
              </w:rPr>
              <w:t>Complexity of exact target containment for a fixed Möbius IFS</w:t>
            </w:r>
          </w:p>
        </w:tc>
        <w:tc>
          <w:tcPr>
            <w:tcW w:type="dxa" w:w="1224"/>
            <w:tcMar>
              <w:top w:w="80" w:type="dxa"/>
              <w:start w:w="90" w:type="dxa"/>
              <w:bottom w:w="80" w:type="dxa"/>
              <w:end w:w="90" w:type="dxa"/>
            </w:tcMar>
            <w:vAlign w:val="top"/>
          </w:tcPr>
          <w:p>
            <w:pPr>
              <w:spacing w:after="0" w:line="240" w:lineRule="auto"/>
            </w:pPr>
            <w:r>
              <w:rPr>
                <w:sz w:val="16"/>
              </w:rPr>
              <w:t>Candidate</w:t>
            </w:r>
          </w:p>
        </w:tc>
        <w:tc>
          <w:tcPr>
            <w:tcW w:type="dxa" w:w="3096"/>
            <w:tcMar>
              <w:top w:w="80" w:type="dxa"/>
              <w:start w:w="90" w:type="dxa"/>
              <w:bottom w:w="80" w:type="dxa"/>
              <w:end w:w="90" w:type="dxa"/>
            </w:tcMar>
            <w:vAlign w:val="top"/>
          </w:tcPr>
          <w:p>
            <w:pPr>
              <w:spacing w:after="0" w:line="240" w:lineRule="auto"/>
            </w:pPr>
            <w:r>
              <w:rPr>
                <w:sz w:val="16"/>
              </w:rPr>
              <w:t>Automata/IFS decision and complexity theory</w:t>
            </w:r>
          </w:p>
        </w:tc>
        <w:tc>
          <w:tcPr>
            <w:tcW w:type="dxa" w:w="2448"/>
            <w:tcMar>
              <w:top w:w="80" w:type="dxa"/>
              <w:start w:w="90" w:type="dxa"/>
              <w:bottom w:w="80" w:type="dxa"/>
              <w:end w:w="90" w:type="dxa"/>
            </w:tcMar>
            <w:vAlign w:val="top"/>
          </w:tcPr>
          <w:p>
            <w:pPr>
              <w:spacing w:after="0" w:line="240" w:lineRule="auto"/>
            </w:pPr>
            <w:r>
              <w:rPr>
                <w:sz w:val="16"/>
              </w:rPr>
              <w:t>Only after formal problem statement</w:t>
            </w:r>
          </w:p>
        </w:tc>
      </w:tr>
      <w:tr>
        <w:tc>
          <w:tcPr>
            <w:tcW w:type="dxa" w:w="2952"/>
            <w:shd w:fill="F7F9FB"/>
            <w:tcMar>
              <w:top w:w="80" w:type="dxa"/>
              <w:start w:w="90" w:type="dxa"/>
              <w:bottom w:w="80" w:type="dxa"/>
              <w:end w:w="90" w:type="dxa"/>
            </w:tcMar>
            <w:vAlign w:val="top"/>
          </w:tcPr>
          <w:p>
            <w:pPr>
              <w:spacing w:after="0" w:line="240" w:lineRule="auto"/>
            </w:pPr>
            <w:r>
              <w:rPr>
                <w:sz w:val="16"/>
              </w:rPr>
              <w:t>Universal algorithm across recursive systems</w:t>
            </w:r>
          </w:p>
        </w:tc>
        <w:tc>
          <w:tcPr>
            <w:tcW w:type="dxa" w:w="1224"/>
            <w:shd w:fill="F7F9FB"/>
            <w:tcMar>
              <w:top w:w="80" w:type="dxa"/>
              <w:start w:w="90" w:type="dxa"/>
              <w:bottom w:w="80" w:type="dxa"/>
              <w:end w:w="90" w:type="dxa"/>
            </w:tcMar>
            <w:vAlign w:val="top"/>
          </w:tcPr>
          <w:p>
            <w:pPr>
              <w:spacing w:after="0" w:line="240" w:lineRule="auto"/>
            </w:pPr>
            <w:r>
              <w:rPr>
                <w:sz w:val="16"/>
              </w:rPr>
              <w:t>Impossible</w:t>
            </w:r>
          </w:p>
        </w:tc>
        <w:tc>
          <w:tcPr>
            <w:tcW w:type="dxa" w:w="3096"/>
            <w:shd w:fill="F7F9FB"/>
            <w:tcMar>
              <w:top w:w="80" w:type="dxa"/>
              <w:start w:w="90" w:type="dxa"/>
              <w:bottom w:w="80" w:type="dxa"/>
              <w:end w:w="90" w:type="dxa"/>
            </w:tcMar>
            <w:vAlign w:val="top"/>
          </w:tcPr>
          <w:p>
            <w:pPr>
              <w:spacing w:after="0" w:line="240" w:lineRule="auto"/>
            </w:pPr>
            <w:r>
              <w:rPr>
                <w:sz w:val="16"/>
              </w:rPr>
              <w:t>Undecidability in universal computation</w:t>
            </w:r>
          </w:p>
        </w:tc>
        <w:tc>
          <w:tcPr>
            <w:tcW w:type="dxa" w:w="2448"/>
            <w:shd w:fill="F7F9FB"/>
            <w:tcMar>
              <w:top w:w="80" w:type="dxa"/>
              <w:start w:w="90" w:type="dxa"/>
              <w:bottom w:w="80" w:type="dxa"/>
              <w:end w:w="90" w:type="dxa"/>
            </w:tcMar>
            <w:vAlign w:val="top"/>
          </w:tcPr>
          <w:p>
            <w:pPr>
              <w:spacing w:after="0" w:line="240" w:lineRule="auto"/>
            </w:pPr>
            <w:r>
              <w:rPr>
                <w:sz w:val="16"/>
              </w:rPr>
              <w:t>Terminate claim</w:t>
            </w:r>
          </w:p>
        </w:tc>
      </w:tr>
    </w:tbl>
    <w:p>
      <w:pPr>
        <w:spacing w:after="0"/>
      </w:pPr>
    </w:p>
    <w:p>
      <w:pPr>
        <w:pStyle w:val="Heading2"/>
        <w:keepNext/>
      </w:pPr>
      <w:r>
        <w:t>1.2 Recommended disposition of current work</w:t>
      </w:r>
    </w:p>
    <w:p>
      <w:pPr>
        <w:pStyle w:val="ListBullet"/>
        <w:spacing w:after="40"/>
      </w:pPr>
      <w:r>
        <w:t>Retain Experiments 1 and 2 as a verified computational appendix and software-validation suite.</w:t>
      </w:r>
    </w:p>
    <w:p>
      <w:pPr>
        <w:pStyle w:val="ListBullet"/>
        <w:spacing w:after="40"/>
      </w:pPr>
      <w:r>
        <w:t>Rewrite the central paper as a synthesis of established mathematics, not as a discovery paper about continued fractions.</w:t>
      </w:r>
    </w:p>
    <w:p>
      <w:pPr>
        <w:pStyle w:val="ListBullet"/>
        <w:spacing w:after="40"/>
      </w:pPr>
      <w:r>
        <w:t>Cancel the full 130,798-cell Experiment 3 run until a recoding-invariant quantity and theorem-scale conjecture are fixed.</w:t>
      </w:r>
    </w:p>
    <w:p>
      <w:pPr>
        <w:pStyle w:val="ListBullet"/>
        <w:spacing w:after="40"/>
      </w:pPr>
      <w:r>
        <w:t>Run one small certified pilot only after the target-clearance conjecture survives a specialist literature audit.</w:t>
      </w:r>
    </w:p>
    <w:p>
      <w:bookmarkStart w:id="20" w:name="question"/>
      <w:pPr>
        <w:pStyle w:val="Heading1"/>
        <w:keepNext/>
      </w:pPr>
      <w:r>
        <w:t>2. The actual research question</w:t>
      </w:r>
      <w:bookmarkEnd w:id="20"/>
    </w:p>
    <w:p>
      <w:pPr>
        <w:spacing w:after="80"/>
      </w:pPr>
      <w:r>
        <w:t>The project record states the intended destination clearly: continued fractions are a laboratory, not the final subject. The desired theory concerns reachability, control cost, localization, and universality across recursive systems. In the project’s own formulation, the central hypothesis is:</w:t>
      </w:r>
    </w:p>
    <w:p>
      <w:pPr>
        <w:spacing w:before="100" w:after="120"/>
        <w:jc w:val="center"/>
      </w:pPr>
      <w:r>
        <w:rPr>
          <w:rFonts w:ascii="FreeSerif" w:hAnsi="FreeSerif" w:eastAsia="FreeSerif"/>
          <w:sz w:val="21"/>
        </w:rPr>
        <w:t>finite organization governs, restricts, and localizes infinite continuation.</w:t>
      </w:r>
    </w:p>
    <w:p>
      <w:pPr>
        <w:spacing w:after="80"/>
      </w:pPr>
      <w:r>
        <w:t>To evaluate this scientifically, each term must be replaced by a mathematical object. Otherwise the statement is too elastic to falsify.</w:t>
      </w:r>
    </w:p>
    <w:p>
      <w:pPr>
        <w:pStyle w:val="Heading2"/>
        <w:keepNext/>
      </w:pPr>
      <w:r>
        <w:t>2.1 Operational translation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D9EAF7"/>
            <w:tcMar>
              <w:top w:w="80" w:type="dxa"/>
              <w:start w:w="90" w:type="dxa"/>
              <w:bottom w:w="80" w:type="dxa"/>
              <w:end w:w="90" w:type="dxa"/>
            </w:tcMar>
            <w:vAlign w:val="center"/>
          </w:tcPr>
          <w:p>
            <w:pPr>
              <w:jc w:val="left"/>
            </w:pPr>
            <w:r>
              <w:rPr>
                <w:b/>
                <w:sz w:val="17"/>
              </w:rPr>
              <w:t>Project term</w:t>
            </w:r>
          </w:p>
        </w:tc>
        <w:tc>
          <w:tcPr>
            <w:tcW w:type="dxa" w:w="7704"/>
            <w:shd w:fill="D9EAF7"/>
            <w:tcMar>
              <w:top w:w="80" w:type="dxa"/>
              <w:start w:w="90" w:type="dxa"/>
              <w:bottom w:w="80" w:type="dxa"/>
              <w:end w:w="90" w:type="dxa"/>
            </w:tcMar>
            <w:vAlign w:val="center"/>
          </w:tcPr>
          <w:p>
            <w:pPr>
              <w:jc w:val="left"/>
            </w:pPr>
            <w:r>
              <w:rPr>
                <w:b/>
                <w:sz w:val="17"/>
              </w:rPr>
              <w:t>Mathematical replacement</w:t>
            </w:r>
          </w:p>
        </w:tc>
      </w:tr>
      <w:tr>
        <w:tc>
          <w:tcPr>
            <w:tcW w:type="dxa" w:w="2088"/>
            <w:tcMar>
              <w:top w:w="80" w:type="dxa"/>
              <w:start w:w="90" w:type="dxa"/>
              <w:bottom w:w="80" w:type="dxa"/>
              <w:end w:w="90" w:type="dxa"/>
            </w:tcMar>
            <w:vAlign w:val="top"/>
          </w:tcPr>
          <w:p>
            <w:pPr>
              <w:spacing w:after="0" w:line="240" w:lineRule="auto"/>
            </w:pPr>
            <w:r>
              <w:rPr>
                <w:sz w:val="17"/>
              </w:rPr>
              <w:t>Finite organization</w:t>
            </w:r>
          </w:p>
        </w:tc>
        <w:tc>
          <w:tcPr>
            <w:tcW w:type="dxa" w:w="7704"/>
            <w:tcMar>
              <w:top w:w="80" w:type="dxa"/>
              <w:start w:w="90" w:type="dxa"/>
              <w:bottom w:w="80" w:type="dxa"/>
              <w:end w:w="90" w:type="dxa"/>
            </w:tcMar>
            <w:vAlign w:val="top"/>
          </w:tcPr>
          <w:p>
            <w:pPr>
              <w:spacing w:after="0" w:line="240" w:lineRule="auto"/>
            </w:pPr>
            <w:r>
              <w:rPr>
                <w:sz w:val="17"/>
              </w:rPr>
              <w:t>A finite word, finite state, finite automaton state, finite partition cell, or finite approximation.</w:t>
            </w:r>
          </w:p>
        </w:tc>
      </w:tr>
      <w:tr>
        <w:tc>
          <w:tcPr>
            <w:tcW w:type="dxa" w:w="2088"/>
            <w:shd w:fill="F7F9FB"/>
            <w:tcMar>
              <w:top w:w="80" w:type="dxa"/>
              <w:start w:w="90" w:type="dxa"/>
              <w:bottom w:w="80" w:type="dxa"/>
              <w:end w:w="90" w:type="dxa"/>
            </w:tcMar>
            <w:vAlign w:val="top"/>
          </w:tcPr>
          <w:p>
            <w:pPr>
              <w:spacing w:after="0" w:line="240" w:lineRule="auto"/>
            </w:pPr>
            <w:r>
              <w:rPr>
                <w:sz w:val="17"/>
              </w:rPr>
              <w:t>Infinite continuation</w:t>
            </w:r>
          </w:p>
        </w:tc>
        <w:tc>
          <w:tcPr>
            <w:tcW w:type="dxa" w:w="7704"/>
            <w:shd w:fill="F7F9FB"/>
            <w:tcMar>
              <w:top w:w="80" w:type="dxa"/>
              <w:start w:w="90" w:type="dxa"/>
              <w:bottom w:w="80" w:type="dxa"/>
              <w:end w:w="90" w:type="dxa"/>
            </w:tcMar>
            <w:vAlign w:val="top"/>
          </w:tcPr>
          <w:p>
            <w:pPr>
              <w:spacing w:after="0" w:line="240" w:lineRule="auto"/>
            </w:pPr>
            <w:r>
              <w:rPr>
                <w:sz w:val="17"/>
              </w:rPr>
              <w:t>An infinite tail, path, orbit, stream, function, or directed limit compatible with the finite object.</w:t>
            </w:r>
          </w:p>
        </w:tc>
      </w:tr>
      <w:tr>
        <w:tc>
          <w:tcPr>
            <w:tcW w:type="dxa" w:w="2088"/>
            <w:tcMar>
              <w:top w:w="80" w:type="dxa"/>
              <w:start w:w="90" w:type="dxa"/>
              <w:bottom w:w="80" w:type="dxa"/>
              <w:end w:w="90" w:type="dxa"/>
            </w:tcMar>
            <w:vAlign w:val="top"/>
          </w:tcPr>
          <w:p>
            <w:pPr>
              <w:spacing w:after="0" w:line="240" w:lineRule="auto"/>
            </w:pPr>
            <w:r>
              <w:rPr>
                <w:sz w:val="17"/>
              </w:rPr>
              <w:t>Governs</w:t>
            </w:r>
          </w:p>
        </w:tc>
        <w:tc>
          <w:tcPr>
            <w:tcW w:type="dxa" w:w="7704"/>
            <w:tcMar>
              <w:top w:w="80" w:type="dxa"/>
              <w:start w:w="90" w:type="dxa"/>
              <w:bottom w:w="80" w:type="dxa"/>
              <w:end w:w="90" w:type="dxa"/>
            </w:tcMar>
            <w:vAlign w:val="top"/>
          </w:tcPr>
          <w:p>
            <w:pPr>
              <w:spacing w:after="0" w:line="240" w:lineRule="auto"/>
            </w:pPr>
            <w:r>
              <w:rPr>
                <w:sz w:val="17"/>
              </w:rPr>
              <w:t>Changes the admissible continuation set through a specified transition or coding law.</w:t>
            </w:r>
          </w:p>
        </w:tc>
      </w:tr>
      <w:tr>
        <w:tc>
          <w:tcPr>
            <w:tcW w:type="dxa" w:w="2088"/>
            <w:shd w:fill="F7F9FB"/>
            <w:tcMar>
              <w:top w:w="80" w:type="dxa"/>
              <w:start w:w="90" w:type="dxa"/>
              <w:bottom w:w="80" w:type="dxa"/>
              <w:end w:w="90" w:type="dxa"/>
            </w:tcMar>
            <w:vAlign w:val="top"/>
          </w:tcPr>
          <w:p>
            <w:pPr>
              <w:spacing w:after="0" w:line="240" w:lineRule="auto"/>
            </w:pPr>
            <w:r>
              <w:rPr>
                <w:sz w:val="17"/>
              </w:rPr>
              <w:t>Restricts</w:t>
            </w:r>
          </w:p>
        </w:tc>
        <w:tc>
          <w:tcPr>
            <w:tcW w:type="dxa" w:w="7704"/>
            <w:shd w:fill="F7F9FB"/>
            <w:tcMar>
              <w:top w:w="80" w:type="dxa"/>
              <w:start w:w="90" w:type="dxa"/>
              <w:bottom w:w="80" w:type="dxa"/>
              <w:end w:w="90" w:type="dxa"/>
            </w:tcMar>
            <w:vAlign w:val="top"/>
          </w:tcPr>
          <w:p>
            <w:pPr>
              <w:spacing w:after="0" w:line="240" w:lineRule="auto"/>
            </w:pPr>
            <w:r>
              <w:rPr>
                <w:sz w:val="17"/>
              </w:rPr>
              <w:t>Replaces the full space of futures by a subset determined by the prefix, state, or language.</w:t>
            </w:r>
          </w:p>
        </w:tc>
      </w:tr>
      <w:tr>
        <w:tc>
          <w:tcPr>
            <w:tcW w:type="dxa" w:w="2088"/>
            <w:tcMar>
              <w:top w:w="80" w:type="dxa"/>
              <w:start w:w="90" w:type="dxa"/>
              <w:bottom w:w="80" w:type="dxa"/>
              <w:end w:w="90" w:type="dxa"/>
            </w:tcMar>
            <w:vAlign w:val="top"/>
          </w:tcPr>
          <w:p>
            <w:pPr>
              <w:spacing w:after="0" w:line="240" w:lineRule="auto"/>
            </w:pPr>
            <w:r>
              <w:rPr>
                <w:sz w:val="17"/>
              </w:rPr>
              <w:t>Localizes</w:t>
            </w:r>
          </w:p>
        </w:tc>
        <w:tc>
          <w:tcPr>
            <w:tcW w:type="dxa" w:w="7704"/>
            <w:tcMar>
              <w:top w:w="80" w:type="dxa"/>
              <w:start w:w="90" w:type="dxa"/>
              <w:bottom w:w="80" w:type="dxa"/>
              <w:end w:w="90" w:type="dxa"/>
            </w:tcMar>
            <w:vAlign w:val="top"/>
          </w:tcPr>
          <w:p>
            <w:pPr>
              <w:spacing w:after="0" w:line="240" w:lineRule="auto"/>
            </w:pPr>
            <w:r>
              <w:rPr>
                <w:sz w:val="17"/>
              </w:rPr>
              <w:t>Reduces metric diameter, uncertainty, measure, entropy, or another declared size of the continuation set.</w:t>
            </w:r>
          </w:p>
        </w:tc>
      </w:tr>
      <w:tr>
        <w:tc>
          <w:tcPr>
            <w:tcW w:type="dxa" w:w="2088"/>
            <w:shd w:fill="F7F9FB"/>
            <w:tcMar>
              <w:top w:w="80" w:type="dxa"/>
              <w:start w:w="90" w:type="dxa"/>
              <w:bottom w:w="80" w:type="dxa"/>
              <w:end w:w="90" w:type="dxa"/>
            </w:tcMar>
            <w:vAlign w:val="top"/>
          </w:tcPr>
          <w:p>
            <w:pPr>
              <w:spacing w:after="0" w:line="240" w:lineRule="auto"/>
            </w:pPr>
            <w:r>
              <w:rPr>
                <w:sz w:val="17"/>
              </w:rPr>
              <w:t>Control cost</w:t>
            </w:r>
          </w:p>
        </w:tc>
        <w:tc>
          <w:tcPr>
            <w:tcW w:type="dxa" w:w="7704"/>
            <w:shd w:fill="F7F9FB"/>
            <w:tcMar>
              <w:top w:w="80" w:type="dxa"/>
              <w:start w:w="90" w:type="dxa"/>
              <w:bottom w:w="80" w:type="dxa"/>
              <w:end w:w="90" w:type="dxa"/>
            </w:tcMar>
            <w:vAlign w:val="top"/>
          </w:tcPr>
          <w:p>
            <w:pPr>
              <w:spacing w:after="0" w:line="240" w:lineRule="auto"/>
            </w:pPr>
            <w:r>
              <w:rPr>
                <w:sz w:val="17"/>
              </w:rPr>
              <w:t>The minimum declared resource needed to force a target: symbols, information, geometric contraction, computation, energy, or time.</w:t>
            </w:r>
          </w:p>
        </w:tc>
      </w:tr>
      <w:tr>
        <w:tc>
          <w:tcPr>
            <w:tcW w:type="dxa" w:w="2088"/>
            <w:tcMar>
              <w:top w:w="80" w:type="dxa"/>
              <w:start w:w="90" w:type="dxa"/>
              <w:bottom w:w="80" w:type="dxa"/>
              <w:end w:w="90" w:type="dxa"/>
            </w:tcMar>
            <w:vAlign w:val="top"/>
          </w:tcPr>
          <w:p>
            <w:pPr>
              <w:spacing w:after="0" w:line="240" w:lineRule="auto"/>
            </w:pPr>
            <w:r>
              <w:rPr>
                <w:sz w:val="17"/>
              </w:rPr>
              <w:t>Universality</w:t>
            </w:r>
          </w:p>
        </w:tc>
        <w:tc>
          <w:tcPr>
            <w:tcW w:type="dxa" w:w="7704"/>
            <w:tcMar>
              <w:top w:w="80" w:type="dxa"/>
              <w:start w:w="90" w:type="dxa"/>
              <w:bottom w:w="80" w:type="dxa"/>
              <w:end w:w="90" w:type="dxa"/>
            </w:tcMar>
            <w:vAlign w:val="top"/>
          </w:tcPr>
          <w:p>
            <w:pPr>
              <w:spacing w:after="0" w:line="240" w:lineRule="auto"/>
            </w:pPr>
            <w:r>
              <w:rPr>
                <w:sz w:val="17"/>
              </w:rPr>
              <w:t>The same theorem, with the same assumptions and invariant quantities, applies across non-isomorphic model classes.</w:t>
            </w:r>
          </w:p>
        </w:tc>
      </w:tr>
    </w:tbl>
    <w:p>
      <w:pPr>
        <w:spacing w:after="0"/>
      </w:pPr>
    </w:p>
    <w:p>
      <w:pPr>
        <w:pStyle w:val="Heading2"/>
        <w:keepNext/>
      </w:pPr>
      <w:r>
        <w:t>2.2 The question separates into three levels</w:t>
      </w:r>
    </w:p>
    <w:p>
      <w:pPr>
        <w:spacing w:after="40"/>
        <w:ind w:left="403" w:hanging="346"/>
      </w:pPr>
      <w:r>
        <w:rPr>
          <w:b w:val="0"/>
        </w:rPr>
        <w:t xml:space="preserve">1. </w:t>
      </w:r>
      <w:r>
        <w:t>Qualitative topology: Do finite prefixes define nested neighborhoods or continuation sets? This is solved.</w:t>
      </w:r>
    </w:p>
    <w:p>
      <w:pPr>
        <w:spacing w:after="40"/>
        <w:ind w:left="403" w:hanging="346"/>
      </w:pPr>
      <w:r>
        <w:rPr>
          <w:b w:val="0"/>
        </w:rPr>
        <w:t xml:space="preserve">2. </w:t>
      </w:r>
      <w:r>
        <w:t>Quantitative geometry and information: How fast do those sets shrink, and how much residual freedom remains? This is solved in many model classes through contraction, entropy, pressure, dimension, and Lyapunov theory.</w:t>
      </w:r>
    </w:p>
    <w:p>
      <w:pPr>
        <w:spacing w:after="40"/>
        <w:ind w:left="403" w:hanging="346"/>
      </w:pPr>
      <w:r>
        <w:rPr>
          <w:b w:val="0"/>
        </w:rPr>
        <w:t xml:space="preserve">3. </w:t>
      </w:r>
      <w:r>
        <w:t>Algorithmic control: What is the cheapest certificate for a prescribed target, and can it be computed? This is model-dependent. Some cases are decidable and efficiently approximable; universal cases are undecidable.</w:t>
      </w:r>
    </w:p>
    <w:p>
      <w:pPr>
        <w:pStyle w:val="Heading2"/>
        <w:keepNext/>
      </w:pPr>
      <w:r>
        <w:t>2.3 Why the distinction matters</w:t>
      </w:r>
    </w:p>
    <w:p>
      <w:pPr>
        <w:spacing w:after="80"/>
      </w:pPr>
      <w:r>
        <w:t>A broad qualitative statement can be true for a trivial representational reason. The Hausdorff-Alexandroff theorem says that every nonempty compact metric space is a continuous image of Cantor space. Therefore almost any compact object can be encoded by an infinite binary sequence whose prefixes progressively localize its image. This establishes breadth, but it also creates a danger: if the coding map is arbitrary, the result may describe the representation rather than the object. A genuine theory must identify which quantities survive permissible changes of coding.</w:t>
      </w:r>
    </w:p>
    <w:p>
      <w:bookmarkStart w:id="30" w:name="model"/>
      <w:pPr>
        <w:pStyle w:val="Heading1"/>
        <w:keepNext/>
      </w:pPr>
      <w:r>
        <w:t>3. General mathematical model</w:t>
      </w:r>
      <w:bookmarkEnd w:id="30"/>
    </w:p>
    <w:p>
      <w:pPr>
        <w:pStyle w:val="Heading2"/>
        <w:keepNext/>
      </w:pPr>
      <w:r>
        <w:t>3.1 Symbolic source and coding map</w:t>
      </w:r>
    </w:p>
    <w:p>
      <w:pPr>
        <w:spacing w:after="80"/>
      </w:pPr>
      <w:r>
        <w:t>Let Σ be a finite alphabet. Let Σ^N be the space of one-sided infinite sequences equipped with the prefix metric. Let Y be a closed set of admissible sequences, such as a full shift, subshift, automaton language, or constrained path space. Let X be a compact metric state space, and let π:Y→X be a continuous coding map.</w:t>
      </w:r>
    </w:p>
    <w:p>
      <w:pPr>
        <w:spacing w:before="100" w:after="120"/>
        <w:jc w:val="center"/>
      </w:pPr>
      <w:r>
        <w:rPr>
          <w:rFonts w:ascii="FreeSerif" w:hAnsi="FreeSerif" w:eastAsia="FreeSerif"/>
          <w:sz w:val="21"/>
        </w:rPr>
        <w:t>A = π(Y)   is the asymptotic reachable set.</w:t>
      </w:r>
    </w:p>
    <w:p>
      <w:pPr>
        <w:spacing w:after="80"/>
      </w:pPr>
      <w:r>
        <w:t>For a finite word w of length n, define the prefix cylinder and its coded continuation set:</w:t>
      </w:r>
    </w:p>
    <w:p>
      <w:pPr>
        <w:spacing w:before="100" w:after="120"/>
        <w:jc w:val="center"/>
      </w:pPr>
      <w:r>
        <w:rPr>
          <w:rFonts w:ascii="FreeSerif" w:hAnsi="FreeSerif" w:eastAsia="FreeSerif"/>
          <w:sz w:val="21"/>
        </w:rPr>
        <w:t>[w]_Y = {s ∈ Y : s₁…sₙ = w},      C_w = π([w]_Y).</w:t>
      </w:r>
    </w:p>
    <w:p>
      <w:pPr>
        <w:spacing w:after="80"/>
      </w:pPr>
      <w:r>
        <w:t>The object C_w is the exact mathematical version of “all infinite futures still compatible with the finite organization w.”</w:t>
      </w:r>
    </w:p>
    <w:p>
      <w:pPr>
        <w:pStyle w:val="Heading2"/>
        <w:keepNext/>
      </w:pPr>
      <w:r>
        <w:t>3.2 Core quantities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D9EAF7"/>
            <w:tcMar>
              <w:top w:w="80" w:type="dxa"/>
              <w:start w:w="90" w:type="dxa"/>
              <w:bottom w:w="80" w:type="dxa"/>
              <w:end w:w="90" w:type="dxa"/>
            </w:tcMar>
            <w:vAlign w:val="center"/>
          </w:tcPr>
          <w:p>
            <w:pPr>
              <w:jc w:val="left"/>
            </w:pPr>
            <w:r>
              <w:rPr>
                <w:b/>
                <w:sz w:val="17"/>
              </w:rPr>
              <w:t>Quantity</w:t>
            </w:r>
          </w:p>
        </w:tc>
        <w:tc>
          <w:tcPr>
            <w:tcW w:type="dxa" w:w="7560"/>
            <w:shd w:fill="D9EAF7"/>
            <w:tcMar>
              <w:top w:w="80" w:type="dxa"/>
              <w:start w:w="90" w:type="dxa"/>
              <w:bottom w:w="80" w:type="dxa"/>
              <w:end w:w="90" w:type="dxa"/>
            </w:tcMar>
            <w:vAlign w:val="center"/>
          </w:tcPr>
          <w:p>
            <w:pPr>
              <w:jc w:val="left"/>
            </w:pPr>
            <w:r>
              <w:rPr>
                <w:b/>
                <w:sz w:val="17"/>
              </w:rPr>
              <w:t>Definition and warning</w:t>
            </w:r>
          </w:p>
        </w:tc>
      </w:tr>
      <w:tr>
        <w:tc>
          <w:tcPr>
            <w:tcW w:type="dxa" w:w="2232"/>
            <w:tcMar>
              <w:top w:w="80" w:type="dxa"/>
              <w:start w:w="90" w:type="dxa"/>
              <w:bottom w:w="80" w:type="dxa"/>
              <w:end w:w="90" w:type="dxa"/>
            </w:tcMar>
            <w:vAlign w:val="top"/>
          </w:tcPr>
          <w:p>
            <w:pPr>
              <w:spacing w:after="0" w:line="240" w:lineRule="auto"/>
            </w:pPr>
            <w:r>
              <w:rPr>
                <w:sz w:val="17"/>
              </w:rPr>
              <w:t>Reachability</w:t>
            </w:r>
          </w:p>
        </w:tc>
        <w:tc>
          <w:tcPr>
            <w:tcW w:type="dxa" w:w="7560"/>
            <w:tcMar>
              <w:top w:w="80" w:type="dxa"/>
              <w:start w:w="90" w:type="dxa"/>
              <w:bottom w:w="80" w:type="dxa"/>
              <w:end w:w="90" w:type="dxa"/>
            </w:tcMar>
            <w:vAlign w:val="top"/>
          </w:tcPr>
          <w:p>
            <w:pPr>
              <w:spacing w:after="0" w:line="240" w:lineRule="auto"/>
            </w:pPr>
            <w:r>
              <w:rPr>
                <w:sz w:val="17"/>
              </w:rPr>
              <w:t>An open target U is robustly reachable if some nonempty C_w is contained in U.</w:t>
            </w:r>
          </w:p>
        </w:tc>
      </w:tr>
      <w:tr>
        <w:tc>
          <w:tcPr>
            <w:tcW w:type="dxa" w:w="2232"/>
            <w:shd w:fill="F7F9FB"/>
            <w:tcMar>
              <w:top w:w="80" w:type="dxa"/>
              <w:start w:w="90" w:type="dxa"/>
              <w:bottom w:w="80" w:type="dxa"/>
              <w:end w:w="90" w:type="dxa"/>
            </w:tcMar>
            <w:vAlign w:val="top"/>
          </w:tcPr>
          <w:p>
            <w:pPr>
              <w:spacing w:after="0" w:line="240" w:lineRule="auto"/>
            </w:pPr>
            <w:r>
              <w:rPr>
                <w:sz w:val="17"/>
              </w:rPr>
              <w:t>Localization</w:t>
            </w:r>
          </w:p>
        </w:tc>
        <w:tc>
          <w:tcPr>
            <w:tcW w:type="dxa" w:w="7560"/>
            <w:shd w:fill="F7F9FB"/>
            <w:tcMar>
              <w:top w:w="80" w:type="dxa"/>
              <w:start w:w="90" w:type="dxa"/>
              <w:bottom w:w="80" w:type="dxa"/>
              <w:end w:w="90" w:type="dxa"/>
            </w:tcMar>
            <w:vAlign w:val="top"/>
          </w:tcPr>
          <w:p>
            <w:pPr>
              <w:spacing w:after="0" w:line="240" w:lineRule="auto"/>
            </w:pPr>
            <w:r>
              <w:rPr>
                <w:sz w:val="17"/>
              </w:rPr>
              <w:t>diam(C_w), or a measure/information analogue, quantifies remaining uncertainty.</w:t>
            </w:r>
          </w:p>
        </w:tc>
      </w:tr>
      <w:tr>
        <w:tc>
          <w:tcPr>
            <w:tcW w:type="dxa" w:w="2232"/>
            <w:tcMar>
              <w:top w:w="80" w:type="dxa"/>
              <w:start w:w="90" w:type="dxa"/>
              <w:bottom w:w="80" w:type="dxa"/>
              <w:end w:w="90" w:type="dxa"/>
            </w:tcMar>
            <w:vAlign w:val="top"/>
          </w:tcPr>
          <w:p>
            <w:pPr>
              <w:spacing w:after="0" w:line="240" w:lineRule="auto"/>
            </w:pPr>
            <w:r>
              <w:rPr>
                <w:sz w:val="17"/>
              </w:rPr>
              <w:t>Minimum depth</w:t>
            </w:r>
          </w:p>
        </w:tc>
        <w:tc>
          <w:tcPr>
            <w:tcW w:type="dxa" w:w="7560"/>
            <w:tcMar>
              <w:top w:w="80" w:type="dxa"/>
              <w:start w:w="90" w:type="dxa"/>
              <w:bottom w:w="80" w:type="dxa"/>
              <w:end w:w="90" w:type="dxa"/>
            </w:tcMar>
            <w:vAlign w:val="top"/>
          </w:tcPr>
          <w:p>
            <w:pPr>
              <w:spacing w:after="0" w:line="240" w:lineRule="auto"/>
            </w:pPr>
            <w:r>
              <w:rPr>
                <w:sz w:val="17"/>
              </w:rPr>
              <w:t>N*(U)=min{|w|: C_w⊆U}; meaningful only after the coding is fixed.</w:t>
            </w:r>
          </w:p>
        </w:tc>
      </w:tr>
      <w:tr>
        <w:tc>
          <w:tcPr>
            <w:tcW w:type="dxa" w:w="2232"/>
            <w:shd w:fill="F7F9FB"/>
            <w:tcMar>
              <w:top w:w="80" w:type="dxa"/>
              <w:start w:w="90" w:type="dxa"/>
              <w:bottom w:w="80" w:type="dxa"/>
              <w:end w:w="90" w:type="dxa"/>
            </w:tcMar>
            <w:vAlign w:val="top"/>
          </w:tcPr>
          <w:p>
            <w:pPr>
              <w:spacing w:after="0" w:line="240" w:lineRule="auto"/>
            </w:pPr>
            <w:r>
              <w:rPr>
                <w:sz w:val="17"/>
              </w:rPr>
              <w:t>Geometric overshoot</w:t>
            </w:r>
          </w:p>
        </w:tc>
        <w:tc>
          <w:tcPr>
            <w:tcW w:type="dxa" w:w="7560"/>
            <w:shd w:fill="F7F9FB"/>
            <w:tcMar>
              <w:top w:w="80" w:type="dxa"/>
              <w:start w:w="90" w:type="dxa"/>
              <w:bottom w:w="80" w:type="dxa"/>
              <w:end w:w="90" w:type="dxa"/>
            </w:tcMar>
            <w:vAlign w:val="top"/>
          </w:tcPr>
          <w:p>
            <w:pPr>
              <w:spacing w:after="0" w:line="240" w:lineRule="auto"/>
            </w:pPr>
            <w:r>
              <w:rPr>
                <w:sz w:val="17"/>
              </w:rPr>
              <w:t>O*(U)=inf log(diam(U)/diam(C_w)) over nonempty C_w⊆U.</w:t>
            </w:r>
          </w:p>
        </w:tc>
      </w:tr>
      <w:tr>
        <w:tc>
          <w:tcPr>
            <w:tcW w:type="dxa" w:w="2232"/>
            <w:tcMar>
              <w:top w:w="80" w:type="dxa"/>
              <w:start w:w="90" w:type="dxa"/>
              <w:bottom w:w="80" w:type="dxa"/>
              <w:end w:w="90" w:type="dxa"/>
            </w:tcMar>
            <w:vAlign w:val="top"/>
          </w:tcPr>
          <w:p>
            <w:pPr>
              <w:spacing w:after="0" w:line="240" w:lineRule="auto"/>
            </w:pPr>
            <w:r>
              <w:rPr>
                <w:sz w:val="17"/>
              </w:rPr>
              <w:t>Residual freedom</w:t>
            </w:r>
          </w:p>
        </w:tc>
        <w:tc>
          <w:tcPr>
            <w:tcW w:type="dxa" w:w="7560"/>
            <w:tcMar>
              <w:top w:w="80" w:type="dxa"/>
              <w:start w:w="90" w:type="dxa"/>
              <w:bottom w:w="80" w:type="dxa"/>
              <w:end w:w="90" w:type="dxa"/>
            </w:tcMar>
            <w:vAlign w:val="top"/>
          </w:tcPr>
          <w:p>
            <w:pPr>
              <w:spacing w:after="0" w:line="240" w:lineRule="auto"/>
            </w:pPr>
            <w:r>
              <w:rPr>
                <w:sz w:val="17"/>
              </w:rPr>
              <w:t>Cardinality, topological entropy, measure, conditional entropy, or dimension of [w]_Y or C_w.</w:t>
            </w:r>
          </w:p>
        </w:tc>
      </w:tr>
      <w:tr>
        <w:tc>
          <w:tcPr>
            <w:tcW w:type="dxa" w:w="2232"/>
            <w:shd w:fill="F7F9FB"/>
            <w:tcMar>
              <w:top w:w="80" w:type="dxa"/>
              <w:start w:w="90" w:type="dxa"/>
              <w:bottom w:w="80" w:type="dxa"/>
              <w:end w:w="90" w:type="dxa"/>
            </w:tcMar>
            <w:vAlign w:val="top"/>
          </w:tcPr>
          <w:p>
            <w:pPr>
              <w:spacing w:after="0" w:line="240" w:lineRule="auto"/>
            </w:pPr>
            <w:r>
              <w:rPr>
                <w:sz w:val="17"/>
              </w:rPr>
              <w:t>Language/alphabet resource</w:t>
            </w:r>
          </w:p>
        </w:tc>
        <w:tc>
          <w:tcPr>
            <w:tcW w:type="dxa" w:w="7560"/>
            <w:shd w:fill="F7F9FB"/>
            <w:tcMar>
              <w:top w:w="80" w:type="dxa"/>
              <w:start w:w="90" w:type="dxa"/>
              <w:bottom w:w="80" w:type="dxa"/>
              <w:end w:w="90" w:type="dxa"/>
            </w:tcMar>
            <w:vAlign w:val="top"/>
          </w:tcPr>
          <w:p>
            <w:pPr>
              <w:spacing w:after="0" w:line="240" w:lineRule="auto"/>
            </w:pPr>
            <w:r>
              <w:rPr>
                <w:sz w:val="17"/>
              </w:rPr>
              <w:t>A nested family Y_K⊆Y_{K+1}; its image A_K=π(Y_K) fixes possibilities at resource K.</w:t>
            </w:r>
          </w:p>
        </w:tc>
      </w:tr>
    </w:tbl>
    <w:p>
      <w:pPr>
        <w:spacing w:after="0"/>
      </w:pPr>
    </w:p>
    <w:p>
      <w:pPr>
        <w:pStyle w:val="Heading2"/>
        <w:keepNext/>
      </w:pPr>
      <w:r>
        <w:t>3.3 Three different processes that must not be conflated</w:t>
      </w:r>
    </w:p>
    <w:p>
      <w:pPr>
        <w:pStyle w:val="ListBullet"/>
        <w:spacing w:after="40"/>
      </w:pPr>
      <w:r>
        <w:t>Generative refinement: append symbols to choose a more specific object. Prefixes usually localize by construction.</w:t>
      </w:r>
    </w:p>
    <w:p>
      <w:pPr>
        <w:pStyle w:val="ListBullet"/>
        <w:spacing w:after="40"/>
      </w:pPr>
      <w:r>
        <w:t>Forward prediction: evolve a state through time. In chaotic or unstable dynamics, finite uncertainty can expand rather than shrink.</w:t>
      </w:r>
    </w:p>
    <w:p>
      <w:pPr>
        <w:pStyle w:val="ListBullet"/>
        <w:spacing w:after="40"/>
      </w:pPr>
      <w:r>
        <w:t>Control synthesis: choose inputs to force a target despite dynamics and disturbances. Reachability depends on controllability and stability, not only on coding.</w:t>
      </w:r>
    </w:p>
    <w:p>
      <w:pPr>
        <w:spacing w:after="80"/>
      </w:pPr>
      <w:r>
        <w:t>The continued-fraction experiments study generative refinement. Their conclusions cannot be transferred directly to forward physical causation or general control systems without additional assumptions.</w:t>
      </w:r>
    </w:p>
    <w:p>
      <w:bookmarkStart w:id="40" w:name="theorem"/>
      <w:pPr>
        <w:pStyle w:val="Heading1"/>
        <w:keepNext/>
      </w:pPr>
      <w:r>
        <w:t>4. The standard coding theorem</w:t>
      </w:r>
      <w:bookmarkEnd w:id="40"/>
    </w:p>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50" w:type="dxa"/>
              <w:bottom w:w="120" w:type="dxa"/>
              <w:end w:w="150" w:type="dxa"/>
            </w:tcMar>
            <w:tcBorders>
              <w:left w:val="single" w:sz="18" w:color="BF9000"/>
            </w:tcBorders>
          </w:tcPr>
          <w:p>
            <w:pPr>
              <w:spacing w:after="0"/>
            </w:pPr>
            <w:r>
              <w:rPr>
                <w:b/>
                <w:color w:val="1F4E79"/>
              </w:rPr>
              <w:t>Synthesis theorem - established consequence, not a new theorem</w:t>
            </w:r>
            <w:r>
              <w:br/>
              <w:t>Compact symbolic source + continuous coding is sufficient for finite-prefix localization and exact open-target reachability. This is the mathematical core the project was experimentally rediscovering.</w:t>
            </w:r>
          </w:p>
        </w:tc>
      </w:tr>
    </w:tbl>
    <w:p>
      <w:pPr>
        <w:spacing w:after="0"/>
      </w:pPr>
    </w:p>
    <w:p>
      <w:pPr>
        <w:pStyle w:val="Heading2"/>
        <w:keepNext/>
      </w:pPr>
      <w:r>
        <w:t>4.1 Theorem</w:t>
      </w:r>
    </w:p>
    <w:p>
      <w:pPr>
        <w:spacing w:after="80"/>
      </w:pPr>
      <w:r>
        <w:t>Let Σ be finite, let Y⊆Σ^N be compact, let X be a metric space, and let π:Y→X be continuous. For each admissible word w, let C_w=π([w]_Y), and let A=π(Y). Then:</w:t>
      </w:r>
    </w:p>
    <w:p>
      <w:pPr>
        <w:spacing w:after="40"/>
        <w:ind w:left="403" w:hanging="346"/>
      </w:pPr>
      <w:r>
        <w:rPr>
          <w:b w:val="0"/>
        </w:rPr>
        <w:t xml:space="preserve">1. </w:t>
      </w:r>
      <w:r>
        <w:t>Nestedness: if wa is an admissible extension of w, then C_wa⊆C_w.</w:t>
      </w:r>
    </w:p>
    <w:p>
      <w:pPr>
        <w:spacing w:after="40"/>
        <w:ind w:left="403" w:hanging="346"/>
      </w:pPr>
      <w:r>
        <w:rPr>
          <w:b w:val="0"/>
        </w:rPr>
        <w:t xml:space="preserve">2. </w:t>
      </w:r>
      <w:r>
        <w:t>Uniform localization: the maximum diameter of a nonempty length-n continuation set tends to zero as n tends to infinity.</w:t>
      </w:r>
    </w:p>
    <w:p>
      <w:pPr>
        <w:spacing w:after="40"/>
        <w:ind w:left="403" w:hanging="346"/>
      </w:pPr>
      <w:r>
        <w:rPr>
          <w:b w:val="0"/>
        </w:rPr>
        <w:t xml:space="preserve">3. </w:t>
      </w:r>
      <w:r>
        <w:t>Robust reachability: for every open U⊆X, there exists a nonempty prefix w with C_w⊆U if and only if U∩A is nonempty.</w:t>
      </w:r>
    </w:p>
    <w:p>
      <w:pPr>
        <w:spacing w:after="40"/>
        <w:ind w:left="403" w:hanging="346"/>
      </w:pPr>
      <w:r>
        <w:rPr>
          <w:b w:val="0"/>
        </w:rPr>
        <w:t xml:space="preserve">4. </w:t>
      </w:r>
      <w:r>
        <w:t>Finite target-mask saturation: for any finite collection of open targets, every reachable target has a certificate by some common finite depth N.</w:t>
      </w:r>
    </w:p>
    <w:p>
      <w:pPr>
        <w:spacing w:after="40"/>
        <w:ind w:left="403" w:hanging="346"/>
      </w:pPr>
      <w:r>
        <w:rPr>
          <w:b w:val="0"/>
        </w:rPr>
        <w:t xml:space="preserve">5. </w:t>
      </w:r>
      <w:r>
        <w:t>Resource monotonicity: if Y_K⊆Y_{K+1}, then A_K⊆A_{K+1}; increasing depth refines continuation sets within A_K, while changing K changes the asymptotic reachable set.</w:t>
      </w:r>
    </w:p>
    <w:p>
      <w:pPr>
        <w:pStyle w:val="Heading2"/>
        <w:keepNext/>
      </w:pPr>
      <w:r>
        <w:t>4.2 Proof</w:t>
      </w:r>
    </w:p>
    <w:p>
      <w:pPr>
        <w:spacing w:after="80"/>
      </w:pPr>
      <w:r>
        <w:t>Nestedness follows because [wa]_Y⊆[w]_Y. For localization, a length-n prefix cylinder has diameter at most 2^-n in the prefix metric. Continuity on compact Y implies uniform continuity, so images of sufficiently small prefix cylinders have uniformly small diameter. For reachability, if C_w⊆U then U intersects A. Conversely, choose x∈U∩A and a sequence s∈Y with π(s)=x. Continuity gives a prefix neighborhood of s whose image lies inside U. For a finite target collection, take the maximum of the finitely many first-success depths. Resource monotonicity follows directly from set inclusion.</w:t>
      </w:r>
    </w:p>
    <w:p>
      <w:pPr>
        <w:pStyle w:val="Heading2"/>
        <w:keepNext/>
      </w:pPr>
      <w:r>
        <w:t>4.3 Quantitative rate under Hölder or contracting coding</w:t>
      </w:r>
    </w:p>
    <w:p>
      <w:pPr>
        <w:spacing w:after="80"/>
      </w:pPr>
      <w:r>
        <w:t>If the coding satisfies a Hölder bound whenever two sequences agree for n symbols,</w:t>
      </w:r>
    </w:p>
    <w:p>
      <w:pPr>
        <w:spacing w:before="100" w:after="120"/>
        <w:jc w:val="center"/>
      </w:pPr>
      <w:r>
        <w:rPr>
          <w:rFonts w:ascii="FreeSerif" w:hAnsi="FreeSerif" w:eastAsia="FreeSerif"/>
          <w:sz w:val="21"/>
        </w:rPr>
        <w:t>d_X(π(s),π(t)) ≤ L·2^(-αn),</w:t>
      </w:r>
    </w:p>
    <w:p>
      <w:pPr>
        <w:spacing w:after="80"/>
      </w:pPr>
      <w:r>
        <w:t>then every length-n continuation set satisfies diam(C_w)≤L·2^(-αn). If x=π(s) lies at distance δ from the complement of an open target U, then any prefix length satisfying</w:t>
      </w:r>
    </w:p>
    <w:p>
      <w:pPr>
        <w:spacing w:before="100" w:after="120"/>
        <w:jc w:val="center"/>
      </w:pPr>
      <w:r>
        <w:rPr>
          <w:rFonts w:ascii="FreeSerif" w:hAnsi="FreeSerif" w:eastAsia="FreeSerif"/>
          <w:sz w:val="21"/>
        </w:rPr>
        <w:t>n ≥ log₂(L/δ) / α</w:t>
      </w:r>
    </w:p>
    <w:p>
      <w:pPr>
        <w:spacing w:after="80"/>
      </w:pPr>
      <w:r>
        <w:t>is sufficient for containment. In self-similar and conformal iterated function systems, products of contraction ratios or derivatives replace the uniform 2^-αn rate. In regular continued fractions, convergent denominators give the exact nonuniform rate.</w:t>
      </w:r>
    </w:p>
    <w:p>
      <w:pPr>
        <w:pStyle w:val="Heading2"/>
        <w:keepNext/>
      </w:pPr>
      <w:r>
        <w:t>4.4 What the theorem does and does not say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D9EAF7"/>
            <w:tcMar>
              <w:top w:w="80" w:type="dxa"/>
              <w:start w:w="90" w:type="dxa"/>
              <w:bottom w:w="80" w:type="dxa"/>
              <w:end w:w="90" w:type="dxa"/>
            </w:tcMar>
            <w:vAlign w:val="center"/>
          </w:tcPr>
          <w:p>
            <w:pPr>
              <w:jc w:val="left"/>
            </w:pPr>
            <w:r>
              <w:rPr>
                <w:b/>
                <w:sz w:val="17"/>
              </w:rPr>
              <w:t>Claim boundary</w:t>
            </w:r>
          </w:p>
        </w:tc>
        <w:tc>
          <w:tcPr>
            <w:tcW w:type="dxa" w:w="7992"/>
            <w:shd w:fill="D9EAF7"/>
            <w:tcMar>
              <w:top w:w="80" w:type="dxa"/>
              <w:start w:w="90" w:type="dxa"/>
              <w:bottom w:w="80" w:type="dxa"/>
              <w:end w:w="90" w:type="dxa"/>
            </w:tcMar>
            <w:vAlign w:val="center"/>
          </w:tcPr>
          <w:p>
            <w:pPr>
              <w:jc w:val="left"/>
            </w:pPr>
            <w:r>
              <w:rPr>
                <w:b/>
                <w:sz w:val="17"/>
              </w:rPr>
              <w:t>Meaning</w:t>
            </w:r>
          </w:p>
        </w:tc>
      </w:tr>
      <w:tr>
        <w:tc>
          <w:tcPr>
            <w:tcW w:type="dxa" w:w="1800"/>
            <w:tcMar>
              <w:top w:w="80" w:type="dxa"/>
              <w:start w:w="90" w:type="dxa"/>
              <w:bottom w:w="80" w:type="dxa"/>
              <w:end w:w="90" w:type="dxa"/>
            </w:tcMar>
            <w:vAlign w:val="top"/>
          </w:tcPr>
          <w:p>
            <w:pPr>
              <w:spacing w:after="0" w:line="240" w:lineRule="auto"/>
            </w:pPr>
            <w:r>
              <w:rPr>
                <w:sz w:val="17"/>
              </w:rPr>
              <w:t>It does say</w:t>
            </w:r>
          </w:p>
        </w:tc>
        <w:tc>
          <w:tcPr>
            <w:tcW w:type="dxa" w:w="7992"/>
            <w:tcMar>
              <w:top w:w="80" w:type="dxa"/>
              <w:start w:w="90" w:type="dxa"/>
              <w:bottom w:w="80" w:type="dxa"/>
              <w:end w:w="90" w:type="dxa"/>
            </w:tcMar>
            <w:vAlign w:val="top"/>
          </w:tcPr>
          <w:p>
            <w:pPr>
              <w:spacing w:after="0" w:line="240" w:lineRule="auto"/>
            </w:pPr>
            <w:r>
              <w:rPr>
                <w:sz w:val="17"/>
              </w:rPr>
              <w:t>Finite prefixes localize under the declared compact continuous coding.</w:t>
            </w:r>
          </w:p>
        </w:tc>
      </w:tr>
      <w:tr>
        <w:tc>
          <w:tcPr>
            <w:tcW w:type="dxa" w:w="1800"/>
            <w:shd w:fill="F7F9FB"/>
            <w:tcMar>
              <w:top w:w="80" w:type="dxa"/>
              <w:start w:w="90" w:type="dxa"/>
              <w:bottom w:w="80" w:type="dxa"/>
              <w:end w:w="90" w:type="dxa"/>
            </w:tcMar>
            <w:vAlign w:val="top"/>
          </w:tcPr>
          <w:p>
            <w:pPr>
              <w:spacing w:after="0" w:line="240" w:lineRule="auto"/>
            </w:pPr>
            <w:r>
              <w:rPr>
                <w:sz w:val="17"/>
              </w:rPr>
              <w:t>It does say</w:t>
            </w:r>
          </w:p>
        </w:tc>
        <w:tc>
          <w:tcPr>
            <w:tcW w:type="dxa" w:w="7992"/>
            <w:shd w:fill="F7F9FB"/>
            <w:tcMar>
              <w:top w:w="80" w:type="dxa"/>
              <w:start w:w="90" w:type="dxa"/>
              <w:bottom w:w="80" w:type="dxa"/>
              <w:end w:w="90" w:type="dxa"/>
            </w:tcMar>
            <w:vAlign w:val="top"/>
          </w:tcPr>
          <w:p>
            <w:pPr>
              <w:spacing w:after="0" w:line="240" w:lineRule="auto"/>
            </w:pPr>
            <w:r>
              <w:rPr>
                <w:sz w:val="17"/>
              </w:rPr>
              <w:t>The admissible language fixes the exact asymptotic possibility set.</w:t>
            </w:r>
          </w:p>
        </w:tc>
      </w:tr>
      <w:tr>
        <w:tc>
          <w:tcPr>
            <w:tcW w:type="dxa" w:w="1800"/>
            <w:tcMar>
              <w:top w:w="80" w:type="dxa"/>
              <w:start w:w="90" w:type="dxa"/>
              <w:bottom w:w="80" w:type="dxa"/>
              <w:end w:w="90" w:type="dxa"/>
            </w:tcMar>
            <w:vAlign w:val="top"/>
          </w:tcPr>
          <w:p>
            <w:pPr>
              <w:spacing w:after="0" w:line="240" w:lineRule="auto"/>
            </w:pPr>
            <w:r>
              <w:rPr>
                <w:sz w:val="17"/>
              </w:rPr>
              <w:t>It does say</w:t>
            </w:r>
          </w:p>
        </w:tc>
        <w:tc>
          <w:tcPr>
            <w:tcW w:type="dxa" w:w="7992"/>
            <w:tcMar>
              <w:top w:w="80" w:type="dxa"/>
              <w:start w:w="90" w:type="dxa"/>
              <w:bottom w:w="80" w:type="dxa"/>
              <w:end w:w="90" w:type="dxa"/>
            </w:tcMar>
            <w:vAlign w:val="top"/>
          </w:tcPr>
          <w:p>
            <w:pPr>
              <w:spacing w:after="0" w:line="240" w:lineRule="auto"/>
            </w:pPr>
            <w:r>
              <w:rPr>
                <w:sz w:val="17"/>
              </w:rPr>
              <w:t>Every open target intersecting that set contains some full continuation cylinder.</w:t>
            </w:r>
          </w:p>
        </w:tc>
      </w:tr>
      <w:tr>
        <w:tc>
          <w:tcPr>
            <w:tcW w:type="dxa" w:w="1800"/>
            <w:shd w:fill="F7F9FB"/>
            <w:tcMar>
              <w:top w:w="80" w:type="dxa"/>
              <w:start w:w="90" w:type="dxa"/>
              <w:bottom w:w="80" w:type="dxa"/>
              <w:end w:w="90" w:type="dxa"/>
            </w:tcMar>
            <w:vAlign w:val="top"/>
          </w:tcPr>
          <w:p>
            <w:pPr>
              <w:spacing w:after="0" w:line="240" w:lineRule="auto"/>
            </w:pPr>
            <w:r>
              <w:rPr>
                <w:sz w:val="17"/>
              </w:rPr>
              <w:t>It does not say</w:t>
            </w:r>
          </w:p>
        </w:tc>
        <w:tc>
          <w:tcPr>
            <w:tcW w:type="dxa" w:w="7992"/>
            <w:shd w:fill="F7F9FB"/>
            <w:tcMar>
              <w:top w:w="80" w:type="dxa"/>
              <w:start w:w="90" w:type="dxa"/>
              <w:bottom w:w="80" w:type="dxa"/>
              <w:end w:w="90" w:type="dxa"/>
            </w:tcMar>
            <w:vAlign w:val="top"/>
          </w:tcPr>
          <w:p>
            <w:pPr>
              <w:spacing w:after="0" w:line="240" w:lineRule="auto"/>
            </w:pPr>
            <w:r>
              <w:rPr>
                <w:sz w:val="17"/>
              </w:rPr>
              <w:t>The coding is unique, natural, physical, or causally fundamental.</w:t>
            </w:r>
          </w:p>
        </w:tc>
      </w:tr>
      <w:tr>
        <w:tc>
          <w:tcPr>
            <w:tcW w:type="dxa" w:w="1800"/>
            <w:tcMar>
              <w:top w:w="80" w:type="dxa"/>
              <w:start w:w="90" w:type="dxa"/>
              <w:bottom w:w="80" w:type="dxa"/>
              <w:end w:w="90" w:type="dxa"/>
            </w:tcMar>
            <w:vAlign w:val="top"/>
          </w:tcPr>
          <w:p>
            <w:pPr>
              <w:spacing w:after="0" w:line="240" w:lineRule="auto"/>
            </w:pPr>
            <w:r>
              <w:rPr>
                <w:sz w:val="17"/>
              </w:rPr>
              <w:t>It does not say</w:t>
            </w:r>
          </w:p>
        </w:tc>
        <w:tc>
          <w:tcPr>
            <w:tcW w:type="dxa" w:w="7992"/>
            <w:tcMar>
              <w:top w:w="80" w:type="dxa"/>
              <w:start w:w="90" w:type="dxa"/>
              <w:bottom w:w="80" w:type="dxa"/>
              <w:end w:w="90" w:type="dxa"/>
            </w:tcMar>
            <w:vAlign w:val="top"/>
          </w:tcPr>
          <w:p>
            <w:pPr>
              <w:spacing w:after="0" w:line="240" w:lineRule="auto"/>
            </w:pPr>
            <w:r>
              <w:rPr>
                <w:sz w:val="17"/>
              </w:rPr>
              <w:t>Raw prefix length is an intrinsic amount of organization.</w:t>
            </w:r>
          </w:p>
        </w:tc>
      </w:tr>
      <w:tr>
        <w:tc>
          <w:tcPr>
            <w:tcW w:type="dxa" w:w="1800"/>
            <w:shd w:fill="F7F9FB"/>
            <w:tcMar>
              <w:top w:w="80" w:type="dxa"/>
              <w:start w:w="90" w:type="dxa"/>
              <w:bottom w:w="80" w:type="dxa"/>
              <w:end w:w="90" w:type="dxa"/>
            </w:tcMar>
            <w:vAlign w:val="top"/>
          </w:tcPr>
          <w:p>
            <w:pPr>
              <w:spacing w:after="0" w:line="240" w:lineRule="auto"/>
            </w:pPr>
            <w:r>
              <w:rPr>
                <w:sz w:val="17"/>
              </w:rPr>
              <w:t>It does not say</w:t>
            </w:r>
          </w:p>
        </w:tc>
        <w:tc>
          <w:tcPr>
            <w:tcW w:type="dxa" w:w="7992"/>
            <w:shd w:fill="F7F9FB"/>
            <w:tcMar>
              <w:top w:w="80" w:type="dxa"/>
              <w:start w:w="90" w:type="dxa"/>
              <w:bottom w:w="80" w:type="dxa"/>
              <w:end w:w="90" w:type="dxa"/>
            </w:tcMar>
            <w:vAlign w:val="top"/>
          </w:tcPr>
          <w:p>
            <w:pPr>
              <w:spacing w:after="0" w:line="240" w:lineRule="auto"/>
            </w:pPr>
            <w:r>
              <w:rPr>
                <w:sz w:val="17"/>
              </w:rPr>
              <w:t>Finite observations predict unstable forward dynamics.</w:t>
            </w:r>
          </w:p>
        </w:tc>
      </w:tr>
      <w:tr>
        <w:tc>
          <w:tcPr>
            <w:tcW w:type="dxa" w:w="1800"/>
            <w:tcMar>
              <w:top w:w="80" w:type="dxa"/>
              <w:start w:w="90" w:type="dxa"/>
              <w:bottom w:w="80" w:type="dxa"/>
              <w:end w:w="90" w:type="dxa"/>
            </w:tcMar>
            <w:vAlign w:val="top"/>
          </w:tcPr>
          <w:p>
            <w:pPr>
              <w:spacing w:after="0" w:line="240" w:lineRule="auto"/>
            </w:pPr>
            <w:r>
              <w:rPr>
                <w:sz w:val="17"/>
              </w:rPr>
              <w:t>It does not say</w:t>
            </w:r>
          </w:p>
        </w:tc>
        <w:tc>
          <w:tcPr>
            <w:tcW w:type="dxa" w:w="7992"/>
            <w:tcMar>
              <w:top w:w="80" w:type="dxa"/>
              <w:start w:w="90" w:type="dxa"/>
              <w:bottom w:w="80" w:type="dxa"/>
              <w:end w:w="90" w:type="dxa"/>
            </w:tcMar>
            <w:vAlign w:val="top"/>
          </w:tcPr>
          <w:p>
            <w:pPr>
              <w:spacing w:after="0" w:line="240" w:lineRule="auto"/>
            </w:pPr>
            <w:r>
              <w:rPr>
                <w:sz w:val="17"/>
              </w:rPr>
              <w:t>Reachability or minimum cost is algorithmically decidable in every recursive system.</w:t>
            </w:r>
          </w:p>
        </w:tc>
      </w:tr>
    </w:tbl>
    <w:p>
      <w:pPr>
        <w:spacing w:after="0"/>
      </w:pPr>
    </w:p>
    <w:p>
      <w:bookmarkStart w:id="50" w:name="fields"/>
      <w:pPr>
        <w:pStyle w:val="Heading1"/>
        <w:keepNext/>
      </w:pPr>
      <w:r>
        <w:t>5. What each established field already contributes</w:t>
      </w:r>
      <w:bookmarkEnd w:id="50"/>
    </w:p>
    <w:p>
      <w:pPr>
        <w:pStyle w:val="Heading2"/>
        <w:keepNext/>
      </w:pPr>
      <w:r>
        <w:t>5.1 Symbolic dynamics</w:t>
      </w:r>
    </w:p>
    <w:p>
      <w:pPr>
        <w:spacing w:after="80"/>
      </w:pPr>
      <w:r>
        <w:t>Morse and Hedlund introduced symbolic dynamics as the study of shift spaces and symbolic trajectories. Modern symbolic dynamics formalizes finite words as cylinder sets, admissibility through subshifts, and long-run complexity through topological entropy. The project’s “finite prefix plus infinite continuation” is standard symbolic coding. A subshift’s language determines which finite words and infinite tails are possible; depth selects a cylinder but does not alter the shift space itself [1,2].</w:t>
      </w:r>
    </w:p>
    <w:p>
      <w:pPr>
        <w:pStyle w:val="Heading2"/>
        <w:keepNext/>
      </w:pPr>
      <w:r>
        <w:t>5.2 Automata and formal languages</w:t>
      </w:r>
    </w:p>
    <w:p>
      <w:pPr>
        <w:spacing w:after="80"/>
      </w:pPr>
      <w:r>
        <w:t>The Myhill-Nerode framework identifies two finite histories when they admit exactly the same future continuations. A language is regular precisely when there are finitely many such continuation-equivalence classes. Thus the project’s finite state as compressed history, constraint, and transition operator is classical automata theory. Büchi automata extend the idea to infinite words and ω-languages. The relevant established lesson is stronger than the project’s qualitative claim: finite continuation structure is exactly what finite automata recognize [3-5].</w:t>
      </w:r>
    </w:p>
    <w:p>
      <w:pPr>
        <w:pStyle w:val="Heading2"/>
        <w:keepNext/>
      </w:pPr>
      <w:r>
        <w:t>5.3 Iterated function systems and graph-directed constructions</w:t>
      </w:r>
    </w:p>
    <w:p>
      <w:pPr>
        <w:spacing w:after="80"/>
      </w:pPr>
      <w:r>
        <w:t>Hutchinson proved the existence and uniqueness of compact attractors for finite contracting systems. A finite operator word composes contractions and maps the attractor into a nested cell. Mauldin and Williams generalized the construction to graph-directed systems, where an admissible path controls both continuation and geometry. Pressure, transfer operators, and bounded-distortion theory quantify dimension and cylinder scales [6-8]. Continued-fraction restricted-digit sets are conformal IFS limit sets.</w:t>
      </w:r>
    </w:p>
    <w:p>
      <w:pPr>
        <w:pStyle w:val="Heading2"/>
        <w:keepNext/>
      </w:pPr>
      <w:r>
        <w:t>5.4 Information and ergodic theory</w:t>
      </w:r>
    </w:p>
    <w:p>
      <w:pPr>
        <w:spacing w:after="80"/>
      </w:pPr>
      <w:r>
        <w:t>Shannon entropy measures the average information carried by symbols and codewords. The Shannon-McMillan-Breiman theorem states that for a stationary ergodic source, typical length-n cylinders have probability approximately exp(-nh), where h is the entropy rate. This supplies a principled replacement for raw depth: information content -log μ([w]) rather than the number of symbols. In smooth dynamical systems, Lyapunov exponents quantify exponential expansion or contraction; in many conformal settings, entropy divided by a Lyapunov exponent determines dimension or typical geometric scaling [9-13].</w:t>
      </w:r>
    </w:p>
    <w:p>
      <w:pPr>
        <w:pStyle w:val="Heading2"/>
        <w:keepNext/>
      </w:pPr>
      <w:r>
        <w:t>5.5 Domain theory and computable analysis</w:t>
      </w:r>
    </w:p>
    <w:p>
      <w:pPr>
        <w:spacing w:after="80"/>
      </w:pPr>
      <w:r>
        <w:t>Scott’s domain theory models infinite computational objects as limits of directed systems of finite approximations. Compact or finite elements represent finite information; the infinite object is the supremum of increasingly informative approximants. Computable analysis similarly represents real numbers and functions through converging names. This is an exact established mathematics of finite information and infinite completion, but it concerns representation and computation, not a universal physical ontology [14,15].</w:t>
      </w:r>
    </w:p>
    <w:p>
      <w:pPr>
        <w:pStyle w:val="Heading2"/>
        <w:keepNext/>
      </w:pPr>
      <w:r>
        <w:t>5.6 Predictive-state and computational-mechanics models</w:t>
      </w:r>
    </w:p>
    <w:p>
      <w:pPr>
        <w:spacing w:after="80"/>
      </w:pPr>
      <w:r>
        <w:t>Computational mechanics groups past histories into causal states when they induce the same conditional distribution over futures. Shalizi and Crutchfield show that the resulting ε-machine is minimal among equally predictive representations under their assumptions. This directly formalizes “finite state stores the effective structure of history and constrains future continuation,” but probabilistically rather than geometrically [16].</w:t>
      </w:r>
    </w:p>
    <w:p>
      <w:pPr>
        <w:pStyle w:val="Heading2"/>
        <w:keepNext/>
      </w:pPr>
      <w:r>
        <w:t>5.7 Positional number systems and p-adic geometry</w:t>
      </w:r>
    </w:p>
    <w:p>
      <w:pPr>
        <w:spacing w:after="80"/>
      </w:pPr>
      <w:r>
        <w:t>In base-b expansion, n digits identify an interval of length b^-n, up to the familiar dual-expansion endpoints. In the p-adic integers, n digits identify a congruence class modulo p^n, exactly a p-adic ball of radius p^-n. No experiment is needed to establish localization or continuation in these systems; it is built into their metric and algebra [17-19].</w:t>
      </w:r>
    </w:p>
    <w:p>
      <w:pPr>
        <w:pStyle w:val="Heading2"/>
        <w:keepNext/>
      </w:pPr>
      <w:r>
        <w:t>5.8 Symbolic control and finite abstraction</w:t>
      </w:r>
    </w:p>
    <w:p>
      <w:pPr>
        <w:spacing w:after="80"/>
      </w:pPr>
      <w:r>
        <w:t>Control theory does not grant finite symbolic control models unconditionally. Under incremental stability, nonlinear systems can admit approximately bisimilar symbolic abstractions with arbitrarily selected precision; bounded state spaces can yield finite abstractions. These results show exactly which stability assumptions allow finite symbolic organization to represent continuous controlled behavior. Without such assumptions, reachability may be difficult or undecidable [20,21].</w:t>
      </w:r>
    </w:p>
    <w:p>
      <w:pPr>
        <w:pStyle w:val="Heading2"/>
        <w:keepNext/>
      </w:pPr>
      <w:r>
        <w:t>5.9 Undecidability and computational irreducibility</w:t>
      </w:r>
    </w:p>
    <w:p>
      <w:pPr>
        <w:spacing w:after="80"/>
      </w:pPr>
      <w:r>
        <w:t>Universal computation imposes a hard boundary. Moore showed that low-dimensional dynamical systems can simulate Turing machines, making broad long-term questions undecidable even with exact initial conditions. Related hybrid-system results establish decidable subclasses and undecidable generalizations. Therefore no universal experiment or algorithm can map all finite constraints to all infinite outcomes across unrestricted recursive systems [22-25].</w:t>
      </w:r>
    </w:p>
    <w:p>
      <w:pPr>
        <w:pStyle w:val="Heading2"/>
        <w:keepNext/>
      </w:pPr>
      <w:r>
        <w:t>5.10 Cross-field synthesis table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D9EAF7"/>
            <w:tcMar>
              <w:top w:w="80" w:type="dxa"/>
              <w:start w:w="90" w:type="dxa"/>
              <w:bottom w:w="80" w:type="dxa"/>
              <w:end w:w="90" w:type="dxa"/>
            </w:tcMar>
            <w:vAlign w:val="center"/>
          </w:tcPr>
          <w:p>
            <w:pPr>
              <w:jc w:val="left"/>
            </w:pPr>
            <w:r>
              <w:rPr>
                <w:b/>
                <w:sz w:val="15"/>
              </w:rPr>
              <w:t>Field</w:t>
            </w:r>
          </w:p>
        </w:tc>
        <w:tc>
          <w:tcPr>
            <w:tcW w:type="dxa" w:w="1944"/>
            <w:shd w:fill="D9EAF7"/>
            <w:tcMar>
              <w:top w:w="80" w:type="dxa"/>
              <w:start w:w="90" w:type="dxa"/>
              <w:bottom w:w="80" w:type="dxa"/>
              <w:end w:w="90" w:type="dxa"/>
            </w:tcMar>
            <w:vAlign w:val="center"/>
          </w:tcPr>
          <w:p>
            <w:pPr>
              <w:jc w:val="left"/>
            </w:pPr>
            <w:r>
              <w:rPr>
                <w:b/>
                <w:sz w:val="15"/>
              </w:rPr>
              <w:t>Finite object</w:t>
            </w:r>
          </w:p>
        </w:tc>
        <w:tc>
          <w:tcPr>
            <w:tcW w:type="dxa" w:w="2520"/>
            <w:shd w:fill="D9EAF7"/>
            <w:tcMar>
              <w:top w:w="80" w:type="dxa"/>
              <w:start w:w="90" w:type="dxa"/>
              <w:bottom w:w="80" w:type="dxa"/>
              <w:end w:w="90" w:type="dxa"/>
            </w:tcMar>
            <w:vAlign w:val="center"/>
          </w:tcPr>
          <w:p>
            <w:pPr>
              <w:jc w:val="left"/>
            </w:pPr>
            <w:r>
              <w:rPr>
                <w:b/>
                <w:sz w:val="15"/>
              </w:rPr>
              <w:t>Continuation</w:t>
            </w:r>
          </w:p>
        </w:tc>
        <w:tc>
          <w:tcPr>
            <w:tcW w:type="dxa" w:w="3528"/>
            <w:shd w:fill="D9EAF7"/>
            <w:tcMar>
              <w:top w:w="80" w:type="dxa"/>
              <w:start w:w="90" w:type="dxa"/>
              <w:bottom w:w="80" w:type="dxa"/>
              <w:end w:w="90" w:type="dxa"/>
            </w:tcMar>
            <w:vAlign w:val="center"/>
          </w:tcPr>
          <w:p>
            <w:pPr>
              <w:jc w:val="left"/>
            </w:pPr>
            <w:r>
              <w:rPr>
                <w:b/>
                <w:sz w:val="15"/>
              </w:rPr>
              <w:t>Established answer</w:t>
            </w:r>
          </w:p>
        </w:tc>
      </w:tr>
      <w:tr>
        <w:tc>
          <w:tcPr>
            <w:tcW w:type="dxa" w:w="1800"/>
            <w:tcMar>
              <w:top w:w="80" w:type="dxa"/>
              <w:start w:w="90" w:type="dxa"/>
              <w:bottom w:w="80" w:type="dxa"/>
              <w:end w:w="90" w:type="dxa"/>
            </w:tcMar>
            <w:vAlign w:val="top"/>
          </w:tcPr>
          <w:p>
            <w:pPr>
              <w:spacing w:after="0" w:line="240" w:lineRule="auto"/>
            </w:pPr>
            <w:r>
              <w:rPr>
                <w:sz w:val="15"/>
              </w:rPr>
              <w:t>Symbolic dynamics</w:t>
            </w:r>
          </w:p>
        </w:tc>
        <w:tc>
          <w:tcPr>
            <w:tcW w:type="dxa" w:w="1944"/>
            <w:tcMar>
              <w:top w:w="80" w:type="dxa"/>
              <w:start w:w="90" w:type="dxa"/>
              <w:bottom w:w="80" w:type="dxa"/>
              <w:end w:w="90" w:type="dxa"/>
            </w:tcMar>
            <w:vAlign w:val="top"/>
          </w:tcPr>
          <w:p>
            <w:pPr>
              <w:spacing w:after="0" w:line="240" w:lineRule="auto"/>
            </w:pPr>
            <w:r>
              <w:rPr>
                <w:sz w:val="15"/>
              </w:rPr>
              <w:t>Prefix cylinder</w:t>
            </w:r>
          </w:p>
        </w:tc>
        <w:tc>
          <w:tcPr>
            <w:tcW w:type="dxa" w:w="2520"/>
            <w:tcMar>
              <w:top w:w="80" w:type="dxa"/>
              <w:start w:w="90" w:type="dxa"/>
              <w:bottom w:w="80" w:type="dxa"/>
              <w:end w:w="90" w:type="dxa"/>
            </w:tcMar>
            <w:vAlign w:val="top"/>
          </w:tcPr>
          <w:p>
            <w:pPr>
              <w:spacing w:after="0" w:line="240" w:lineRule="auto"/>
            </w:pPr>
            <w:r>
              <w:rPr>
                <w:sz w:val="15"/>
              </w:rPr>
              <w:t>Infinite symbolic tail</w:t>
            </w:r>
          </w:p>
        </w:tc>
        <w:tc>
          <w:tcPr>
            <w:tcW w:type="dxa" w:w="3528"/>
            <w:tcMar>
              <w:top w:w="80" w:type="dxa"/>
              <w:start w:w="90" w:type="dxa"/>
              <w:bottom w:w="80" w:type="dxa"/>
              <w:end w:w="90" w:type="dxa"/>
            </w:tcMar>
            <w:vAlign w:val="top"/>
          </w:tcPr>
          <w:p>
            <w:pPr>
              <w:spacing w:after="0" w:line="240" w:lineRule="auto"/>
            </w:pPr>
            <w:r>
              <w:rPr>
                <w:sz w:val="15"/>
              </w:rPr>
              <w:t>Nestedness, entropy, coding</w:t>
            </w:r>
          </w:p>
        </w:tc>
      </w:tr>
      <w:tr>
        <w:tc>
          <w:tcPr>
            <w:tcW w:type="dxa" w:w="1800"/>
            <w:shd w:fill="F7F9FB"/>
            <w:tcMar>
              <w:top w:w="80" w:type="dxa"/>
              <w:start w:w="90" w:type="dxa"/>
              <w:bottom w:w="80" w:type="dxa"/>
              <w:end w:w="90" w:type="dxa"/>
            </w:tcMar>
            <w:vAlign w:val="top"/>
          </w:tcPr>
          <w:p>
            <w:pPr>
              <w:spacing w:after="0" w:line="240" w:lineRule="auto"/>
            </w:pPr>
            <w:r>
              <w:rPr>
                <w:sz w:val="15"/>
              </w:rPr>
              <w:t>Automata</w:t>
            </w:r>
          </w:p>
        </w:tc>
        <w:tc>
          <w:tcPr>
            <w:tcW w:type="dxa" w:w="1944"/>
            <w:shd w:fill="F7F9FB"/>
            <w:tcMar>
              <w:top w:w="80" w:type="dxa"/>
              <w:start w:w="90" w:type="dxa"/>
              <w:bottom w:w="80" w:type="dxa"/>
              <w:end w:w="90" w:type="dxa"/>
            </w:tcMar>
            <w:vAlign w:val="top"/>
          </w:tcPr>
          <w:p>
            <w:pPr>
              <w:spacing w:after="0" w:line="240" w:lineRule="auto"/>
            </w:pPr>
            <w:r>
              <w:rPr>
                <w:sz w:val="15"/>
              </w:rPr>
              <w:t>State / right-congruence class</w:t>
            </w:r>
          </w:p>
        </w:tc>
        <w:tc>
          <w:tcPr>
            <w:tcW w:type="dxa" w:w="2520"/>
            <w:shd w:fill="F7F9FB"/>
            <w:tcMar>
              <w:top w:w="80" w:type="dxa"/>
              <w:start w:w="90" w:type="dxa"/>
              <w:bottom w:w="80" w:type="dxa"/>
              <w:end w:w="90" w:type="dxa"/>
            </w:tcMar>
            <w:vAlign w:val="top"/>
          </w:tcPr>
          <w:p>
            <w:pPr>
              <w:spacing w:after="0" w:line="240" w:lineRule="auto"/>
            </w:pPr>
            <w:r>
              <w:rPr>
                <w:sz w:val="15"/>
              </w:rPr>
              <w:t>Accepted finite or infinite continuation</w:t>
            </w:r>
          </w:p>
        </w:tc>
        <w:tc>
          <w:tcPr>
            <w:tcW w:type="dxa" w:w="3528"/>
            <w:shd w:fill="F7F9FB"/>
            <w:tcMar>
              <w:top w:w="80" w:type="dxa"/>
              <w:start w:w="90" w:type="dxa"/>
              <w:bottom w:w="80" w:type="dxa"/>
              <w:end w:w="90" w:type="dxa"/>
            </w:tcMar>
            <w:vAlign w:val="top"/>
          </w:tcPr>
          <w:p>
            <w:pPr>
              <w:spacing w:after="0" w:line="240" w:lineRule="auto"/>
            </w:pPr>
            <w:r>
              <w:rPr>
                <w:sz w:val="15"/>
              </w:rPr>
              <w:t>Finite-state recognizability</w:t>
            </w:r>
          </w:p>
        </w:tc>
      </w:tr>
      <w:tr>
        <w:tc>
          <w:tcPr>
            <w:tcW w:type="dxa" w:w="1800"/>
            <w:tcMar>
              <w:top w:w="80" w:type="dxa"/>
              <w:start w:w="90" w:type="dxa"/>
              <w:bottom w:w="80" w:type="dxa"/>
              <w:end w:w="90" w:type="dxa"/>
            </w:tcMar>
            <w:vAlign w:val="top"/>
          </w:tcPr>
          <w:p>
            <w:pPr>
              <w:spacing w:after="0" w:line="240" w:lineRule="auto"/>
            </w:pPr>
            <w:r>
              <w:rPr>
                <w:sz w:val="15"/>
              </w:rPr>
              <w:t>IFS / fractals</w:t>
            </w:r>
          </w:p>
        </w:tc>
        <w:tc>
          <w:tcPr>
            <w:tcW w:type="dxa" w:w="1944"/>
            <w:tcMar>
              <w:top w:w="80" w:type="dxa"/>
              <w:start w:w="90" w:type="dxa"/>
              <w:bottom w:w="80" w:type="dxa"/>
              <w:end w:w="90" w:type="dxa"/>
            </w:tcMar>
            <w:vAlign w:val="top"/>
          </w:tcPr>
          <w:p>
            <w:pPr>
              <w:spacing w:after="0" w:line="240" w:lineRule="auto"/>
            </w:pPr>
            <w:r>
              <w:rPr>
                <w:sz w:val="15"/>
              </w:rPr>
              <w:t>Composed map word</w:t>
            </w:r>
          </w:p>
        </w:tc>
        <w:tc>
          <w:tcPr>
            <w:tcW w:type="dxa" w:w="2520"/>
            <w:tcMar>
              <w:top w:w="80" w:type="dxa"/>
              <w:start w:w="90" w:type="dxa"/>
              <w:bottom w:w="80" w:type="dxa"/>
              <w:end w:w="90" w:type="dxa"/>
            </w:tcMar>
            <w:vAlign w:val="top"/>
          </w:tcPr>
          <w:p>
            <w:pPr>
              <w:spacing w:after="0" w:line="240" w:lineRule="auto"/>
            </w:pPr>
            <w:r>
              <w:rPr>
                <w:sz w:val="15"/>
              </w:rPr>
              <w:t>Infinite address</w:t>
            </w:r>
          </w:p>
        </w:tc>
        <w:tc>
          <w:tcPr>
            <w:tcW w:type="dxa" w:w="3528"/>
            <w:tcMar>
              <w:top w:w="80" w:type="dxa"/>
              <w:start w:w="90" w:type="dxa"/>
              <w:bottom w:w="80" w:type="dxa"/>
              <w:end w:w="90" w:type="dxa"/>
            </w:tcMar>
            <w:vAlign w:val="top"/>
          </w:tcPr>
          <w:p>
            <w:pPr>
              <w:spacing w:after="0" w:line="240" w:lineRule="auto"/>
            </w:pPr>
            <w:r>
              <w:rPr>
                <w:sz w:val="15"/>
              </w:rPr>
              <w:t>Attractor cell, contraction, dimension</w:t>
            </w:r>
          </w:p>
        </w:tc>
      </w:tr>
      <w:tr>
        <w:tc>
          <w:tcPr>
            <w:tcW w:type="dxa" w:w="1800"/>
            <w:shd w:fill="F7F9FB"/>
            <w:tcMar>
              <w:top w:w="80" w:type="dxa"/>
              <w:start w:w="90" w:type="dxa"/>
              <w:bottom w:w="80" w:type="dxa"/>
              <w:end w:w="90" w:type="dxa"/>
            </w:tcMar>
            <w:vAlign w:val="top"/>
          </w:tcPr>
          <w:p>
            <w:pPr>
              <w:spacing w:after="0" w:line="240" w:lineRule="auto"/>
            </w:pPr>
            <w:r>
              <w:rPr>
                <w:sz w:val="15"/>
              </w:rPr>
              <w:t>Information theory</w:t>
            </w:r>
          </w:p>
        </w:tc>
        <w:tc>
          <w:tcPr>
            <w:tcW w:type="dxa" w:w="1944"/>
            <w:shd w:fill="F7F9FB"/>
            <w:tcMar>
              <w:top w:w="80" w:type="dxa"/>
              <w:start w:w="90" w:type="dxa"/>
              <w:bottom w:w="80" w:type="dxa"/>
              <w:end w:w="90" w:type="dxa"/>
            </w:tcMar>
            <w:vAlign w:val="top"/>
          </w:tcPr>
          <w:p>
            <w:pPr>
              <w:spacing w:after="0" w:line="240" w:lineRule="auto"/>
            </w:pPr>
            <w:r>
              <w:rPr>
                <w:sz w:val="15"/>
              </w:rPr>
              <w:t>Codeword / observed block</w:t>
            </w:r>
          </w:p>
        </w:tc>
        <w:tc>
          <w:tcPr>
            <w:tcW w:type="dxa" w:w="2520"/>
            <w:shd w:fill="F7F9FB"/>
            <w:tcMar>
              <w:top w:w="80" w:type="dxa"/>
              <w:start w:w="90" w:type="dxa"/>
              <w:bottom w:w="80" w:type="dxa"/>
              <w:end w:w="90" w:type="dxa"/>
            </w:tcMar>
            <w:vAlign w:val="top"/>
          </w:tcPr>
          <w:p>
            <w:pPr>
              <w:spacing w:after="0" w:line="240" w:lineRule="auto"/>
            </w:pPr>
            <w:r>
              <w:rPr>
                <w:sz w:val="15"/>
              </w:rPr>
              <w:t>Source continuation</w:t>
            </w:r>
          </w:p>
        </w:tc>
        <w:tc>
          <w:tcPr>
            <w:tcW w:type="dxa" w:w="3528"/>
            <w:shd w:fill="F7F9FB"/>
            <w:tcMar>
              <w:top w:w="80" w:type="dxa"/>
              <w:start w:w="90" w:type="dxa"/>
              <w:bottom w:w="80" w:type="dxa"/>
              <w:end w:w="90" w:type="dxa"/>
            </w:tcMar>
            <w:vAlign w:val="top"/>
          </w:tcPr>
          <w:p>
            <w:pPr>
              <w:spacing w:after="0" w:line="240" w:lineRule="auto"/>
            </w:pPr>
            <w:r>
              <w:rPr>
                <w:sz w:val="15"/>
              </w:rPr>
              <w:t>Information rate, typical cylinders</w:t>
            </w:r>
          </w:p>
        </w:tc>
      </w:tr>
      <w:tr>
        <w:tc>
          <w:tcPr>
            <w:tcW w:type="dxa" w:w="1800"/>
            <w:tcMar>
              <w:top w:w="80" w:type="dxa"/>
              <w:start w:w="90" w:type="dxa"/>
              <w:bottom w:w="80" w:type="dxa"/>
              <w:end w:w="90" w:type="dxa"/>
            </w:tcMar>
            <w:vAlign w:val="top"/>
          </w:tcPr>
          <w:p>
            <w:pPr>
              <w:spacing w:after="0" w:line="240" w:lineRule="auto"/>
            </w:pPr>
            <w:r>
              <w:rPr>
                <w:sz w:val="15"/>
              </w:rPr>
              <w:t>Domain theory</w:t>
            </w:r>
          </w:p>
        </w:tc>
        <w:tc>
          <w:tcPr>
            <w:tcW w:type="dxa" w:w="1944"/>
            <w:tcMar>
              <w:top w:w="80" w:type="dxa"/>
              <w:start w:w="90" w:type="dxa"/>
              <w:bottom w:w="80" w:type="dxa"/>
              <w:end w:w="90" w:type="dxa"/>
            </w:tcMar>
            <w:vAlign w:val="top"/>
          </w:tcPr>
          <w:p>
            <w:pPr>
              <w:spacing w:after="0" w:line="240" w:lineRule="auto"/>
            </w:pPr>
            <w:r>
              <w:rPr>
                <w:sz w:val="15"/>
              </w:rPr>
              <w:t>Compact finite approximant</w:t>
            </w:r>
          </w:p>
        </w:tc>
        <w:tc>
          <w:tcPr>
            <w:tcW w:type="dxa" w:w="2520"/>
            <w:tcMar>
              <w:top w:w="80" w:type="dxa"/>
              <w:start w:w="90" w:type="dxa"/>
              <w:bottom w:w="80" w:type="dxa"/>
              <w:end w:w="90" w:type="dxa"/>
            </w:tcMar>
            <w:vAlign w:val="top"/>
          </w:tcPr>
          <w:p>
            <w:pPr>
              <w:spacing w:after="0" w:line="240" w:lineRule="auto"/>
            </w:pPr>
            <w:r>
              <w:rPr>
                <w:sz w:val="15"/>
              </w:rPr>
              <w:t>Directed completion</w:t>
            </w:r>
          </w:p>
        </w:tc>
        <w:tc>
          <w:tcPr>
            <w:tcW w:type="dxa" w:w="3528"/>
            <w:tcMar>
              <w:top w:w="80" w:type="dxa"/>
              <w:start w:w="90" w:type="dxa"/>
              <w:bottom w:w="80" w:type="dxa"/>
              <w:end w:w="90" w:type="dxa"/>
            </w:tcMar>
            <w:vAlign w:val="top"/>
          </w:tcPr>
          <w:p>
            <w:pPr>
              <w:spacing w:after="0" w:line="240" w:lineRule="auto"/>
            </w:pPr>
            <w:r>
              <w:rPr>
                <w:sz w:val="15"/>
              </w:rPr>
              <w:t>Infinite object as supremum</w:t>
            </w:r>
          </w:p>
        </w:tc>
      </w:tr>
      <w:tr>
        <w:tc>
          <w:tcPr>
            <w:tcW w:type="dxa" w:w="1800"/>
            <w:shd w:fill="F7F9FB"/>
            <w:tcMar>
              <w:top w:w="80" w:type="dxa"/>
              <w:start w:w="90" w:type="dxa"/>
              <w:bottom w:w="80" w:type="dxa"/>
              <w:end w:w="90" w:type="dxa"/>
            </w:tcMar>
            <w:vAlign w:val="top"/>
          </w:tcPr>
          <w:p>
            <w:pPr>
              <w:spacing w:after="0" w:line="240" w:lineRule="auto"/>
            </w:pPr>
            <w:r>
              <w:rPr>
                <w:sz w:val="15"/>
              </w:rPr>
              <w:t>Computational mechanics</w:t>
            </w:r>
          </w:p>
        </w:tc>
        <w:tc>
          <w:tcPr>
            <w:tcW w:type="dxa" w:w="1944"/>
            <w:shd w:fill="F7F9FB"/>
            <w:tcMar>
              <w:top w:w="80" w:type="dxa"/>
              <w:start w:w="90" w:type="dxa"/>
              <w:bottom w:w="80" w:type="dxa"/>
              <w:end w:w="90" w:type="dxa"/>
            </w:tcMar>
            <w:vAlign w:val="top"/>
          </w:tcPr>
          <w:p>
            <w:pPr>
              <w:spacing w:after="0" w:line="240" w:lineRule="auto"/>
            </w:pPr>
            <w:r>
              <w:rPr>
                <w:sz w:val="15"/>
              </w:rPr>
              <w:t>Causal state</w:t>
            </w:r>
          </w:p>
        </w:tc>
        <w:tc>
          <w:tcPr>
            <w:tcW w:type="dxa" w:w="2520"/>
            <w:shd w:fill="F7F9FB"/>
            <w:tcMar>
              <w:top w:w="80" w:type="dxa"/>
              <w:start w:w="90" w:type="dxa"/>
              <w:bottom w:w="80" w:type="dxa"/>
              <w:end w:w="90" w:type="dxa"/>
            </w:tcMar>
            <w:vAlign w:val="top"/>
          </w:tcPr>
          <w:p>
            <w:pPr>
              <w:spacing w:after="0" w:line="240" w:lineRule="auto"/>
            </w:pPr>
            <w:r>
              <w:rPr>
                <w:sz w:val="15"/>
              </w:rPr>
              <w:t>Future distribution</w:t>
            </w:r>
          </w:p>
        </w:tc>
        <w:tc>
          <w:tcPr>
            <w:tcW w:type="dxa" w:w="3528"/>
            <w:shd w:fill="F7F9FB"/>
            <w:tcMar>
              <w:top w:w="80" w:type="dxa"/>
              <w:start w:w="90" w:type="dxa"/>
              <w:bottom w:w="80" w:type="dxa"/>
              <w:end w:w="90" w:type="dxa"/>
            </w:tcMar>
            <w:vAlign w:val="top"/>
          </w:tcPr>
          <w:p>
            <w:pPr>
              <w:spacing w:after="0" w:line="240" w:lineRule="auto"/>
            </w:pPr>
            <w:r>
              <w:rPr>
                <w:sz w:val="15"/>
              </w:rPr>
              <w:t>Minimal predictive state</w:t>
            </w:r>
          </w:p>
        </w:tc>
      </w:tr>
      <w:tr>
        <w:tc>
          <w:tcPr>
            <w:tcW w:type="dxa" w:w="1800"/>
            <w:tcMar>
              <w:top w:w="80" w:type="dxa"/>
              <w:start w:w="90" w:type="dxa"/>
              <w:bottom w:w="80" w:type="dxa"/>
              <w:end w:w="90" w:type="dxa"/>
            </w:tcMar>
            <w:vAlign w:val="top"/>
          </w:tcPr>
          <w:p>
            <w:pPr>
              <w:spacing w:after="0" w:line="240" w:lineRule="auto"/>
            </w:pPr>
            <w:r>
              <w:rPr>
                <w:sz w:val="15"/>
              </w:rPr>
              <w:t>Base-b / p-adics</w:t>
            </w:r>
          </w:p>
        </w:tc>
        <w:tc>
          <w:tcPr>
            <w:tcW w:type="dxa" w:w="1944"/>
            <w:tcMar>
              <w:top w:w="80" w:type="dxa"/>
              <w:start w:w="90" w:type="dxa"/>
              <w:bottom w:w="80" w:type="dxa"/>
              <w:end w:w="90" w:type="dxa"/>
            </w:tcMar>
            <w:vAlign w:val="top"/>
          </w:tcPr>
          <w:p>
            <w:pPr>
              <w:spacing w:after="0" w:line="240" w:lineRule="auto"/>
            </w:pPr>
            <w:r>
              <w:rPr>
                <w:sz w:val="15"/>
              </w:rPr>
              <w:t>Finite digit prefix</w:t>
            </w:r>
          </w:p>
        </w:tc>
        <w:tc>
          <w:tcPr>
            <w:tcW w:type="dxa" w:w="2520"/>
            <w:tcMar>
              <w:top w:w="80" w:type="dxa"/>
              <w:start w:w="90" w:type="dxa"/>
              <w:bottom w:w="80" w:type="dxa"/>
              <w:end w:w="90" w:type="dxa"/>
            </w:tcMar>
            <w:vAlign w:val="top"/>
          </w:tcPr>
          <w:p>
            <w:pPr>
              <w:spacing w:after="0" w:line="240" w:lineRule="auto"/>
            </w:pPr>
            <w:r>
              <w:rPr>
                <w:sz w:val="15"/>
              </w:rPr>
              <w:t>Digit tail</w:t>
            </w:r>
          </w:p>
        </w:tc>
        <w:tc>
          <w:tcPr>
            <w:tcW w:type="dxa" w:w="3528"/>
            <w:tcMar>
              <w:top w:w="80" w:type="dxa"/>
              <w:start w:w="90" w:type="dxa"/>
              <w:bottom w:w="80" w:type="dxa"/>
              <w:end w:w="90" w:type="dxa"/>
            </w:tcMar>
            <w:vAlign w:val="top"/>
          </w:tcPr>
          <w:p>
            <w:pPr>
              <w:spacing w:after="0" w:line="240" w:lineRule="auto"/>
            </w:pPr>
            <w:r>
              <w:rPr>
                <w:sz w:val="15"/>
              </w:rPr>
              <w:t>Exact interval or ultrametric ball</w:t>
            </w:r>
          </w:p>
        </w:tc>
      </w:tr>
      <w:tr>
        <w:tc>
          <w:tcPr>
            <w:tcW w:type="dxa" w:w="1800"/>
            <w:shd w:fill="F7F9FB"/>
            <w:tcMar>
              <w:top w:w="80" w:type="dxa"/>
              <w:start w:w="90" w:type="dxa"/>
              <w:bottom w:w="80" w:type="dxa"/>
              <w:end w:w="90" w:type="dxa"/>
            </w:tcMar>
            <w:vAlign w:val="top"/>
          </w:tcPr>
          <w:p>
            <w:pPr>
              <w:spacing w:after="0" w:line="240" w:lineRule="auto"/>
            </w:pPr>
            <w:r>
              <w:rPr>
                <w:sz w:val="15"/>
              </w:rPr>
              <w:t>Symbolic control</w:t>
            </w:r>
          </w:p>
        </w:tc>
        <w:tc>
          <w:tcPr>
            <w:tcW w:type="dxa" w:w="1944"/>
            <w:shd w:fill="F7F9FB"/>
            <w:tcMar>
              <w:top w:w="80" w:type="dxa"/>
              <w:start w:w="90" w:type="dxa"/>
              <w:bottom w:w="80" w:type="dxa"/>
              <w:end w:w="90" w:type="dxa"/>
            </w:tcMar>
            <w:vAlign w:val="top"/>
          </w:tcPr>
          <w:p>
            <w:pPr>
              <w:spacing w:after="0" w:line="240" w:lineRule="auto"/>
            </w:pPr>
            <w:r>
              <w:rPr>
                <w:sz w:val="15"/>
              </w:rPr>
              <w:t>Finite abstract state</w:t>
            </w:r>
          </w:p>
        </w:tc>
        <w:tc>
          <w:tcPr>
            <w:tcW w:type="dxa" w:w="2520"/>
            <w:shd w:fill="F7F9FB"/>
            <w:tcMar>
              <w:top w:w="80" w:type="dxa"/>
              <w:start w:w="90" w:type="dxa"/>
              <w:bottom w:w="80" w:type="dxa"/>
              <w:end w:w="90" w:type="dxa"/>
            </w:tcMar>
            <w:vAlign w:val="top"/>
          </w:tcPr>
          <w:p>
            <w:pPr>
              <w:spacing w:after="0" w:line="240" w:lineRule="auto"/>
            </w:pPr>
            <w:r>
              <w:rPr>
                <w:sz w:val="15"/>
              </w:rPr>
              <w:t>Controlled trajectory</w:t>
            </w:r>
          </w:p>
        </w:tc>
        <w:tc>
          <w:tcPr>
            <w:tcW w:type="dxa" w:w="3528"/>
            <w:shd w:fill="F7F9FB"/>
            <w:tcMar>
              <w:top w:w="80" w:type="dxa"/>
              <w:start w:w="90" w:type="dxa"/>
              <w:bottom w:w="80" w:type="dxa"/>
              <w:end w:w="90" w:type="dxa"/>
            </w:tcMar>
            <w:vAlign w:val="top"/>
          </w:tcPr>
          <w:p>
            <w:pPr>
              <w:spacing w:after="0" w:line="240" w:lineRule="auto"/>
            </w:pPr>
            <w:r>
              <w:rPr>
                <w:sz w:val="15"/>
              </w:rPr>
              <w:t>Approximate bisimulation under stability</w:t>
            </w:r>
          </w:p>
        </w:tc>
      </w:tr>
      <w:tr>
        <w:tc>
          <w:tcPr>
            <w:tcW w:type="dxa" w:w="1800"/>
            <w:tcMar>
              <w:top w:w="80" w:type="dxa"/>
              <w:start w:w="90" w:type="dxa"/>
              <w:bottom w:w="80" w:type="dxa"/>
              <w:end w:w="90" w:type="dxa"/>
            </w:tcMar>
            <w:vAlign w:val="top"/>
          </w:tcPr>
          <w:p>
            <w:pPr>
              <w:spacing w:after="0" w:line="240" w:lineRule="auto"/>
            </w:pPr>
            <w:r>
              <w:rPr>
                <w:sz w:val="15"/>
              </w:rPr>
              <w:t>Computability theory</w:t>
            </w:r>
          </w:p>
        </w:tc>
        <w:tc>
          <w:tcPr>
            <w:tcW w:type="dxa" w:w="1944"/>
            <w:tcMar>
              <w:top w:w="80" w:type="dxa"/>
              <w:start w:w="90" w:type="dxa"/>
              <w:bottom w:w="80" w:type="dxa"/>
              <w:end w:w="90" w:type="dxa"/>
            </w:tcMar>
            <w:vAlign w:val="top"/>
          </w:tcPr>
          <w:p>
            <w:pPr>
              <w:spacing w:after="0" w:line="240" w:lineRule="auto"/>
            </w:pPr>
            <w:r>
              <w:rPr>
                <w:sz w:val="15"/>
              </w:rPr>
              <w:t>Finite program/configuration</w:t>
            </w:r>
          </w:p>
        </w:tc>
        <w:tc>
          <w:tcPr>
            <w:tcW w:type="dxa" w:w="2520"/>
            <w:tcMar>
              <w:top w:w="80" w:type="dxa"/>
              <w:start w:w="90" w:type="dxa"/>
              <w:bottom w:w="80" w:type="dxa"/>
              <w:end w:w="90" w:type="dxa"/>
            </w:tcMar>
            <w:vAlign w:val="top"/>
          </w:tcPr>
          <w:p>
            <w:pPr>
              <w:spacing w:after="0" w:line="240" w:lineRule="auto"/>
            </w:pPr>
            <w:r>
              <w:rPr>
                <w:sz w:val="15"/>
              </w:rPr>
              <w:t>Unbounded computation</w:t>
            </w:r>
          </w:p>
        </w:tc>
        <w:tc>
          <w:tcPr>
            <w:tcW w:type="dxa" w:w="3528"/>
            <w:tcMar>
              <w:top w:w="80" w:type="dxa"/>
              <w:start w:w="90" w:type="dxa"/>
              <w:bottom w:w="80" w:type="dxa"/>
              <w:end w:w="90" w:type="dxa"/>
            </w:tcMar>
            <w:vAlign w:val="top"/>
          </w:tcPr>
          <w:p>
            <w:pPr>
              <w:spacing w:after="0" w:line="240" w:lineRule="auto"/>
            </w:pPr>
            <w:r>
              <w:rPr>
                <w:sz w:val="15"/>
              </w:rPr>
              <w:t>Undecidability boundary</w:t>
            </w:r>
          </w:p>
        </w:tc>
      </w:tr>
    </w:tbl>
    <w:p>
      <w:pPr>
        <w:spacing w:after="0"/>
      </w:pPr>
    </w:p>
    <w:p>
      <w:bookmarkStart w:id="60" w:name="cf"/>
      <w:pPr>
        <w:pStyle w:val="Heading1"/>
        <w:keepNext/>
      </w:pPr>
      <w:r>
        <w:t>6. Continued fractions as one special case</w:t>
      </w:r>
      <w:bookmarkEnd w:id="60"/>
    </w:p>
    <w:p>
      <w:pPr>
        <w:pStyle w:val="Heading2"/>
        <w:keepNext/>
      </w:pPr>
      <w:r>
        <w:t>6.1 Exact cylinder geometry</w:t>
      </w:r>
    </w:p>
    <w:p>
      <w:pPr>
        <w:spacing w:after="80"/>
      </w:pPr>
      <w:r>
        <w:t>For a regular continued fraction x=[0;a₁,a₂,…], a finite word w=(a₁,…,aₙ) defines a cylinder containing all compatible infinite tails. If pₙ/qₙ and pₙ₋₁/qₙ₋₁ are adjacent convergents, the cylinder endpoints are determined by these convergents, and its exact length is</w:t>
      </w:r>
    </w:p>
    <w:p>
      <w:pPr>
        <w:spacing w:before="100" w:after="120"/>
        <w:jc w:val="center"/>
      </w:pPr>
      <w:r>
        <w:rPr>
          <w:rFonts w:ascii="FreeSerif" w:hAnsi="FreeSerif" w:eastAsia="FreeSerif"/>
          <w:sz w:val="21"/>
        </w:rPr>
        <w:t>|C_w| = 1 / [qₙ(qₙ+qₙ₋₁)].</w:t>
      </w:r>
    </w:p>
    <w:p>
      <w:pPr>
        <w:spacing w:after="80"/>
      </w:pPr>
      <w:r>
        <w:t>Thus “focusing” is exactly denominator growth. The denominator qₙ is an Euler continuant, so changing the digit order generally changes qₙ and the width. This is the mathematical content of Experiment 1 [26-28].</w:t>
      </w:r>
    </w:p>
    <w:p>
      <w:pPr>
        <w:pStyle w:val="Heading2"/>
        <w:keepNext/>
      </w:pPr>
      <w:r>
        <w:t>6.2 Bounded alphabets</w:t>
      </w:r>
    </w:p>
    <w:p>
      <w:pPr>
        <w:spacing w:after="80"/>
      </w:pPr>
      <w:r>
        <w:t>Restricting every partial quotient to 1≤aᵢ≤K produces the classical compact set</w:t>
      </w:r>
    </w:p>
    <w:p>
      <w:pPr>
        <w:spacing w:before="100" w:after="120"/>
        <w:jc w:val="center"/>
      </w:pPr>
      <w:r>
        <w:rPr>
          <w:rFonts w:ascii="FreeSerif" w:hAnsi="FreeSerif" w:eastAsia="FreeSerif"/>
          <w:sz w:val="21"/>
        </w:rPr>
        <w:t>E_K = { [0;a₁,a₂,…] : 1≤aᵢ≤K for all i }.</w:t>
      </w:r>
    </w:p>
    <w:p>
      <w:pPr>
        <w:spacing w:after="80"/>
      </w:pPr>
      <w:r>
        <w:t>For finite K≥2, E_K is a continued-fraction Cantor set with Hausdorff dimension strictly between zero and one. It has empty interior and permanent complementary gaps. Thermodynamic formalism and transfer operators determine its dimension, and rigorous algorithms compute dimensions with certified error bounds. This is the mathematical content of Experiment 2 [29-35].</w:t>
      </w:r>
    </w:p>
    <w:p>
      <w:pPr>
        <w:pStyle w:val="Heading2"/>
        <w:keepNext/>
      </w:pPr>
      <w:r>
        <w:t>6.3 Exact interpretation of project results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D9EAF7"/>
            <w:tcMar>
              <w:top w:w="80" w:type="dxa"/>
              <w:start w:w="90" w:type="dxa"/>
              <w:bottom w:w="80" w:type="dxa"/>
              <w:end w:w="90" w:type="dxa"/>
            </w:tcMar>
            <w:vAlign w:val="center"/>
          </w:tcPr>
          <w:p>
            <w:pPr>
              <w:jc w:val="left"/>
            </w:pPr>
            <w:r>
              <w:rPr>
                <w:b/>
                <w:sz w:val="17"/>
              </w:rPr>
              <w:t>Project fact</w:t>
            </w:r>
          </w:p>
        </w:tc>
        <w:tc>
          <w:tcPr>
            <w:tcW w:type="dxa" w:w="6624"/>
            <w:shd w:fill="D9EAF7"/>
            <w:tcMar>
              <w:top w:w="80" w:type="dxa"/>
              <w:start w:w="90" w:type="dxa"/>
              <w:bottom w:w="80" w:type="dxa"/>
              <w:end w:w="90" w:type="dxa"/>
            </w:tcMar>
            <w:vAlign w:val="center"/>
          </w:tcPr>
          <w:p>
            <w:pPr>
              <w:jc w:val="left"/>
            </w:pPr>
            <w:r>
              <w:rPr>
                <w:b/>
                <w:sz w:val="17"/>
              </w:rPr>
              <w:t>Scientific status</w:t>
            </w:r>
          </w:p>
        </w:tc>
      </w:tr>
      <w:tr>
        <w:tc>
          <w:tcPr>
            <w:tcW w:type="dxa" w:w="3168"/>
            <w:tcMar>
              <w:top w:w="80" w:type="dxa"/>
              <w:start w:w="90" w:type="dxa"/>
              <w:bottom w:w="80" w:type="dxa"/>
              <w:end w:w="90" w:type="dxa"/>
            </w:tcMar>
            <w:vAlign w:val="top"/>
          </w:tcPr>
          <w:p>
            <w:pPr>
              <w:spacing w:after="0" w:line="240" w:lineRule="auto"/>
            </w:pPr>
            <w:r>
              <w:rPr>
                <w:sz w:val="17"/>
              </w:rPr>
              <w:t>12,295,602 enumerated words</w:t>
            </w:r>
          </w:p>
        </w:tc>
        <w:tc>
          <w:tcPr>
            <w:tcW w:type="dxa" w:w="6624"/>
            <w:tcMar>
              <w:top w:w="80" w:type="dxa"/>
              <w:start w:w="90" w:type="dxa"/>
              <w:bottom w:w="80" w:type="dxa"/>
              <w:end w:w="90" w:type="dxa"/>
            </w:tcMar>
            <w:vAlign w:val="top"/>
          </w:tcPr>
          <w:p>
            <w:pPr>
              <w:spacing w:after="0" w:line="240" w:lineRule="auto"/>
            </w:pPr>
            <w:r>
              <w:rPr>
                <w:sz w:val="17"/>
              </w:rPr>
              <w:t>A valid exact finite computation and implementation stress test.</w:t>
            </w:r>
          </w:p>
        </w:tc>
      </w:tr>
      <w:tr>
        <w:tc>
          <w:tcPr>
            <w:tcW w:type="dxa" w:w="3168"/>
            <w:shd w:fill="F7F9FB"/>
            <w:tcMar>
              <w:top w:w="80" w:type="dxa"/>
              <w:start w:w="90" w:type="dxa"/>
              <w:bottom w:w="80" w:type="dxa"/>
              <w:end w:w="90" w:type="dxa"/>
            </w:tcMar>
            <w:vAlign w:val="top"/>
          </w:tcPr>
          <w:p>
            <w:pPr>
              <w:spacing w:after="0" w:line="240" w:lineRule="auto"/>
            </w:pPr>
            <w:r>
              <w:rPr>
                <w:sz w:val="17"/>
              </w:rPr>
              <w:t>Within-cell width dispersion</w:t>
            </w:r>
          </w:p>
        </w:tc>
        <w:tc>
          <w:tcPr>
            <w:tcW w:type="dxa" w:w="6624"/>
            <w:shd w:fill="F7F9FB"/>
            <w:tcMar>
              <w:top w:w="80" w:type="dxa"/>
              <w:start w:w="90" w:type="dxa"/>
              <w:bottom w:w="80" w:type="dxa"/>
              <w:end w:w="90" w:type="dxa"/>
            </w:tcMar>
            <w:vAlign w:val="top"/>
          </w:tcPr>
          <w:p>
            <w:pPr>
              <w:spacing w:after="0" w:line="240" w:lineRule="auto"/>
            </w:pPr>
            <w:r>
              <w:rPr>
                <w:sz w:val="17"/>
              </w:rPr>
              <w:t>A descriptive statistic of non-injective coarse location versus continuant growth.</w:t>
            </w:r>
          </w:p>
        </w:tc>
      </w:tr>
      <w:tr>
        <w:tc>
          <w:tcPr>
            <w:tcW w:type="dxa" w:w="3168"/>
            <w:tcMar>
              <w:top w:w="80" w:type="dxa"/>
              <w:start w:w="90" w:type="dxa"/>
              <w:bottom w:w="80" w:type="dxa"/>
              <w:end w:w="90" w:type="dxa"/>
            </w:tcMar>
            <w:vAlign w:val="top"/>
          </w:tcPr>
          <w:p>
            <w:pPr>
              <w:spacing w:after="0" w:line="240" w:lineRule="auto"/>
            </w:pPr>
            <w:r>
              <w:rPr>
                <w:sz w:val="17"/>
              </w:rPr>
              <w:t>Order-only width dispersion</w:t>
            </w:r>
          </w:p>
        </w:tc>
        <w:tc>
          <w:tcPr>
            <w:tcW w:type="dxa" w:w="6624"/>
            <w:tcMar>
              <w:top w:w="80" w:type="dxa"/>
              <w:start w:w="90" w:type="dxa"/>
              <w:bottom w:w="80" w:type="dxa"/>
              <w:end w:w="90" w:type="dxa"/>
            </w:tcMar>
            <w:vAlign w:val="top"/>
          </w:tcPr>
          <w:p>
            <w:pPr>
              <w:spacing w:after="0" w:line="240" w:lineRule="auto"/>
            </w:pPr>
            <w:r>
              <w:rPr>
                <w:sz w:val="17"/>
              </w:rPr>
              <w:t>A finite sample of classical continuant order sensitivity.</w:t>
            </w:r>
          </w:p>
        </w:tc>
      </w:tr>
      <w:tr>
        <w:tc>
          <w:tcPr>
            <w:tcW w:type="dxa" w:w="3168"/>
            <w:shd w:fill="F7F9FB"/>
            <w:tcMar>
              <w:top w:w="80" w:type="dxa"/>
              <w:start w:w="90" w:type="dxa"/>
              <w:bottom w:w="80" w:type="dxa"/>
              <w:end w:w="90" w:type="dxa"/>
            </w:tcMar>
            <w:vAlign w:val="top"/>
          </w:tcPr>
          <w:p>
            <w:pPr>
              <w:spacing w:after="0" w:line="240" w:lineRule="auto"/>
            </w:pPr>
            <w:r>
              <w:rPr>
                <w:sz w:val="17"/>
              </w:rPr>
              <w:t>K=5: 1229/4094 robust cells</w:t>
            </w:r>
          </w:p>
        </w:tc>
        <w:tc>
          <w:tcPr>
            <w:tcW w:type="dxa" w:w="6624"/>
            <w:shd w:fill="F7F9FB"/>
            <w:tcMar>
              <w:top w:w="80" w:type="dxa"/>
              <w:start w:w="90" w:type="dxa"/>
              <w:bottom w:w="80" w:type="dxa"/>
              <w:end w:w="90" w:type="dxa"/>
            </w:tcMar>
            <w:vAlign w:val="top"/>
          </w:tcPr>
          <w:p>
            <w:pPr>
              <w:spacing w:after="0" w:line="240" w:lineRule="auto"/>
            </w:pPr>
            <w:r>
              <w:rPr>
                <w:sz w:val="17"/>
              </w:rPr>
              <w:t>An exact grid-aligned covering count for one K, depth, and resolution.</w:t>
            </w:r>
          </w:p>
        </w:tc>
      </w:tr>
      <w:tr>
        <w:tc>
          <w:tcPr>
            <w:tcW w:type="dxa" w:w="3168"/>
            <w:tcMar>
              <w:top w:w="80" w:type="dxa"/>
              <w:start w:w="90" w:type="dxa"/>
              <w:bottom w:w="80" w:type="dxa"/>
              <w:end w:w="90" w:type="dxa"/>
            </w:tcMar>
            <w:vAlign w:val="top"/>
          </w:tcPr>
          <w:p>
            <w:pPr>
              <w:spacing w:after="0" w:line="240" w:lineRule="auto"/>
            </w:pPr>
            <w:r>
              <w:rPr>
                <w:sz w:val="17"/>
              </w:rPr>
              <w:t>Depth 10 complete asymptotic mask</w:t>
            </w:r>
          </w:p>
        </w:tc>
        <w:tc>
          <w:tcPr>
            <w:tcW w:type="dxa" w:w="6624"/>
            <w:tcMar>
              <w:top w:w="80" w:type="dxa"/>
              <w:start w:w="90" w:type="dxa"/>
              <w:bottom w:w="80" w:type="dxa"/>
              <w:end w:w="90" w:type="dxa"/>
            </w:tcMar>
            <w:vAlign w:val="top"/>
          </w:tcPr>
          <w:p>
            <w:pPr>
              <w:spacing w:after="0" w:line="240" w:lineRule="auto"/>
            </w:pPr>
            <w:r>
              <w:rPr>
                <w:sz w:val="17"/>
              </w:rPr>
              <w:t>A finite saturation certificate for one target partition.</w:t>
            </w:r>
          </w:p>
        </w:tc>
      </w:tr>
      <w:tr>
        <w:tc>
          <w:tcPr>
            <w:tcW w:type="dxa" w:w="3168"/>
            <w:shd w:fill="F7F9FB"/>
            <w:tcMar>
              <w:top w:w="80" w:type="dxa"/>
              <w:start w:w="90" w:type="dxa"/>
              <w:bottom w:w="80" w:type="dxa"/>
              <w:end w:w="90" w:type="dxa"/>
            </w:tcMar>
            <w:vAlign w:val="top"/>
          </w:tcPr>
          <w:p>
            <w:pPr>
              <w:spacing w:after="0" w:line="240" w:lineRule="auto"/>
            </w:pPr>
            <w:r>
              <w:rPr>
                <w:sz w:val="17"/>
              </w:rPr>
              <w:t>2865 missing cells structurally excluded</w:t>
            </w:r>
          </w:p>
        </w:tc>
        <w:tc>
          <w:tcPr>
            <w:tcW w:type="dxa" w:w="6624"/>
            <w:shd w:fill="F7F9FB"/>
            <w:tcMar>
              <w:top w:w="80" w:type="dxa"/>
              <w:start w:w="90" w:type="dxa"/>
              <w:bottom w:w="80" w:type="dxa"/>
              <w:end w:w="90" w:type="dxa"/>
            </w:tcMar>
            <w:vAlign w:val="top"/>
          </w:tcPr>
          <w:p>
            <w:pPr>
              <w:spacing w:after="0" w:line="240" w:lineRule="auto"/>
            </w:pPr>
            <w:r>
              <w:rPr>
                <w:sz w:val="17"/>
              </w:rPr>
              <w:t>A finite-resolution manifestation of E_5’s complementary gaps.</w:t>
            </w:r>
          </w:p>
        </w:tc>
      </w:tr>
      <w:tr>
        <w:tc>
          <w:tcPr>
            <w:tcW w:type="dxa" w:w="3168"/>
            <w:tcMar>
              <w:top w:w="80" w:type="dxa"/>
              <w:start w:w="90" w:type="dxa"/>
              <w:bottom w:w="80" w:type="dxa"/>
              <w:end w:w="90" w:type="dxa"/>
            </w:tcMar>
            <w:vAlign w:val="top"/>
          </w:tcPr>
          <w:p>
            <w:pPr>
              <w:spacing w:after="0" w:line="240" w:lineRule="auto"/>
            </w:pPr>
            <w:r>
              <w:rPr>
                <w:sz w:val="17"/>
              </w:rPr>
              <w:t>245 greedy misses</w:t>
            </w:r>
          </w:p>
        </w:tc>
        <w:tc>
          <w:tcPr>
            <w:tcW w:type="dxa" w:w="6624"/>
            <w:tcMar>
              <w:top w:w="80" w:type="dxa"/>
              <w:start w:w="90" w:type="dxa"/>
              <w:bottom w:w="80" w:type="dxa"/>
              <w:end w:w="90" w:type="dxa"/>
            </w:tcMar>
            <w:vAlign w:val="top"/>
          </w:tcPr>
          <w:p>
            <w:pPr>
              <w:spacing w:after="0" w:line="240" w:lineRule="auto"/>
            </w:pPr>
            <w:r>
              <w:rPr>
                <w:sz w:val="17"/>
              </w:rPr>
              <w:t>A useful algorithmic benchmark, not a new theorem about continuation.</w:t>
            </w:r>
          </w:p>
        </w:tc>
      </w:tr>
    </w:tbl>
    <w:p>
      <w:pPr>
        <w:spacing w:after="0"/>
      </w:pPr>
    </w:p>
    <w:p>
      <w:pPr>
        <w:pStyle w:val="Heading2"/>
        <w:keepNext/>
      </w:pPr>
      <w:r>
        <w:t>6.4 The correct generalization</w:t>
      </w:r>
    </w:p>
    <w:p>
      <w:pPr>
        <w:spacing w:after="80"/>
      </w:pPr>
      <w:r>
        <w:t>The experiments do not support a new universal law derived from continued fractions. They provide a concrete instance of the standard coding theorem. The defensible general statement is:</w:t>
      </w:r>
    </w:p>
    <w:tbl>
      <w:tblPr>
        <w:tblW w:type="auto" w:w="0"/>
        <w:jc w:val="center"/>
        <w:tblLayout w:type="autofit"/>
        <w:tblLook w:firstColumn="1" w:firstRow="1" w:lastColumn="0" w:lastRow="0" w:noHBand="0" w:noVBand="1" w:val="04A0"/>
      </w:tblPr>
      <w:tblGrid>
        <w:gridCol w:w="10166"/>
      </w:tblGrid>
      <w:tr>
        <w:tc>
          <w:tcPr>
            <w:tcW w:type="dxa" w:w="10166"/>
            <w:shd w:fill="EAF2F8"/>
            <w:tcMar>
              <w:top w:w="120" w:type="dxa"/>
              <w:start w:w="150" w:type="dxa"/>
              <w:bottom w:w="120" w:type="dxa"/>
              <w:end w:w="150" w:type="dxa"/>
            </w:tcMar>
            <w:tcBorders>
              <w:left w:val="single" w:sz="18" w:color="5B9BD5"/>
            </w:tcBorders>
          </w:tcPr>
          <w:p>
            <w:pPr>
              <w:spacing w:after="0"/>
            </w:pPr>
            <w:r>
              <w:rPr>
                <w:b/>
                <w:color w:val="1F4E79"/>
              </w:rPr>
              <w:t>General statement</w:t>
            </w:r>
            <w:r>
              <w:br/>
              <w:t>For a compact admissible symbolic space with a continuous coding map, finite prefixes define nested compatible continuation sets; open-target reachability is intersection with the coded limit set; quantitative localization is controlled by the regularity and contraction of the coding.</w:t>
            </w:r>
          </w:p>
        </w:tc>
      </w:tr>
    </w:tbl>
    <w:p>
      <w:pPr>
        <w:spacing w:after="0"/>
      </w:pPr>
    </w:p>
    <w:p>
      <w:bookmarkStart w:id="70" w:name="universal"/>
      <w:pPr>
        <w:pStyle w:val="Heading1"/>
        <w:keepNext/>
      </w:pPr>
      <w:r>
        <w:t>7. What is genuinely universal - and what is not</w:t>
      </w:r>
      <w:bookmarkEnd w:id="70"/>
    </w:p>
    <w:p>
      <w:pPr>
        <w:pStyle w:val="Heading2"/>
        <w:keepNext/>
      </w:pPr>
      <w:r>
        <w:t>7.1 Universality at the topological level</w:t>
      </w:r>
    </w:p>
    <w:p>
      <w:pPr>
        <w:spacing w:after="80"/>
      </w:pPr>
      <w:r>
        <w:t>At the weakest topological level, the principle is extraordinarily general. Cantor space can continuously map onto every nonempty compact metric space. The standard coding theorem then guarantees prefix localization. This explains why the project repeatedly encountered the same structure in different mathematical examples.</w:t>
      </w:r>
    </w:p>
    <w:p>
      <w:pPr>
        <w:pStyle w:val="Heading2"/>
        <w:keepNext/>
      </w:pPr>
      <w:r>
        <w:t>7.2 Why this can become tautological</w:t>
      </w:r>
    </w:p>
    <w:p>
      <w:pPr>
        <w:spacing w:after="80"/>
      </w:pPr>
      <w:r>
        <w:t>The same theorem also weakens any ontological claim. If arbitrary continuous codings are allowed, one can impose a prefix structure on almost any compact metric object. The existence of such a coding does not show that nature stores the object as a sequence, that the coding is dynamically privileged, or that the finite prefixes are causal. The theory becomes scientifically substantive only after the coding is fixed by independent structure: a generating partition, transition law, measurement process, physical control channel, or canonical arithmetic expansion.</w:t>
      </w:r>
    </w:p>
    <w:p>
      <w:pPr>
        <w:pStyle w:val="Heading2"/>
        <w:keepNext/>
      </w:pPr>
      <w:r>
        <w:t>7.3 Raw depth is not intrinsic</w:t>
      </w:r>
    </w:p>
    <w:p>
      <w:pPr>
        <w:spacing w:after="80"/>
      </w:pPr>
      <w:r>
        <w:t>Take any binary coding and group symbols into nonoverlapping blocks of length two. The represented points and reachable set remain unchanged, but a prefix of 2n binary symbols becomes a prefix of n block symbols. Minimum depth is divided by approximately two. The alphabet size changes from 2 to 4. Reblocking by length b changes both quantities arbitrarily. Therefore:</w:t>
      </w:r>
    </w:p>
    <w:p>
      <w:pPr>
        <w:spacing w:before="100" w:after="120"/>
        <w:jc w:val="center"/>
      </w:pPr>
      <w:r>
        <w:rPr>
          <w:rFonts w:ascii="FreeSerif" w:hAnsi="FreeSerif" w:eastAsia="FreeSerif"/>
          <w:sz w:val="21"/>
        </w:rPr>
        <w:t>raw prefix depth and alphabet size are properties of a representation, not of the represented object.</w:t>
      </w:r>
    </w:p>
    <w:p>
      <w:pPr>
        <w:spacing w:after="80"/>
      </w:pPr>
      <w:r>
        <w:t>This counterexample does not require computation. It directly invalidates a universal interpretation of K*(J) and N*(J;K).</w:t>
      </w:r>
    </w:p>
    <w:p>
      <w:pPr>
        <w:pStyle w:val="Heading2"/>
        <w:keepNext/>
      </w:pPr>
      <w:r>
        <w:t>7.4 More defensible normalized quantities</w:t>
      </w:r>
    </w:p>
    <w:p>
      <w:pPr>
        <w:pStyle w:val="ListBullet"/>
        <w:spacing w:after="40"/>
      </w:pPr>
      <w:r>
        <w:t>Information cost: I(w)=-log μ([w]) under a declared source or equilibrium measure.</w:t>
      </w:r>
    </w:p>
    <w:p>
      <w:pPr>
        <w:pStyle w:val="ListBullet"/>
        <w:spacing w:after="40"/>
      </w:pPr>
      <w:r>
        <w:t>Geometric cost: G(w)=-log diam(C_w) under a declared metric.</w:t>
      </w:r>
    </w:p>
    <w:p>
      <w:pPr>
        <w:pStyle w:val="ListBullet"/>
        <w:spacing w:after="40"/>
      </w:pPr>
      <w:r>
        <w:t>Computational cost: time or space on a fixed machine model and exact input encoding.</w:t>
      </w:r>
    </w:p>
    <w:p>
      <w:pPr>
        <w:pStyle w:val="ListBullet"/>
        <w:spacing w:after="40"/>
      </w:pPr>
      <w:r>
        <w:t>Control energy or time: physical resources in a specified dynamical system.</w:t>
      </w:r>
    </w:p>
    <w:p>
      <w:pPr>
        <w:pStyle w:val="ListBullet"/>
        <w:spacing w:after="40"/>
      </w:pPr>
      <w:r>
        <w:t>Residual freedom: conditional entropy, measure, or dimension after a prefix.</w:t>
      </w:r>
    </w:p>
    <w:p>
      <w:pPr>
        <w:spacing w:after="80"/>
      </w:pPr>
      <w:r>
        <w:t>These quantities can still change under general coordinate transformations. A serious universality claim must specify an allowed equivalence class, such as bi-Lipschitz, bi-Hölder, bounded-block, or computable conjugacy, and prove stability within that class.</w:t>
      </w:r>
    </w:p>
    <w:p>
      <w:pPr>
        <w:pStyle w:val="Heading2"/>
        <w:keepNext/>
      </w:pPr>
      <w:r>
        <w:t>7.5 Localization is not forward predictability</w:t>
      </w:r>
    </w:p>
    <w:p>
      <w:pPr>
        <w:spacing w:after="80"/>
      </w:pPr>
      <w:r>
        <w:t>A generative prefix can narrow a coded object while a forward dynamical system amplifies uncertainty. Positive Lyapunov exponents make initially nearby states separate exponentially. Entropy measures the rate at which new information is required to maintain predictive resolution. Therefore the project’s localization principle and the arrow of time are not the same theorem.</w:t>
      </w:r>
    </w:p>
    <w:p>
      <w:pPr>
        <w:pStyle w:val="Heading2"/>
        <w:keepNext/>
      </w:pPr>
      <w:r>
        <w:t>7.6 Universal computation blocks a universal control atlas</w:t>
      </w:r>
    </w:p>
    <w:p>
      <w:pPr>
        <w:spacing w:after="80"/>
      </w:pPr>
      <w:r>
        <w:t>When the transition system can simulate a Turing machine, questions such as eventual reachability, recurrence, termination, or long-term behavior can encode the halting problem. Some restricted systems remain decidable, but no finite experimental campaign can establish a complete control-cost law for unrestricted recursive systems. The research program must declare a tractable model class.</w:t>
      </w:r>
    </w:p>
    <w:p>
      <w:bookmarkStart w:id="80" w:name="audit"/>
      <w:pPr>
        <w:pStyle w:val="Heading1"/>
        <w:keepNext/>
      </w:pPr>
      <w:r>
        <w:t>8. Novelty audit of Experiments 1-3</w:t>
      </w:r>
      <w:bookmarkEnd w:id="80"/>
    </w:p>
    <w:p>
      <w:pPr>
        <w:pStyle w:val="Heading2"/>
        <w:keepNext/>
      </w:pPr>
      <w:r>
        <w:t>8.1 Experiment 1</w:t>
      </w:r>
    </w:p>
    <w:p>
      <w:pPr>
        <w:spacing w:after="80"/>
      </w:pPr>
      <w:r>
        <w:t>Claim tested: finite continued-fraction words can steer cylinder location and focus cylinder width, with order effects and incomplete coverage. The exact facts are sound project computations. The mechanism is classical: cylinders, convergents, determinant identities, continuants, and their rearrangements. Novelty verdict: no new foundational result. Potential residual value: a benchmark dataset for search algorithms and exact arithmetic implementations.</w:t>
      </w:r>
    </w:p>
    <w:p>
      <w:pPr>
        <w:pStyle w:val="Heading2"/>
        <w:keepNext/>
      </w:pPr>
      <w:r>
        <w:t>8.2 Experiment 2</w:t>
      </w:r>
    </w:p>
    <w:p>
      <w:pPr>
        <w:spacing w:after="80"/>
      </w:pPr>
      <w:r>
        <w:t>Claim tested: persistent gaps arise from the bounded coefficient alphabet rather than insufficient depth. This is precisely the limit-set interpretation of restricted-digit continued fractions. The finite statement that depth 10 saturates one particular dyadic mask is a project certificate, but the qualitative conclusion is classical. Novelty verdict: no new foundational result. Potential residual value: an independently reproducible finite saturation certificate.</w:t>
      </w:r>
    </w:p>
    <w:p>
      <w:pPr>
        <w:pStyle w:val="Heading2"/>
        <w:keepNext/>
      </w:pPr>
      <w:r>
        <w:t>8.3 Proposed Experiment 3</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D9EAF7"/>
            <w:tcMar>
              <w:top w:w="80" w:type="dxa"/>
              <w:start w:w="90" w:type="dxa"/>
              <w:bottom w:w="80" w:type="dxa"/>
              <w:end w:w="90" w:type="dxa"/>
            </w:tcMar>
            <w:vAlign w:val="center"/>
          </w:tcPr>
          <w:p>
            <w:pPr>
              <w:jc w:val="left"/>
            </w:pPr>
            <w:r>
              <w:rPr>
                <w:b/>
                <w:sz w:val="15"/>
              </w:rPr>
              <w:t>Quantity</w:t>
            </w:r>
          </w:p>
        </w:tc>
        <w:tc>
          <w:tcPr>
            <w:tcW w:type="dxa" w:w="2736"/>
            <w:shd w:fill="D9EAF7"/>
            <w:tcMar>
              <w:top w:w="80" w:type="dxa"/>
              <w:start w:w="90" w:type="dxa"/>
              <w:bottom w:w="80" w:type="dxa"/>
              <w:end w:w="90" w:type="dxa"/>
            </w:tcMar>
            <w:vAlign w:val="center"/>
          </w:tcPr>
          <w:p>
            <w:pPr>
              <w:jc w:val="left"/>
            </w:pPr>
            <w:r>
              <w:rPr>
                <w:b/>
                <w:sz w:val="15"/>
              </w:rPr>
              <w:t>Meaning</w:t>
            </w:r>
          </w:p>
        </w:tc>
        <w:tc>
          <w:tcPr>
            <w:tcW w:type="dxa" w:w="2592"/>
            <w:shd w:fill="D9EAF7"/>
            <w:tcMar>
              <w:top w:w="80" w:type="dxa"/>
              <w:start w:w="90" w:type="dxa"/>
              <w:bottom w:w="80" w:type="dxa"/>
              <w:end w:w="90" w:type="dxa"/>
            </w:tcMar>
            <w:vAlign w:val="center"/>
          </w:tcPr>
          <w:p>
            <w:pPr>
              <w:jc w:val="left"/>
            </w:pPr>
            <w:r>
              <w:rPr>
                <w:b/>
                <w:sz w:val="15"/>
              </w:rPr>
              <w:t>Prior framework</w:t>
            </w:r>
          </w:p>
        </w:tc>
        <w:tc>
          <w:tcPr>
            <w:tcW w:type="dxa" w:w="2880"/>
            <w:shd w:fill="D9EAF7"/>
            <w:tcMar>
              <w:top w:w="80" w:type="dxa"/>
              <w:start w:w="90" w:type="dxa"/>
              <w:bottom w:w="80" w:type="dxa"/>
              <w:end w:w="90" w:type="dxa"/>
            </w:tcMar>
            <w:vAlign w:val="center"/>
          </w:tcPr>
          <w:p>
            <w:pPr>
              <w:jc w:val="left"/>
            </w:pPr>
            <w:r>
              <w:rPr>
                <w:b/>
                <w:sz w:val="15"/>
              </w:rPr>
              <w:t>Verdict</w:t>
            </w:r>
          </w:p>
        </w:tc>
      </w:tr>
      <w:tr>
        <w:tc>
          <w:tcPr>
            <w:tcW w:type="dxa" w:w="1584"/>
            <w:tcMar>
              <w:top w:w="80" w:type="dxa"/>
              <w:start w:w="90" w:type="dxa"/>
              <w:bottom w:w="80" w:type="dxa"/>
              <w:end w:w="90" w:type="dxa"/>
            </w:tcMar>
            <w:vAlign w:val="top"/>
          </w:tcPr>
          <w:p>
            <w:pPr>
              <w:spacing w:after="0" w:line="240" w:lineRule="auto"/>
            </w:pPr>
            <w:r>
              <w:rPr>
                <w:sz w:val="15"/>
              </w:rPr>
              <w:t>K*(J)</w:t>
            </w:r>
          </w:p>
        </w:tc>
        <w:tc>
          <w:tcPr>
            <w:tcW w:type="dxa" w:w="2736"/>
            <w:tcMar>
              <w:top w:w="80" w:type="dxa"/>
              <w:start w:w="90" w:type="dxa"/>
              <w:bottom w:w="80" w:type="dxa"/>
              <w:end w:w="90" w:type="dxa"/>
            </w:tcMar>
            <w:vAlign w:val="top"/>
          </w:tcPr>
          <w:p>
            <w:pPr>
              <w:spacing w:after="0" w:line="240" w:lineRule="auto"/>
            </w:pPr>
            <w:r>
              <w:rPr>
                <w:sz w:val="15"/>
              </w:rPr>
              <w:t>Minimum resource-family index whose limit set intersects J</w:t>
            </w:r>
          </w:p>
        </w:tc>
        <w:tc>
          <w:tcPr>
            <w:tcW w:type="dxa" w:w="2592"/>
            <w:tcMar>
              <w:top w:w="80" w:type="dxa"/>
              <w:start w:w="90" w:type="dxa"/>
              <w:bottom w:w="80" w:type="dxa"/>
              <w:end w:w="90" w:type="dxa"/>
            </w:tcMar>
            <w:vAlign w:val="top"/>
          </w:tcPr>
          <w:p>
            <w:pPr>
              <w:spacing w:after="0" w:line="240" w:lineRule="auto"/>
            </w:pPr>
            <w:r>
              <w:rPr>
                <w:sz w:val="15"/>
              </w:rPr>
              <w:t>Nested attractor/language threshold</w:t>
            </w:r>
          </w:p>
        </w:tc>
        <w:tc>
          <w:tcPr>
            <w:tcW w:type="dxa" w:w="2880"/>
            <w:tcMar>
              <w:top w:w="80" w:type="dxa"/>
              <w:start w:w="90" w:type="dxa"/>
              <w:bottom w:w="80" w:type="dxa"/>
              <w:end w:w="90" w:type="dxa"/>
            </w:tcMar>
            <w:vAlign w:val="top"/>
          </w:tcPr>
          <w:p>
            <w:pPr>
              <w:spacing w:after="0" w:line="240" w:lineRule="auto"/>
            </w:pPr>
            <w:r>
              <w:rPr>
                <w:sz w:val="15"/>
              </w:rPr>
              <w:t>Representation-specific; not intrinsically novel</w:t>
            </w:r>
          </w:p>
        </w:tc>
      </w:tr>
      <w:tr>
        <w:tc>
          <w:tcPr>
            <w:tcW w:type="dxa" w:w="1584"/>
            <w:shd w:fill="F7F9FB"/>
            <w:tcMar>
              <w:top w:w="80" w:type="dxa"/>
              <w:start w:w="90" w:type="dxa"/>
              <w:bottom w:w="80" w:type="dxa"/>
              <w:end w:w="90" w:type="dxa"/>
            </w:tcMar>
            <w:vAlign w:val="top"/>
          </w:tcPr>
          <w:p>
            <w:pPr>
              <w:spacing w:after="0" w:line="240" w:lineRule="auto"/>
            </w:pPr>
            <w:r>
              <w:rPr>
                <w:sz w:val="15"/>
              </w:rPr>
              <w:t>N*(J;K)</w:t>
            </w:r>
          </w:p>
        </w:tc>
        <w:tc>
          <w:tcPr>
            <w:tcW w:type="dxa" w:w="2736"/>
            <w:shd w:fill="F7F9FB"/>
            <w:tcMar>
              <w:top w:w="80" w:type="dxa"/>
              <w:start w:w="90" w:type="dxa"/>
              <w:bottom w:w="80" w:type="dxa"/>
              <w:end w:w="90" w:type="dxa"/>
            </w:tcMar>
            <w:vAlign w:val="top"/>
          </w:tcPr>
          <w:p>
            <w:pPr>
              <w:spacing w:after="0" w:line="240" w:lineRule="auto"/>
            </w:pPr>
            <w:r>
              <w:rPr>
                <w:sz w:val="15"/>
              </w:rPr>
              <w:t>Shortest prefix whose continuation set lies in J</w:t>
            </w:r>
          </w:p>
        </w:tc>
        <w:tc>
          <w:tcPr>
            <w:tcW w:type="dxa" w:w="2592"/>
            <w:shd w:fill="F7F9FB"/>
            <w:tcMar>
              <w:top w:w="80" w:type="dxa"/>
              <w:start w:w="90" w:type="dxa"/>
              <w:bottom w:w="80" w:type="dxa"/>
              <w:end w:w="90" w:type="dxa"/>
            </w:tcMar>
            <w:vAlign w:val="top"/>
          </w:tcPr>
          <w:p>
            <w:pPr>
              <w:spacing w:after="0" w:line="240" w:lineRule="auto"/>
            </w:pPr>
            <w:r>
              <w:rPr>
                <w:sz w:val="15"/>
              </w:rPr>
              <w:t>Shortest cylinder containment / coding depth / stopping set</w:t>
            </w:r>
          </w:p>
        </w:tc>
        <w:tc>
          <w:tcPr>
            <w:tcW w:type="dxa" w:w="2880"/>
            <w:shd w:fill="F7F9FB"/>
            <w:tcMar>
              <w:top w:w="80" w:type="dxa"/>
              <w:start w:w="90" w:type="dxa"/>
              <w:bottom w:w="80" w:type="dxa"/>
              <w:end w:w="90" w:type="dxa"/>
            </w:tcMar>
            <w:vAlign w:val="top"/>
          </w:tcPr>
          <w:p>
            <w:pPr>
              <w:spacing w:after="0" w:line="240" w:lineRule="auto"/>
            </w:pPr>
            <w:r>
              <w:rPr>
                <w:sz w:val="15"/>
              </w:rPr>
              <w:t>Raw depth fails recoding invariance</w:t>
            </w:r>
          </w:p>
        </w:tc>
      </w:tr>
      <w:tr>
        <w:tc>
          <w:tcPr>
            <w:tcW w:type="dxa" w:w="1584"/>
            <w:tcMar>
              <w:top w:w="80" w:type="dxa"/>
              <w:start w:w="90" w:type="dxa"/>
              <w:bottom w:w="80" w:type="dxa"/>
              <w:end w:w="90" w:type="dxa"/>
            </w:tcMar>
            <w:vAlign w:val="top"/>
          </w:tcPr>
          <w:p>
            <w:pPr>
              <w:spacing w:after="0" w:line="240" w:lineRule="auto"/>
            </w:pPr>
            <w:r>
              <w:rPr>
                <w:sz w:val="15"/>
              </w:rPr>
              <w:t>O*(J;K)</w:t>
            </w:r>
          </w:p>
        </w:tc>
        <w:tc>
          <w:tcPr>
            <w:tcW w:type="dxa" w:w="2736"/>
            <w:tcMar>
              <w:top w:w="80" w:type="dxa"/>
              <w:start w:w="90" w:type="dxa"/>
              <w:bottom w:w="80" w:type="dxa"/>
              <w:end w:w="90" w:type="dxa"/>
            </w:tcMar>
            <w:vAlign w:val="top"/>
          </w:tcPr>
          <w:p>
            <w:pPr>
              <w:spacing w:after="0" w:line="240" w:lineRule="auto"/>
            </w:pPr>
            <w:r>
              <w:rPr>
                <w:sz w:val="15"/>
              </w:rPr>
              <w:t>Extra geometric precision beyond target width</w:t>
            </w:r>
          </w:p>
        </w:tc>
        <w:tc>
          <w:tcPr>
            <w:tcW w:type="dxa" w:w="2592"/>
            <w:tcMar>
              <w:top w:w="80" w:type="dxa"/>
              <w:start w:w="90" w:type="dxa"/>
              <w:bottom w:w="80" w:type="dxa"/>
              <w:end w:w="90" w:type="dxa"/>
            </w:tcMar>
            <w:vAlign w:val="top"/>
          </w:tcPr>
          <w:p>
            <w:pPr>
              <w:spacing w:after="0" w:line="240" w:lineRule="auto"/>
            </w:pPr>
            <w:r>
              <w:rPr>
                <w:sz w:val="15"/>
              </w:rPr>
              <w:t>Scale overshoot / Moran stopping cover / renewal-adjacent</w:t>
            </w:r>
          </w:p>
        </w:tc>
        <w:tc>
          <w:tcPr>
            <w:tcW w:type="dxa" w:w="2880"/>
            <w:tcMar>
              <w:top w:w="80" w:type="dxa"/>
              <w:start w:w="90" w:type="dxa"/>
              <w:bottom w:w="80" w:type="dxa"/>
              <w:end w:w="90" w:type="dxa"/>
            </w:tcMar>
            <w:vAlign w:val="top"/>
          </w:tcPr>
          <w:p>
            <w:pPr>
              <w:spacing w:after="0" w:line="240" w:lineRule="auto"/>
            </w:pPr>
            <w:r>
              <w:rPr>
                <w:sz w:val="15"/>
              </w:rPr>
              <w:t>Most defensible, still coordinate-dependent</w:t>
            </w:r>
          </w:p>
        </w:tc>
      </w:tr>
      <w:tr>
        <w:tc>
          <w:tcPr>
            <w:tcW w:type="dxa" w:w="1584"/>
            <w:shd w:fill="F7F9FB"/>
            <w:tcMar>
              <w:top w:w="80" w:type="dxa"/>
              <w:start w:w="90" w:type="dxa"/>
              <w:bottom w:w="80" w:type="dxa"/>
              <w:end w:w="90" w:type="dxa"/>
            </w:tcMar>
            <w:vAlign w:val="top"/>
          </w:tcPr>
          <w:p>
            <w:pPr>
              <w:spacing w:after="0" w:line="240" w:lineRule="auto"/>
            </w:pPr>
            <w:r>
              <w:rPr>
                <w:sz w:val="15"/>
              </w:rPr>
              <w:t>Pareto(K,N,O)</w:t>
            </w:r>
          </w:p>
        </w:tc>
        <w:tc>
          <w:tcPr>
            <w:tcW w:type="dxa" w:w="2736"/>
            <w:shd w:fill="F7F9FB"/>
            <w:tcMar>
              <w:top w:w="80" w:type="dxa"/>
              <w:start w:w="90" w:type="dxa"/>
              <w:bottom w:w="80" w:type="dxa"/>
              <w:end w:w="90" w:type="dxa"/>
            </w:tcMar>
            <w:vAlign w:val="top"/>
          </w:tcPr>
          <w:p>
            <w:pPr>
              <w:spacing w:after="0" w:line="240" w:lineRule="auto"/>
            </w:pPr>
            <w:r>
              <w:rPr>
                <w:sz w:val="15"/>
              </w:rPr>
              <w:t>Nondominated resource triples</w:t>
            </w:r>
          </w:p>
        </w:tc>
        <w:tc>
          <w:tcPr>
            <w:tcW w:type="dxa" w:w="2592"/>
            <w:shd w:fill="F7F9FB"/>
            <w:tcMar>
              <w:top w:w="80" w:type="dxa"/>
              <w:start w:w="90" w:type="dxa"/>
              <w:bottom w:w="80" w:type="dxa"/>
              <w:end w:w="90" w:type="dxa"/>
            </w:tcMar>
            <w:vAlign w:val="top"/>
          </w:tcPr>
          <w:p>
            <w:pPr>
              <w:spacing w:after="0" w:line="240" w:lineRule="auto"/>
            </w:pPr>
            <w:r>
              <w:rPr>
                <w:sz w:val="15"/>
              </w:rPr>
              <w:t>Multiobjective coding/control</w:t>
            </w:r>
          </w:p>
        </w:tc>
        <w:tc>
          <w:tcPr>
            <w:tcW w:type="dxa" w:w="2880"/>
            <w:shd w:fill="F7F9FB"/>
            <w:tcMar>
              <w:top w:w="80" w:type="dxa"/>
              <w:start w:w="90" w:type="dxa"/>
              <w:bottom w:w="80" w:type="dxa"/>
              <w:end w:w="90" w:type="dxa"/>
            </w:tcMar>
            <w:vAlign w:val="top"/>
          </w:tcPr>
          <w:p>
            <w:pPr>
              <w:spacing w:after="0" w:line="240" w:lineRule="auto"/>
            </w:pPr>
            <w:r>
              <w:rPr>
                <w:sz w:val="15"/>
              </w:rPr>
              <w:t>Packaging alone is not a theorem</w:t>
            </w:r>
          </w:p>
        </w:tc>
      </w:tr>
      <w:tr>
        <w:tc>
          <w:tcPr>
            <w:tcW w:type="dxa" w:w="1584"/>
            <w:tcMar>
              <w:top w:w="80" w:type="dxa"/>
              <w:start w:w="90" w:type="dxa"/>
              <w:bottom w:w="80" w:type="dxa"/>
              <w:end w:w="90" w:type="dxa"/>
            </w:tcMar>
            <w:vAlign w:val="top"/>
          </w:tcPr>
          <w:p>
            <w:pPr>
              <w:spacing w:after="0" w:line="240" w:lineRule="auto"/>
            </w:pPr>
            <w:r>
              <w:rPr>
                <w:sz w:val="15"/>
              </w:rPr>
              <w:t>Greedy regret</w:t>
            </w:r>
          </w:p>
        </w:tc>
        <w:tc>
          <w:tcPr>
            <w:tcW w:type="dxa" w:w="2736"/>
            <w:tcMar>
              <w:top w:w="80" w:type="dxa"/>
              <w:start w:w="90" w:type="dxa"/>
              <w:bottom w:w="80" w:type="dxa"/>
              <w:end w:w="90" w:type="dxa"/>
            </w:tcMar>
            <w:vAlign w:val="top"/>
          </w:tcPr>
          <w:p>
            <w:pPr>
              <w:spacing w:after="0" w:line="240" w:lineRule="auto"/>
            </w:pPr>
            <w:r>
              <w:rPr>
                <w:sz w:val="15"/>
              </w:rPr>
              <w:t>Difference from exact optimum</w:t>
            </w:r>
          </w:p>
        </w:tc>
        <w:tc>
          <w:tcPr>
            <w:tcW w:type="dxa" w:w="2592"/>
            <w:tcMar>
              <w:top w:w="80" w:type="dxa"/>
              <w:start w:w="90" w:type="dxa"/>
              <w:bottom w:w="80" w:type="dxa"/>
              <w:end w:w="90" w:type="dxa"/>
            </w:tcMar>
            <w:vAlign w:val="top"/>
          </w:tcPr>
          <w:p>
            <w:pPr>
              <w:spacing w:after="0" w:line="240" w:lineRule="auto"/>
            </w:pPr>
            <w:r>
              <w:rPr>
                <w:sz w:val="15"/>
              </w:rPr>
              <w:t>Search and approximation algorithms</w:t>
            </w:r>
          </w:p>
        </w:tc>
        <w:tc>
          <w:tcPr>
            <w:tcW w:type="dxa" w:w="2880"/>
            <w:tcMar>
              <w:top w:w="80" w:type="dxa"/>
              <w:start w:w="90" w:type="dxa"/>
              <w:bottom w:w="80" w:type="dxa"/>
              <w:end w:w="90" w:type="dxa"/>
            </w:tcMar>
            <w:vAlign w:val="top"/>
          </w:tcPr>
          <w:p>
            <w:pPr>
              <w:spacing w:after="0" w:line="240" w:lineRule="auto"/>
            </w:pPr>
            <w:r>
              <w:rPr>
                <w:sz w:val="15"/>
              </w:rPr>
              <w:t>Potential algorithmic benchmark</w:t>
            </w:r>
          </w:p>
        </w:tc>
      </w:tr>
    </w:tbl>
    <w:p>
      <w:pPr>
        <w:spacing w:after="0"/>
      </w:pPr>
    </w:p>
    <w:p>
      <w:pPr>
        <w:pStyle w:val="Heading2"/>
        <w:keepNext/>
      </w:pPr>
      <w:r>
        <w:t>8.4 The decisive defect in the original Experiment 3 design</w:t>
      </w:r>
    </w:p>
    <w:tbl>
      <w:tblPr>
        <w:tblW w:type="auto" w:w="0"/>
        <w:jc w:val="center"/>
        <w:tblLayout w:type="autofit"/>
        <w:tblLook w:firstColumn="1" w:firstRow="1" w:lastColumn="0" w:lastRow="0" w:noHBand="0" w:noVBand="1" w:val="04A0"/>
      </w:tblPr>
      <w:tblGrid>
        <w:gridCol w:w="10166"/>
      </w:tblGrid>
      <w:tr>
        <w:tc>
          <w:tcPr>
            <w:tcW w:type="dxa" w:w="10166"/>
            <w:shd w:fill="FCE4D6"/>
            <w:tcMar>
              <w:top w:w="120" w:type="dxa"/>
              <w:start w:w="150" w:type="dxa"/>
              <w:bottom w:w="120" w:type="dxa"/>
              <w:end w:w="150" w:type="dxa"/>
            </w:tcMar>
            <w:tcBorders>
              <w:left w:val="single" w:sz="18" w:color="C00000"/>
            </w:tcBorders>
          </w:tcPr>
          <w:p>
            <w:pPr>
              <w:spacing w:after="0"/>
            </w:pPr>
            <w:r>
              <w:rPr>
                <w:b/>
                <w:color w:val="1F4E79"/>
              </w:rPr>
              <w:t>Release blocker</w:t>
            </w:r>
            <w:r>
              <w:br/>
              <w:t>The proposed full run treats K and raw word length as if they measure intrinsic finite organization. They do not. Block coding changes both without changing the represented outcomes. A large exact table would therefore map the chosen notation and grammar as much as the underlying geometry.</w:t>
            </w:r>
          </w:p>
        </w:tc>
      </w:tr>
    </w:tbl>
    <w:p>
      <w:pPr>
        <w:spacing w:after="0"/>
      </w:pPr>
    </w:p>
    <w:p>
      <w:pPr>
        <w:spacing w:after="80"/>
      </w:pPr>
      <w:r>
        <w:t>The correct response is not to improve the enumeration. It is to redesign the quantities before enumeration.</w:t>
      </w:r>
    </w:p>
    <w:p>
      <w:pPr>
        <w:pStyle w:val="Heading2"/>
        <w:keepNext/>
      </w:pPr>
      <w:r>
        <w:t>8.5 What can legitimately be claimed now</w:t>
      </w:r>
    </w:p>
    <w:p>
      <w:pPr>
        <w:pStyle w:val="ListBullet"/>
        <w:spacing w:after="40"/>
      </w:pPr>
      <w:r>
        <w:t>The project independently reproduced standard continued-fraction coding behavior with exact arithmetic.</w:t>
      </w:r>
    </w:p>
    <w:p>
      <w:pPr>
        <w:pStyle w:val="ListBullet"/>
        <w:spacing w:after="40"/>
      </w:pPr>
      <w:r>
        <w:t>The implementation can certify finite target containment, saturation, and greedy-policy failures.</w:t>
      </w:r>
    </w:p>
    <w:p>
      <w:pPr>
        <w:pStyle w:val="ListBullet"/>
        <w:spacing w:after="40"/>
      </w:pPr>
      <w:r>
        <w:t>The cross-disciplinary qualitative principle is an established theorem under compact continuous coding.</w:t>
      </w:r>
    </w:p>
    <w:p>
      <w:pPr>
        <w:pStyle w:val="ListBullet"/>
        <w:spacing w:after="40"/>
      </w:pPr>
      <w:r>
        <w:t>No evidence currently supports a new universal law or a coding-invariant control-cost geometry.</w:t>
      </w:r>
    </w:p>
    <w:p>
      <w:pPr>
        <w:pStyle w:val="ListBullet"/>
        <w:spacing w:after="40"/>
      </w:pPr>
      <w:r>
        <w:t>A narrow quantitative theorem may remain available after normalization and a focused prior-art audit.</w:t>
      </w:r>
    </w:p>
    <w:p>
      <w:bookmarkStart w:id="90" w:name="open"/>
      <w:pPr>
        <w:pStyle w:val="Heading1"/>
        <w:keepNext/>
      </w:pPr>
      <w:r>
        <w:t>9. Research questions that remain defensible</w:t>
      </w:r>
      <w:bookmarkEnd w:id="90"/>
    </w:p>
    <w:p>
      <w:pPr>
        <w:spacing w:after="80"/>
      </w:pPr>
      <w:r>
        <w:t>The following are not declared open problems. They are precise candidate questions not resolved by the primary sources reviewed here in the exact target-conditioned form. Each requires a specialist bibliography search before novelty is asserted.</w:t>
      </w:r>
    </w:p>
    <w:p>
      <w:pPr>
        <w:pStyle w:val="Heading2"/>
        <w:keepNext/>
      </w:pPr>
      <w:r>
        <w:t>9.1 Candidate A: recoding-stable control cost</w:t>
      </w:r>
    </w:p>
    <w:p>
      <w:pPr>
        <w:spacing w:after="80"/>
      </w:pPr>
      <w:r>
        <w:t>Let two symbolic codings represent the same compact set and be related by a bounded-block or bi-Hölder conjugacy. Determine which normalized target-containment costs differ by at most an additive or multiplicative constant. Raw depth fails immediately; geometric information may be stable under stronger equivalences.</w:t>
      </w:r>
    </w:p>
    <w:p>
      <w:pPr>
        <w:spacing w:before="100" w:after="120"/>
        <w:jc w:val="center"/>
      </w:pPr>
      <w:r>
        <w:rPr>
          <w:rFonts w:ascii="FreeSerif" w:hAnsi="FreeSerif" w:eastAsia="FreeSerif"/>
          <w:sz w:val="21"/>
        </w:rPr>
        <w:t>Question A:  When is  inf{-log diam(C_w): C_w⊆U}  invariant up to O(1)?</w:t>
      </w:r>
    </w:p>
    <w:p>
      <w:pPr>
        <w:spacing w:after="80"/>
      </w:pPr>
      <w:r>
        <w:t>A theorem here would separate intrinsic geometry from arbitrary grammar. A counterexample would be equally valuable because it would show that the proposed resource geometry cannot be universal.</w:t>
      </w:r>
    </w:p>
    <w:p>
      <w:pPr>
        <w:pStyle w:val="Heading2"/>
        <w:keepNext/>
      </w:pPr>
      <w:r>
        <w:t>9.2 Candidate B: target-clearance law for overshoot</w:t>
      </w:r>
    </w:p>
    <w:p>
      <w:pPr>
        <w:spacing w:after="80"/>
      </w:pPr>
      <w:r>
        <w:t>For a compact attractor A and target interval J, define its attractor clearance</w:t>
      </w:r>
    </w:p>
    <w:p>
      <w:pPr>
        <w:spacing w:before="100" w:after="120"/>
        <w:jc w:val="center"/>
      </w:pPr>
      <w:r>
        <w:rPr>
          <w:rFonts w:ascii="FreeSerif" w:hAnsi="FreeSerif" w:eastAsia="FreeSerif"/>
          <w:sz w:val="21"/>
        </w:rPr>
        <w:t>Δ_A(J) = sup{ dist(x, Jᶜ) : x∈A∩J }.</w:t>
      </w:r>
    </w:p>
    <w:p>
      <w:pPr>
        <w:spacing w:after="80"/>
      </w:pPr>
      <w:r>
        <w:t>This is the radius of the largest target-centered neighborhood around an attractor point that remains inside J. The candidate law is that, for a finite conformal IFS with separation and bounded distortion, the optimal cylinder overshoot is controlled up to a system constant by the ratio |J|/Δ_A(J):</w:t>
      </w:r>
    </w:p>
    <w:p>
      <w:pPr>
        <w:spacing w:before="100" w:after="120"/>
        <w:jc w:val="center"/>
      </w:pPr>
      <w:r>
        <w:rPr>
          <w:rFonts w:ascii="FreeSerif" w:hAnsi="FreeSerif" w:eastAsia="FreeSerif"/>
          <w:sz w:val="21"/>
        </w:rPr>
        <w:t>O*(J) = log₂(|J|/Δ_A(J)) + O(1).</w:t>
      </w:r>
    </w:p>
    <w:p>
      <w:pPr>
        <w:spacing w:after="80"/>
      </w:pPr>
      <w:r>
        <w:t>If true, this would explain why targets near gaps or boundaries appear expensive without invoking a new control substance. It would reduce “resource geometry” to established attractor geometry plus a bounded coding term. If false, the residual identifies the additional invariant that is missing.</w:t>
      </w:r>
    </w:p>
    <w:p>
      <w:pPr>
        <w:pStyle w:val="Heading2"/>
        <w:keepNext/>
      </w:pPr>
      <w:r>
        <w:t>9.3 Candidate C: target-conditioned minimum-depth law</w:t>
      </w:r>
    </w:p>
    <w:p>
      <w:pPr>
        <w:spacing w:after="80"/>
      </w:pPr>
      <w:r>
        <w:t>For dyadic cells J_m(x) containing a typical attractor point x, investigate whether a normalized minimum containment depth converges to a constant determined by a Lyapunov exponent or pressure. Ordinary orbit stopping and renewal theorems are adjacent, but N* optimizes over all cylinders in a spatial target, not only the prefix orbit of a preselected point. The distinction must be checked carefully against shrinking-target and Moran-cover literature.</w:t>
      </w:r>
    </w:p>
    <w:p>
      <w:pPr>
        <w:pStyle w:val="Heading2"/>
        <w:keepNext/>
      </w:pPr>
      <w:r>
        <w:t>9.4 Candidate D: exact decision complexity</w:t>
      </w:r>
    </w:p>
    <w:p>
      <w:pPr>
        <w:spacing w:after="80"/>
      </w:pPr>
      <w:r>
        <w:t>Fix a finite rational Möbius IFS and rational interval J. Classify the complexity of deciding whether a cylinder of length at most n lies in J, and of computing the minimum geometric overshoot. Bounded-depth search is finite, but a meaningful result requires complexity in the bit length of n, endpoints, and map coefficients. Runtime plots cannot prove a complexity class; formal reductions and certified algorithms are required.</w:t>
      </w:r>
    </w:p>
    <w:p>
      <w:pPr>
        <w:pStyle w:val="Heading2"/>
        <w:keepNext/>
      </w:pPr>
      <w:r>
        <w:t>9.5 Priority ranking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864"/>
            <w:shd w:fill="D9EAF7"/>
            <w:tcMar>
              <w:top w:w="80" w:type="dxa"/>
              <w:start w:w="90" w:type="dxa"/>
              <w:bottom w:w="80" w:type="dxa"/>
              <w:end w:w="90" w:type="dxa"/>
            </w:tcMar>
            <w:vAlign w:val="center"/>
          </w:tcPr>
          <w:p>
            <w:pPr>
              <w:jc w:val="left"/>
            </w:pPr>
            <w:r>
              <w:rPr>
                <w:b/>
                <w:sz w:val="16"/>
              </w:rPr>
              <w:t>Priority</w:t>
            </w:r>
          </w:p>
        </w:tc>
        <w:tc>
          <w:tcPr>
            <w:tcW w:type="dxa" w:w="3024"/>
            <w:shd w:fill="D9EAF7"/>
            <w:tcMar>
              <w:top w:w="80" w:type="dxa"/>
              <w:start w:w="90" w:type="dxa"/>
              <w:bottom w:w="80" w:type="dxa"/>
              <w:end w:w="90" w:type="dxa"/>
            </w:tcMar>
            <w:vAlign w:val="center"/>
          </w:tcPr>
          <w:p>
            <w:pPr>
              <w:jc w:val="left"/>
            </w:pPr>
            <w:r>
              <w:rPr>
                <w:b/>
                <w:sz w:val="16"/>
              </w:rPr>
              <w:t>Question</w:t>
            </w:r>
          </w:p>
        </w:tc>
        <w:tc>
          <w:tcPr>
            <w:tcW w:type="dxa" w:w="1152"/>
            <w:shd w:fill="D9EAF7"/>
            <w:tcMar>
              <w:top w:w="80" w:type="dxa"/>
              <w:start w:w="90" w:type="dxa"/>
              <w:bottom w:w="80" w:type="dxa"/>
              <w:end w:w="90" w:type="dxa"/>
            </w:tcMar>
            <w:vAlign w:val="center"/>
          </w:tcPr>
          <w:p>
            <w:pPr>
              <w:jc w:val="left"/>
            </w:pPr>
            <w:r>
              <w:rPr>
                <w:b/>
                <w:sz w:val="16"/>
              </w:rPr>
              <w:t>Value</w:t>
            </w:r>
          </w:p>
        </w:tc>
        <w:tc>
          <w:tcPr>
            <w:tcW w:type="dxa" w:w="4752"/>
            <w:shd w:fill="D9EAF7"/>
            <w:tcMar>
              <w:top w:w="80" w:type="dxa"/>
              <w:start w:w="90" w:type="dxa"/>
              <w:bottom w:w="80" w:type="dxa"/>
              <w:end w:w="90" w:type="dxa"/>
            </w:tcMar>
            <w:vAlign w:val="center"/>
          </w:tcPr>
          <w:p>
            <w:pPr>
              <w:jc w:val="left"/>
            </w:pPr>
            <w:r>
              <w:rPr>
                <w:b/>
                <w:sz w:val="16"/>
              </w:rPr>
              <w:t>Reason</w:t>
            </w:r>
          </w:p>
        </w:tc>
      </w:tr>
      <w:tr>
        <w:tc>
          <w:tcPr>
            <w:tcW w:type="dxa" w:w="864"/>
            <w:tcMar>
              <w:top w:w="80" w:type="dxa"/>
              <w:start w:w="90" w:type="dxa"/>
              <w:bottom w:w="80" w:type="dxa"/>
              <w:end w:w="90" w:type="dxa"/>
            </w:tcMar>
            <w:vAlign w:val="top"/>
          </w:tcPr>
          <w:p>
            <w:pPr>
              <w:spacing w:after="0" w:line="240" w:lineRule="auto"/>
            </w:pPr>
            <w:r>
              <w:rPr>
                <w:sz w:val="16"/>
              </w:rPr>
              <w:t>1</w:t>
            </w:r>
          </w:p>
        </w:tc>
        <w:tc>
          <w:tcPr>
            <w:tcW w:type="dxa" w:w="3024"/>
            <w:tcMar>
              <w:top w:w="80" w:type="dxa"/>
              <w:start w:w="90" w:type="dxa"/>
              <w:bottom w:w="80" w:type="dxa"/>
              <w:end w:w="90" w:type="dxa"/>
            </w:tcMar>
            <w:vAlign w:val="top"/>
          </w:tcPr>
          <w:p>
            <w:pPr>
              <w:spacing w:after="0" w:line="240" w:lineRule="auto"/>
            </w:pPr>
            <w:r>
              <w:rPr>
                <w:sz w:val="16"/>
              </w:rPr>
              <w:t>Target-clearance law</w:t>
            </w:r>
          </w:p>
        </w:tc>
        <w:tc>
          <w:tcPr>
            <w:tcW w:type="dxa" w:w="1152"/>
            <w:tcMar>
              <w:top w:w="80" w:type="dxa"/>
              <w:start w:w="90" w:type="dxa"/>
              <w:bottom w:w="80" w:type="dxa"/>
              <w:end w:w="90" w:type="dxa"/>
            </w:tcMar>
            <w:vAlign w:val="top"/>
          </w:tcPr>
          <w:p>
            <w:pPr>
              <w:spacing w:after="0" w:line="240" w:lineRule="auto"/>
            </w:pPr>
            <w:r>
              <w:rPr>
                <w:sz w:val="16"/>
              </w:rPr>
              <w:t>High</w:t>
            </w:r>
          </w:p>
        </w:tc>
        <w:tc>
          <w:tcPr>
            <w:tcW w:type="dxa" w:w="4752"/>
            <w:tcMar>
              <w:top w:w="80" w:type="dxa"/>
              <w:start w:w="90" w:type="dxa"/>
              <w:bottom w:w="80" w:type="dxa"/>
              <w:end w:w="90" w:type="dxa"/>
            </w:tcMar>
            <w:vAlign w:val="top"/>
          </w:tcPr>
          <w:p>
            <w:pPr>
              <w:spacing w:after="0" w:line="240" w:lineRule="auto"/>
            </w:pPr>
            <w:r>
              <w:rPr>
                <w:sz w:val="16"/>
              </w:rPr>
              <w:t>Geometric, falsifiable, directly explains project observations</w:t>
            </w:r>
          </w:p>
        </w:tc>
      </w:tr>
      <w:tr>
        <w:tc>
          <w:tcPr>
            <w:tcW w:type="dxa" w:w="864"/>
            <w:shd w:fill="F7F9FB"/>
            <w:tcMar>
              <w:top w:w="80" w:type="dxa"/>
              <w:start w:w="90" w:type="dxa"/>
              <w:bottom w:w="80" w:type="dxa"/>
              <w:end w:w="90" w:type="dxa"/>
            </w:tcMar>
            <w:vAlign w:val="top"/>
          </w:tcPr>
          <w:p>
            <w:pPr>
              <w:spacing w:after="0" w:line="240" w:lineRule="auto"/>
            </w:pPr>
            <w:r>
              <w:rPr>
                <w:sz w:val="16"/>
              </w:rPr>
              <w:t>2</w:t>
            </w:r>
          </w:p>
        </w:tc>
        <w:tc>
          <w:tcPr>
            <w:tcW w:type="dxa" w:w="3024"/>
            <w:shd w:fill="F7F9FB"/>
            <w:tcMar>
              <w:top w:w="80" w:type="dxa"/>
              <w:start w:w="90" w:type="dxa"/>
              <w:bottom w:w="80" w:type="dxa"/>
              <w:end w:w="90" w:type="dxa"/>
            </w:tcMar>
            <w:vAlign w:val="top"/>
          </w:tcPr>
          <w:p>
            <w:pPr>
              <w:spacing w:after="0" w:line="240" w:lineRule="auto"/>
            </w:pPr>
            <w:r>
              <w:rPr>
                <w:sz w:val="16"/>
              </w:rPr>
              <w:t>Recoding-stable normalized cost</w:t>
            </w:r>
          </w:p>
        </w:tc>
        <w:tc>
          <w:tcPr>
            <w:tcW w:type="dxa" w:w="1152"/>
            <w:shd w:fill="F7F9FB"/>
            <w:tcMar>
              <w:top w:w="80" w:type="dxa"/>
              <w:start w:w="90" w:type="dxa"/>
              <w:bottom w:w="80" w:type="dxa"/>
              <w:end w:w="90" w:type="dxa"/>
            </w:tcMar>
            <w:vAlign w:val="top"/>
          </w:tcPr>
          <w:p>
            <w:pPr>
              <w:spacing w:after="0" w:line="240" w:lineRule="auto"/>
            </w:pPr>
            <w:r>
              <w:rPr>
                <w:sz w:val="16"/>
              </w:rPr>
              <w:t>High</w:t>
            </w:r>
          </w:p>
        </w:tc>
        <w:tc>
          <w:tcPr>
            <w:tcW w:type="dxa" w:w="4752"/>
            <w:shd w:fill="F7F9FB"/>
            <w:tcMar>
              <w:top w:w="80" w:type="dxa"/>
              <w:start w:w="90" w:type="dxa"/>
              <w:bottom w:w="80" w:type="dxa"/>
              <w:end w:w="90" w:type="dxa"/>
            </w:tcMar>
            <w:vAlign w:val="top"/>
          </w:tcPr>
          <w:p>
            <w:pPr>
              <w:spacing w:after="0" w:line="240" w:lineRule="auto"/>
            </w:pPr>
            <w:r>
              <w:rPr>
                <w:sz w:val="16"/>
              </w:rPr>
              <w:t>Necessary for any universality claim</w:t>
            </w:r>
          </w:p>
        </w:tc>
      </w:tr>
      <w:tr>
        <w:tc>
          <w:tcPr>
            <w:tcW w:type="dxa" w:w="864"/>
            <w:tcMar>
              <w:top w:w="80" w:type="dxa"/>
              <w:start w:w="90" w:type="dxa"/>
              <w:bottom w:w="80" w:type="dxa"/>
              <w:end w:w="90" w:type="dxa"/>
            </w:tcMar>
            <w:vAlign w:val="top"/>
          </w:tcPr>
          <w:p>
            <w:pPr>
              <w:spacing w:after="0" w:line="240" w:lineRule="auto"/>
            </w:pPr>
            <w:r>
              <w:rPr>
                <w:sz w:val="16"/>
              </w:rPr>
              <w:t>3</w:t>
            </w:r>
          </w:p>
        </w:tc>
        <w:tc>
          <w:tcPr>
            <w:tcW w:type="dxa" w:w="3024"/>
            <w:tcMar>
              <w:top w:w="80" w:type="dxa"/>
              <w:start w:w="90" w:type="dxa"/>
              <w:bottom w:w="80" w:type="dxa"/>
              <w:end w:w="90" w:type="dxa"/>
            </w:tcMar>
            <w:vAlign w:val="top"/>
          </w:tcPr>
          <w:p>
            <w:pPr>
              <w:spacing w:after="0" w:line="240" w:lineRule="auto"/>
            </w:pPr>
            <w:r>
              <w:rPr>
                <w:sz w:val="16"/>
              </w:rPr>
              <w:t>Target-conditioned depth distribution</w:t>
            </w:r>
          </w:p>
        </w:tc>
        <w:tc>
          <w:tcPr>
            <w:tcW w:type="dxa" w:w="1152"/>
            <w:tcMar>
              <w:top w:w="80" w:type="dxa"/>
              <w:start w:w="90" w:type="dxa"/>
              <w:bottom w:w="80" w:type="dxa"/>
              <w:end w:w="90" w:type="dxa"/>
            </w:tcMar>
            <w:vAlign w:val="top"/>
          </w:tcPr>
          <w:p>
            <w:pPr>
              <w:spacing w:after="0" w:line="240" w:lineRule="auto"/>
            </w:pPr>
            <w:r>
              <w:rPr>
                <w:sz w:val="16"/>
              </w:rPr>
              <w:t>Medium</w:t>
            </w:r>
          </w:p>
        </w:tc>
        <w:tc>
          <w:tcPr>
            <w:tcW w:type="dxa" w:w="4752"/>
            <w:tcMar>
              <w:top w:w="80" w:type="dxa"/>
              <w:start w:w="90" w:type="dxa"/>
              <w:bottom w:w="80" w:type="dxa"/>
              <w:end w:w="90" w:type="dxa"/>
            </w:tcMar>
            <w:vAlign w:val="top"/>
          </w:tcPr>
          <w:p>
            <w:pPr>
              <w:spacing w:after="0" w:line="240" w:lineRule="auto"/>
            </w:pPr>
            <w:r>
              <w:rPr>
                <w:sz w:val="16"/>
              </w:rPr>
              <w:t>May overlap shrinking-target/renewal theory</w:t>
            </w:r>
          </w:p>
        </w:tc>
      </w:tr>
      <w:tr>
        <w:tc>
          <w:tcPr>
            <w:tcW w:type="dxa" w:w="864"/>
            <w:shd w:fill="F7F9FB"/>
            <w:tcMar>
              <w:top w:w="80" w:type="dxa"/>
              <w:start w:w="90" w:type="dxa"/>
              <w:bottom w:w="80" w:type="dxa"/>
              <w:end w:w="90" w:type="dxa"/>
            </w:tcMar>
            <w:vAlign w:val="top"/>
          </w:tcPr>
          <w:p>
            <w:pPr>
              <w:spacing w:after="0" w:line="240" w:lineRule="auto"/>
            </w:pPr>
            <w:r>
              <w:rPr>
                <w:sz w:val="16"/>
              </w:rPr>
              <w:t>4</w:t>
            </w:r>
          </w:p>
        </w:tc>
        <w:tc>
          <w:tcPr>
            <w:tcW w:type="dxa" w:w="3024"/>
            <w:shd w:fill="F7F9FB"/>
            <w:tcMar>
              <w:top w:w="80" w:type="dxa"/>
              <w:start w:w="90" w:type="dxa"/>
              <w:bottom w:w="80" w:type="dxa"/>
              <w:end w:w="90" w:type="dxa"/>
            </w:tcMar>
            <w:vAlign w:val="top"/>
          </w:tcPr>
          <w:p>
            <w:pPr>
              <w:spacing w:after="0" w:line="240" w:lineRule="auto"/>
            </w:pPr>
            <w:r>
              <w:rPr>
                <w:sz w:val="16"/>
              </w:rPr>
              <w:t>Exact decision complexity</w:t>
            </w:r>
          </w:p>
        </w:tc>
        <w:tc>
          <w:tcPr>
            <w:tcW w:type="dxa" w:w="1152"/>
            <w:shd w:fill="F7F9FB"/>
            <w:tcMar>
              <w:top w:w="80" w:type="dxa"/>
              <w:start w:w="90" w:type="dxa"/>
              <w:bottom w:w="80" w:type="dxa"/>
              <w:end w:w="90" w:type="dxa"/>
            </w:tcMar>
            <w:vAlign w:val="top"/>
          </w:tcPr>
          <w:p>
            <w:pPr>
              <w:spacing w:after="0" w:line="240" w:lineRule="auto"/>
            </w:pPr>
            <w:r>
              <w:rPr>
                <w:sz w:val="16"/>
              </w:rPr>
              <w:t>Medium</w:t>
            </w:r>
          </w:p>
        </w:tc>
        <w:tc>
          <w:tcPr>
            <w:tcW w:type="dxa" w:w="4752"/>
            <w:shd w:fill="F7F9FB"/>
            <w:tcMar>
              <w:top w:w="80" w:type="dxa"/>
              <w:start w:w="90" w:type="dxa"/>
              <w:bottom w:w="80" w:type="dxa"/>
              <w:end w:w="90" w:type="dxa"/>
            </w:tcMar>
            <w:vAlign w:val="top"/>
          </w:tcPr>
          <w:p>
            <w:pPr>
              <w:spacing w:after="0" w:line="240" w:lineRule="auto"/>
            </w:pPr>
            <w:r>
              <w:rPr>
                <w:sz w:val="16"/>
              </w:rPr>
              <w:t>Potentially strong but requires theoretical CS expertise</w:t>
            </w:r>
          </w:p>
        </w:tc>
      </w:tr>
      <w:tr>
        <w:tc>
          <w:tcPr>
            <w:tcW w:type="dxa" w:w="864"/>
            <w:tcMar>
              <w:top w:w="80" w:type="dxa"/>
              <w:start w:w="90" w:type="dxa"/>
              <w:bottom w:w="80" w:type="dxa"/>
              <w:end w:w="90" w:type="dxa"/>
            </w:tcMar>
            <w:vAlign w:val="top"/>
          </w:tcPr>
          <w:p>
            <w:pPr>
              <w:spacing w:after="0" w:line="240" w:lineRule="auto"/>
            </w:pPr>
            <w:r>
              <w:rPr>
                <w:sz w:val="16"/>
              </w:rPr>
              <w:t>5</w:t>
            </w:r>
          </w:p>
        </w:tc>
        <w:tc>
          <w:tcPr>
            <w:tcW w:type="dxa" w:w="3024"/>
            <w:tcMar>
              <w:top w:w="80" w:type="dxa"/>
              <w:start w:w="90" w:type="dxa"/>
              <w:bottom w:w="80" w:type="dxa"/>
              <w:end w:w="90" w:type="dxa"/>
            </w:tcMar>
            <w:vAlign w:val="top"/>
          </w:tcPr>
          <w:p>
            <w:pPr>
              <w:spacing w:after="0" w:line="240" w:lineRule="auto"/>
            </w:pPr>
            <w:r>
              <w:rPr>
                <w:sz w:val="16"/>
              </w:rPr>
              <w:t>Large Pareto heat map</w:t>
            </w:r>
          </w:p>
        </w:tc>
        <w:tc>
          <w:tcPr>
            <w:tcW w:type="dxa" w:w="1152"/>
            <w:tcMar>
              <w:top w:w="80" w:type="dxa"/>
              <w:start w:w="90" w:type="dxa"/>
              <w:bottom w:w="80" w:type="dxa"/>
              <w:end w:w="90" w:type="dxa"/>
            </w:tcMar>
            <w:vAlign w:val="top"/>
          </w:tcPr>
          <w:p>
            <w:pPr>
              <w:spacing w:after="0" w:line="240" w:lineRule="auto"/>
            </w:pPr>
            <w:r>
              <w:rPr>
                <w:sz w:val="16"/>
              </w:rPr>
              <w:t>Low</w:t>
            </w:r>
          </w:p>
        </w:tc>
        <w:tc>
          <w:tcPr>
            <w:tcW w:type="dxa" w:w="4752"/>
            <w:tcMar>
              <w:top w:w="80" w:type="dxa"/>
              <w:start w:w="90" w:type="dxa"/>
              <w:bottom w:w="80" w:type="dxa"/>
              <w:end w:w="90" w:type="dxa"/>
            </w:tcMar>
            <w:vAlign w:val="top"/>
          </w:tcPr>
          <w:p>
            <w:pPr>
              <w:spacing w:after="0" w:line="240" w:lineRule="auto"/>
            </w:pPr>
            <w:r>
              <w:rPr>
                <w:sz w:val="16"/>
              </w:rPr>
              <w:t>Descriptive and representation-dependent without prior theorem</w:t>
            </w:r>
          </w:p>
        </w:tc>
      </w:tr>
    </w:tbl>
    <w:p>
      <w:pPr>
        <w:spacing w:after="0"/>
      </w:pPr>
    </w:p>
    <w:p>
      <w:bookmarkStart w:id="100" w:name="experiments"/>
      <w:pPr>
        <w:pStyle w:val="Heading1"/>
        <w:keepNext/>
      </w:pPr>
      <w:r>
        <w:t>10. Exact theorem-first experimental program</w:t>
      </w:r>
      <w:bookmarkEnd w:id="100"/>
    </w:p>
    <w:tbl>
      <w:tblPr>
        <w:tblW w:type="auto" w:w="0"/>
        <w:jc w:val="center"/>
        <w:tblLayout w:type="autofit"/>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Borders>
              <w:left w:val="single" w:sz="18" w:color="70AD47"/>
            </w:tcBorders>
          </w:tcPr>
          <w:p>
            <w:pPr>
              <w:spacing w:after="0"/>
            </w:pPr>
            <w:r>
              <w:rPr>
                <w:b/>
                <w:color w:val="1F4E79"/>
              </w:rPr>
              <w:t>Rule</w:t>
            </w:r>
            <w:r>
              <w:br/>
              <w:t>No experiment should ask whether the standard coding theorem is true in another familiar system. That work is already done. Computation is justified only when it distinguishes a precise theorem from a precise counterexample.</w:t>
            </w:r>
          </w:p>
        </w:tc>
      </w:tr>
    </w:tbl>
    <w:p>
      <w:pPr>
        <w:spacing w:after="0"/>
      </w:pPr>
    </w:p>
    <w:p>
      <w:pPr>
        <w:pStyle w:val="Heading2"/>
        <w:keepNext/>
      </w:pPr>
      <w:r>
        <w:t>10.1 Gate 0 - novelty and theorem design</w:t>
      </w:r>
    </w:p>
    <w:p>
      <w:pPr>
        <w:spacing w:after="40"/>
        <w:ind w:left="403" w:hanging="346"/>
      </w:pPr>
      <w:r>
        <w:rPr>
          <w:b w:val="0"/>
        </w:rPr>
        <w:t xml:space="preserve">1. </w:t>
      </w:r>
      <w:r>
        <w:t>Search the exact terms “Moran cover,” “stopping set,” “cylinder containment,” “shrinking target,” “inradius,” “bounded distortion,” “continued-fraction Cantor set,” “target interval,” and “overshoot” in MathSciNet, Zentralblatt, and citation graphs of Hutchinson, Mauldin-Urbański, Hensley, and Sinai-Ulcigrai.</w:t>
      </w:r>
    </w:p>
    <w:p>
      <w:pPr>
        <w:spacing w:after="40"/>
        <w:ind w:left="403" w:hanging="346"/>
      </w:pPr>
      <w:r>
        <w:rPr>
          <w:b w:val="0"/>
        </w:rPr>
        <w:t xml:space="preserve">2. </w:t>
      </w:r>
      <w:r>
        <w:t>Write one theorem statement with assumptions, quantified constants, and a falsifying counterexample form.</w:t>
      </w:r>
    </w:p>
    <w:p>
      <w:pPr>
        <w:spacing w:after="40"/>
        <w:ind w:left="403" w:hanging="346"/>
      </w:pPr>
      <w:r>
        <w:rPr>
          <w:b w:val="0"/>
        </w:rPr>
        <w:t xml:space="preserve">3. </w:t>
      </w:r>
      <w:r>
        <w:t>Prove the theorem for a uniform self-similar benchmark before touching continued fractions.</w:t>
      </w:r>
    </w:p>
    <w:p>
      <w:pPr>
        <w:spacing w:after="40"/>
        <w:ind w:left="403" w:hanging="346"/>
      </w:pPr>
      <w:r>
        <w:rPr>
          <w:b w:val="0"/>
        </w:rPr>
        <w:t xml:space="preserve">4. </w:t>
      </w:r>
      <w:r>
        <w:t>Freeze the metric, target convention, cylinder convention, and permitted recodings.</w:t>
      </w:r>
    </w:p>
    <w:p>
      <w:pPr>
        <w:spacing w:after="40"/>
        <w:ind w:left="403" w:hanging="346"/>
      </w:pPr>
      <w:r>
        <w:rPr>
          <w:b w:val="0"/>
        </w:rPr>
        <w:t xml:space="preserve">5. </w:t>
      </w:r>
      <w:r>
        <w:t>Proceed to computation only if the theorem is not already in the literature and the analytical benchmark does not settle it.</w:t>
      </w:r>
    </w:p>
    <w:p>
      <w:pPr>
        <w:pStyle w:val="Heading2"/>
        <w:keepNext/>
      </w:pPr>
      <w:r>
        <w:t>10.2 Immediate experiment R1 - Target clearance versus optimal overshoot</w:t>
      </w:r>
    </w:p>
    <w:p>
      <w:pPr>
        <w:spacing w:after="80"/>
      </w:pPr>
      <w:r>
        <w:t>This is the only immediate computational experiment recommended by this paper, and only after Gate 0.</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D9EAF7"/>
            <w:tcMar>
              <w:top w:w="80" w:type="dxa"/>
              <w:start w:w="90" w:type="dxa"/>
              <w:bottom w:w="80" w:type="dxa"/>
              <w:end w:w="90" w:type="dxa"/>
            </w:tcMar>
            <w:vAlign w:val="center"/>
          </w:tcPr>
          <w:p>
            <w:pPr>
              <w:jc w:val="left"/>
            </w:pPr>
            <w:r>
              <w:rPr>
                <w:b/>
                <w:sz w:val="16"/>
              </w:rPr>
              <w:t>Protocol field</w:t>
            </w:r>
          </w:p>
        </w:tc>
        <w:tc>
          <w:tcPr>
            <w:tcW w:type="dxa" w:w="7704"/>
            <w:shd w:fill="D9EAF7"/>
            <w:tcMar>
              <w:top w:w="80" w:type="dxa"/>
              <w:start w:w="90" w:type="dxa"/>
              <w:bottom w:w="80" w:type="dxa"/>
              <w:end w:w="90" w:type="dxa"/>
            </w:tcMar>
            <w:vAlign w:val="center"/>
          </w:tcPr>
          <w:p>
            <w:pPr>
              <w:jc w:val="left"/>
            </w:pPr>
            <w:r>
              <w:rPr>
                <w:b/>
                <w:sz w:val="16"/>
              </w:rPr>
              <w:t>Frozen specification</w:t>
            </w:r>
          </w:p>
        </w:tc>
      </w:tr>
      <w:tr>
        <w:tc>
          <w:tcPr>
            <w:tcW w:type="dxa" w:w="2088"/>
            <w:tcMar>
              <w:top w:w="80" w:type="dxa"/>
              <w:start w:w="90" w:type="dxa"/>
              <w:bottom w:w="80" w:type="dxa"/>
              <w:end w:w="90" w:type="dxa"/>
            </w:tcMar>
            <w:vAlign w:val="top"/>
          </w:tcPr>
          <w:p>
            <w:pPr>
              <w:spacing w:after="0" w:line="240" w:lineRule="auto"/>
            </w:pPr>
            <w:r>
              <w:rPr>
                <w:sz w:val="16"/>
              </w:rPr>
              <w:t>Objective</w:t>
            </w:r>
          </w:p>
        </w:tc>
        <w:tc>
          <w:tcPr>
            <w:tcW w:type="dxa" w:w="7704"/>
            <w:tcMar>
              <w:top w:w="80" w:type="dxa"/>
              <w:start w:w="90" w:type="dxa"/>
              <w:bottom w:w="80" w:type="dxa"/>
              <w:end w:w="90" w:type="dxa"/>
            </w:tcMar>
            <w:vAlign w:val="top"/>
          </w:tcPr>
          <w:p>
            <w:pPr>
              <w:spacing w:after="0" w:line="240" w:lineRule="auto"/>
            </w:pPr>
            <w:r>
              <w:rPr>
                <w:sz w:val="16"/>
              </w:rPr>
              <w:t>Test whether O*(J)-log₂(|J|/Δ_A(J)) remains bounded across scale.</w:t>
            </w:r>
          </w:p>
        </w:tc>
      </w:tr>
      <w:tr>
        <w:tc>
          <w:tcPr>
            <w:tcW w:type="dxa" w:w="2088"/>
            <w:shd w:fill="F7F9FB"/>
            <w:tcMar>
              <w:top w:w="80" w:type="dxa"/>
              <w:start w:w="90" w:type="dxa"/>
              <w:bottom w:w="80" w:type="dxa"/>
              <w:end w:w="90" w:type="dxa"/>
            </w:tcMar>
            <w:vAlign w:val="top"/>
          </w:tcPr>
          <w:p>
            <w:pPr>
              <w:spacing w:after="0" w:line="240" w:lineRule="auto"/>
            </w:pPr>
            <w:r>
              <w:rPr>
                <w:sz w:val="16"/>
              </w:rPr>
              <w:t>Systems</w:t>
            </w:r>
          </w:p>
        </w:tc>
        <w:tc>
          <w:tcPr>
            <w:tcW w:type="dxa" w:w="7704"/>
            <w:shd w:fill="F7F9FB"/>
            <w:tcMar>
              <w:top w:w="80" w:type="dxa"/>
              <w:start w:w="90" w:type="dxa"/>
              <w:bottom w:w="80" w:type="dxa"/>
              <w:end w:w="90" w:type="dxa"/>
            </w:tcMar>
            <w:vAlign w:val="top"/>
          </w:tcPr>
          <w:p>
            <w:pPr>
              <w:spacing w:after="0" w:line="240" w:lineRule="auto"/>
            </w:pPr>
            <w:r>
              <w:rPr>
                <w:sz w:val="16"/>
              </w:rPr>
              <w:t>Middle-third Cantor set as analytic benchmark; continued-fraction E_K for K=2,3,5.</w:t>
            </w:r>
          </w:p>
        </w:tc>
      </w:tr>
      <w:tr>
        <w:tc>
          <w:tcPr>
            <w:tcW w:type="dxa" w:w="2088"/>
            <w:tcMar>
              <w:top w:w="80" w:type="dxa"/>
              <w:start w:w="90" w:type="dxa"/>
              <w:bottom w:w="80" w:type="dxa"/>
              <w:end w:w="90" w:type="dxa"/>
            </w:tcMar>
            <w:vAlign w:val="top"/>
          </w:tcPr>
          <w:p>
            <w:pPr>
              <w:spacing w:after="0" w:line="240" w:lineRule="auto"/>
            </w:pPr>
            <w:r>
              <w:rPr>
                <w:sz w:val="16"/>
              </w:rPr>
              <w:t>Targets</w:t>
            </w:r>
          </w:p>
        </w:tc>
        <w:tc>
          <w:tcPr>
            <w:tcW w:type="dxa" w:w="7704"/>
            <w:tcMar>
              <w:top w:w="80" w:type="dxa"/>
              <w:start w:w="90" w:type="dxa"/>
              <w:bottom w:w="80" w:type="dxa"/>
              <w:end w:w="90" w:type="dxa"/>
            </w:tcMar>
            <w:vAlign w:val="top"/>
          </w:tcPr>
          <w:p>
            <w:pPr>
              <w:spacing w:after="0" w:line="240" w:lineRule="auto"/>
            </w:pPr>
            <w:r>
              <w:rPr>
                <w:sz w:val="16"/>
              </w:rPr>
              <w:t>All interior dyadic cells at m=8,…,12 for the pilot; central domain reported separately from boundary cells.</w:t>
            </w:r>
          </w:p>
        </w:tc>
      </w:tr>
      <w:tr>
        <w:tc>
          <w:tcPr>
            <w:tcW w:type="dxa" w:w="2088"/>
            <w:shd w:fill="F7F9FB"/>
            <w:tcMar>
              <w:top w:w="80" w:type="dxa"/>
              <w:start w:w="90" w:type="dxa"/>
              <w:bottom w:w="80" w:type="dxa"/>
              <w:end w:w="90" w:type="dxa"/>
            </w:tcMar>
            <w:vAlign w:val="top"/>
          </w:tcPr>
          <w:p>
            <w:pPr>
              <w:spacing w:after="0" w:line="240" w:lineRule="auto"/>
            </w:pPr>
            <w:r>
              <w:rPr>
                <w:sz w:val="16"/>
              </w:rPr>
              <w:t>Arithmetic</w:t>
            </w:r>
          </w:p>
        </w:tc>
        <w:tc>
          <w:tcPr>
            <w:tcW w:type="dxa" w:w="7704"/>
            <w:shd w:fill="F7F9FB"/>
            <w:tcMar>
              <w:top w:w="80" w:type="dxa"/>
              <w:start w:w="90" w:type="dxa"/>
              <w:bottom w:w="80" w:type="dxa"/>
              <w:end w:w="90" w:type="dxa"/>
            </w:tcMar>
            <w:vAlign w:val="top"/>
          </w:tcPr>
          <w:p>
            <w:pPr>
              <w:spacing w:after="0" w:line="240" w:lineRule="auto"/>
            </w:pPr>
            <w:r>
              <w:rPr>
                <w:sz w:val="16"/>
              </w:rPr>
              <w:t>Exact rational endpoints for self-similar benchmark; arbitrary-precision integer Möbius arithmetic and certified interval bounds for E_K.</w:t>
            </w:r>
          </w:p>
        </w:tc>
      </w:tr>
      <w:tr>
        <w:tc>
          <w:tcPr>
            <w:tcW w:type="dxa" w:w="2088"/>
            <w:tcMar>
              <w:top w:w="80" w:type="dxa"/>
              <w:start w:w="90" w:type="dxa"/>
              <w:bottom w:w="80" w:type="dxa"/>
              <w:end w:w="90" w:type="dxa"/>
            </w:tcMar>
            <w:vAlign w:val="top"/>
          </w:tcPr>
          <w:p>
            <w:pPr>
              <w:spacing w:after="0" w:line="240" w:lineRule="auto"/>
            </w:pPr>
            <w:r>
              <w:rPr>
                <w:sz w:val="16"/>
              </w:rPr>
              <w:t>Primary estimand</w:t>
            </w:r>
          </w:p>
        </w:tc>
        <w:tc>
          <w:tcPr>
            <w:tcW w:type="dxa" w:w="7704"/>
            <w:tcMar>
              <w:top w:w="80" w:type="dxa"/>
              <w:start w:w="90" w:type="dxa"/>
              <w:bottom w:w="80" w:type="dxa"/>
              <w:end w:w="90" w:type="dxa"/>
            </w:tcMar>
            <w:vAlign w:val="top"/>
          </w:tcPr>
          <w:p>
            <w:pPr>
              <w:spacing w:after="0" w:line="240" w:lineRule="auto"/>
            </w:pPr>
            <w:r>
              <w:rPr>
                <w:sz w:val="16"/>
              </w:rPr>
              <w:t>R_K(J)=O*(J)-log₂(|J|/Δ_A(J)).</w:t>
            </w:r>
          </w:p>
        </w:tc>
      </w:tr>
      <w:tr>
        <w:tc>
          <w:tcPr>
            <w:tcW w:type="dxa" w:w="2088"/>
            <w:shd w:fill="F7F9FB"/>
            <w:tcMar>
              <w:top w:w="80" w:type="dxa"/>
              <w:start w:w="90" w:type="dxa"/>
              <w:bottom w:w="80" w:type="dxa"/>
              <w:end w:w="90" w:type="dxa"/>
            </w:tcMar>
            <w:vAlign w:val="top"/>
          </w:tcPr>
          <w:p>
            <w:pPr>
              <w:spacing w:after="0" w:line="240" w:lineRule="auto"/>
            </w:pPr>
            <w:r>
              <w:rPr>
                <w:sz w:val="16"/>
              </w:rPr>
              <w:t>Primary hypothesis</w:t>
            </w:r>
          </w:p>
        </w:tc>
        <w:tc>
          <w:tcPr>
            <w:tcW w:type="dxa" w:w="7704"/>
            <w:shd w:fill="F7F9FB"/>
            <w:tcMar>
              <w:top w:w="80" w:type="dxa"/>
              <w:start w:w="90" w:type="dxa"/>
              <w:bottom w:w="80" w:type="dxa"/>
              <w:end w:w="90" w:type="dxa"/>
            </w:tcMar>
            <w:vAlign w:val="top"/>
          </w:tcPr>
          <w:p>
            <w:pPr>
              <w:spacing w:after="0" w:line="240" w:lineRule="auto"/>
            </w:pPr>
            <w:r>
              <w:rPr>
                <w:sz w:val="16"/>
              </w:rPr>
              <w:t>There exists C_K independent of m and J such that |R_K(J)|≤C_K for all reachable pilot cells.</w:t>
            </w:r>
          </w:p>
        </w:tc>
      </w:tr>
      <w:tr>
        <w:tc>
          <w:tcPr>
            <w:tcW w:type="dxa" w:w="2088"/>
            <w:tcMar>
              <w:top w:w="80" w:type="dxa"/>
              <w:start w:w="90" w:type="dxa"/>
              <w:bottom w:w="80" w:type="dxa"/>
              <w:end w:w="90" w:type="dxa"/>
            </w:tcMar>
            <w:vAlign w:val="top"/>
          </w:tcPr>
          <w:p>
            <w:pPr>
              <w:spacing w:after="0" w:line="240" w:lineRule="auto"/>
            </w:pPr>
            <w:r>
              <w:rPr>
                <w:sz w:val="16"/>
              </w:rPr>
              <w:t>Falsifier</w:t>
            </w:r>
          </w:p>
        </w:tc>
        <w:tc>
          <w:tcPr>
            <w:tcW w:type="dxa" w:w="7704"/>
            <w:tcMar>
              <w:top w:w="80" w:type="dxa"/>
              <w:start w:w="90" w:type="dxa"/>
              <w:bottom w:w="80" w:type="dxa"/>
              <w:end w:w="90" w:type="dxa"/>
            </w:tcMar>
            <w:vAlign w:val="top"/>
          </w:tcPr>
          <w:p>
            <w:pPr>
              <w:spacing w:after="0" w:line="240" w:lineRule="auto"/>
            </w:pPr>
            <w:r>
              <w:rPr>
                <w:sz w:val="16"/>
              </w:rPr>
              <w:t>The maximum |R_K(J)| grows systematically with m after exact certification, or a single certified counterexample violates the proposed bound.</w:t>
            </w:r>
          </w:p>
        </w:tc>
      </w:tr>
      <w:tr>
        <w:tc>
          <w:tcPr>
            <w:tcW w:type="dxa" w:w="2088"/>
            <w:shd w:fill="F7F9FB"/>
            <w:tcMar>
              <w:top w:w="80" w:type="dxa"/>
              <w:start w:w="90" w:type="dxa"/>
              <w:bottom w:w="80" w:type="dxa"/>
              <w:end w:w="90" w:type="dxa"/>
            </w:tcMar>
            <w:vAlign w:val="top"/>
          </w:tcPr>
          <w:p>
            <w:pPr>
              <w:spacing w:after="0" w:line="240" w:lineRule="auto"/>
            </w:pPr>
            <w:r>
              <w:rPr>
                <w:sz w:val="16"/>
              </w:rPr>
              <w:t>Expansion rule</w:t>
            </w:r>
          </w:p>
        </w:tc>
        <w:tc>
          <w:tcPr>
            <w:tcW w:type="dxa" w:w="7704"/>
            <w:shd w:fill="F7F9FB"/>
            <w:tcMar>
              <w:top w:w="80" w:type="dxa"/>
              <w:start w:w="90" w:type="dxa"/>
              <w:bottom w:w="80" w:type="dxa"/>
              <w:end w:w="90" w:type="dxa"/>
            </w:tcMar>
            <w:vAlign w:val="top"/>
          </w:tcPr>
          <w:p>
            <w:pPr>
              <w:spacing w:after="0" w:line="240" w:lineRule="auto"/>
            </w:pPr>
            <w:r>
              <w:rPr>
                <w:sz w:val="16"/>
              </w:rPr>
              <w:t>Increase to m=16 only if the pilot leaves a genuine asymptotic ambiguity and the theorem remains unsolved.</w:t>
            </w:r>
          </w:p>
        </w:tc>
      </w:tr>
      <w:tr>
        <w:tc>
          <w:tcPr>
            <w:tcW w:type="dxa" w:w="2088"/>
            <w:tcMar>
              <w:top w:w="80" w:type="dxa"/>
              <w:start w:w="90" w:type="dxa"/>
              <w:bottom w:w="80" w:type="dxa"/>
              <w:end w:w="90" w:type="dxa"/>
            </w:tcMar>
            <w:vAlign w:val="top"/>
          </w:tcPr>
          <w:p>
            <w:pPr>
              <w:spacing w:after="0" w:line="240" w:lineRule="auto"/>
            </w:pPr>
            <w:r>
              <w:rPr>
                <w:sz w:val="16"/>
              </w:rPr>
              <w:t>Publication-grade output</w:t>
            </w:r>
          </w:p>
        </w:tc>
        <w:tc>
          <w:tcPr>
            <w:tcW w:type="dxa" w:w="7704"/>
            <w:tcMar>
              <w:top w:w="80" w:type="dxa"/>
              <w:start w:w="90" w:type="dxa"/>
              <w:bottom w:w="80" w:type="dxa"/>
              <w:end w:w="90" w:type="dxa"/>
            </w:tcMar>
            <w:vAlign w:val="top"/>
          </w:tcPr>
          <w:p>
            <w:pPr>
              <w:spacing w:after="0" w:line="240" w:lineRule="auto"/>
            </w:pPr>
            <w:r>
              <w:rPr>
                <w:sz w:val="16"/>
              </w:rPr>
              <w:t>A theorem or counterexample; the heat map is secondary evidence only.</w:t>
            </w:r>
          </w:p>
        </w:tc>
      </w:tr>
    </w:tbl>
    <w:p>
      <w:pPr>
        <w:spacing w:after="0"/>
      </w:pPr>
    </w:p>
    <w:p>
      <w:pPr>
        <w:pStyle w:val="Heading2"/>
        <w:keepNext/>
      </w:pPr>
      <w:r>
        <w:t>10.3 Required certificates and controls</w:t>
      </w:r>
    </w:p>
    <w:p>
      <w:pPr>
        <w:pStyle w:val="ListBullet"/>
        <w:spacing w:after="40"/>
      </w:pPr>
      <w:r>
        <w:t>Exact containment by cross multiplication; floating-point values only for display.</w:t>
      </w:r>
    </w:p>
    <w:p>
      <w:pPr>
        <w:pStyle w:val="ListBullet"/>
        <w:spacing w:after="40"/>
      </w:pPr>
      <w:r>
        <w:t>Independent implementations of cylinder generation and target containment.</w:t>
      </w:r>
    </w:p>
    <w:p>
      <w:pPr>
        <w:pStyle w:val="ListBullet"/>
        <w:spacing w:after="40"/>
      </w:pPr>
      <w:r>
        <w:t>Reversed enumeration, clean-process, cache-off, and serialization tripwires.</w:t>
      </w:r>
    </w:p>
    <w:p>
      <w:pPr>
        <w:pStyle w:val="ListBullet"/>
        <w:spacing w:after="40"/>
      </w:pPr>
      <w:r>
        <w:t>Published benchmark identities for the middle-third Cantor set and continued-fraction cylinder widths.</w:t>
      </w:r>
    </w:p>
    <w:p>
      <w:pPr>
        <w:pStyle w:val="ListBullet"/>
        <w:spacing w:after="40"/>
      </w:pPr>
      <w:r>
        <w:t>Explicit distinction between exact attractor intersection, outer approximation, and unresolved interval bounds.</w:t>
      </w:r>
    </w:p>
    <w:p>
      <w:pPr>
        <w:pStyle w:val="ListBullet"/>
        <w:spacing w:after="40"/>
      </w:pPr>
      <w:r>
        <w:t>No target-derived oracle, no sampled tails, and no inference from apparent saturation.</w:t>
      </w:r>
    </w:p>
    <w:p>
      <w:pPr>
        <w:pStyle w:val="ListBullet"/>
        <w:spacing w:after="40"/>
      </w:pPr>
      <w:r>
        <w:t>Every reported maximum accompanied by a machine-readable witness word, target, and exact endpoints.</w:t>
      </w:r>
    </w:p>
    <w:p>
      <w:pPr>
        <w:pStyle w:val="Heading2"/>
        <w:keepNext/>
      </w:pPr>
      <w:r>
        <w:t>10.4 Experiment R2 - Recoding invariance audit</w:t>
      </w:r>
    </w:p>
    <w:p>
      <w:pPr>
        <w:spacing w:after="80"/>
      </w:pPr>
      <w:r>
        <w:t>This is primarily a proof exercise with a small computational check.</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D9EAF7"/>
            <w:tcMar>
              <w:top w:w="80" w:type="dxa"/>
              <w:start w:w="90" w:type="dxa"/>
              <w:bottom w:w="80" w:type="dxa"/>
              <w:end w:w="90" w:type="dxa"/>
            </w:tcMar>
            <w:vAlign w:val="center"/>
          </w:tcPr>
          <w:p>
            <w:pPr>
              <w:jc w:val="left"/>
            </w:pPr>
            <w:r>
              <w:rPr>
                <w:b/>
                <w:sz w:val="16"/>
              </w:rPr>
              <w:t>Field</w:t>
            </w:r>
          </w:p>
        </w:tc>
        <w:tc>
          <w:tcPr>
            <w:tcW w:type="dxa" w:w="7704"/>
            <w:shd w:fill="D9EAF7"/>
            <w:tcMar>
              <w:top w:w="80" w:type="dxa"/>
              <w:start w:w="90" w:type="dxa"/>
              <w:bottom w:w="80" w:type="dxa"/>
              <w:end w:w="90" w:type="dxa"/>
            </w:tcMar>
            <w:vAlign w:val="center"/>
          </w:tcPr>
          <w:p>
            <w:pPr>
              <w:jc w:val="left"/>
            </w:pPr>
            <w:r>
              <w:rPr>
                <w:b/>
                <w:sz w:val="16"/>
              </w:rPr>
              <w:t>Specification</w:t>
            </w:r>
          </w:p>
        </w:tc>
      </w:tr>
      <w:tr>
        <w:tc>
          <w:tcPr>
            <w:tcW w:type="dxa" w:w="2088"/>
            <w:tcMar>
              <w:top w:w="80" w:type="dxa"/>
              <w:start w:w="90" w:type="dxa"/>
              <w:bottom w:w="80" w:type="dxa"/>
              <w:end w:w="90" w:type="dxa"/>
            </w:tcMar>
            <w:vAlign w:val="top"/>
          </w:tcPr>
          <w:p>
            <w:pPr>
              <w:spacing w:after="0" w:line="240" w:lineRule="auto"/>
            </w:pPr>
            <w:r>
              <w:rPr>
                <w:sz w:val="16"/>
              </w:rPr>
              <w:t>Construction</w:t>
            </w:r>
          </w:p>
        </w:tc>
        <w:tc>
          <w:tcPr>
            <w:tcW w:type="dxa" w:w="7704"/>
            <w:tcMar>
              <w:top w:w="80" w:type="dxa"/>
              <w:start w:w="90" w:type="dxa"/>
              <w:bottom w:w="80" w:type="dxa"/>
              <w:end w:w="90" w:type="dxa"/>
            </w:tcMar>
            <w:vAlign w:val="top"/>
          </w:tcPr>
          <w:p>
            <w:pPr>
              <w:spacing w:after="0" w:line="240" w:lineRule="auto"/>
            </w:pPr>
            <w:r>
              <w:rPr>
                <w:sz w:val="16"/>
              </w:rPr>
              <w:t>Represent the same attractor with original symbols, 2-block symbols, and 3-block symbols.</w:t>
            </w:r>
          </w:p>
        </w:tc>
      </w:tr>
      <w:tr>
        <w:tc>
          <w:tcPr>
            <w:tcW w:type="dxa" w:w="2088"/>
            <w:shd w:fill="F7F9FB"/>
            <w:tcMar>
              <w:top w:w="80" w:type="dxa"/>
              <w:start w:w="90" w:type="dxa"/>
              <w:bottom w:w="80" w:type="dxa"/>
              <w:end w:w="90" w:type="dxa"/>
            </w:tcMar>
            <w:vAlign w:val="top"/>
          </w:tcPr>
          <w:p>
            <w:pPr>
              <w:spacing w:after="0" w:line="240" w:lineRule="auto"/>
            </w:pPr>
            <w:r>
              <w:rPr>
                <w:sz w:val="16"/>
              </w:rPr>
              <w:t>Expected exact result</w:t>
            </w:r>
          </w:p>
        </w:tc>
        <w:tc>
          <w:tcPr>
            <w:tcW w:type="dxa" w:w="7704"/>
            <w:shd w:fill="F7F9FB"/>
            <w:tcMar>
              <w:top w:w="80" w:type="dxa"/>
              <w:start w:w="90" w:type="dxa"/>
              <w:bottom w:w="80" w:type="dxa"/>
              <w:end w:w="90" w:type="dxa"/>
            </w:tcMar>
            <w:vAlign w:val="top"/>
          </w:tcPr>
          <w:p>
            <w:pPr>
              <w:spacing w:after="0" w:line="240" w:lineRule="auto"/>
            </w:pPr>
            <w:r>
              <w:rPr>
                <w:sz w:val="16"/>
              </w:rPr>
              <w:t>Raw N* scales approximately by 1, 1/2, and 1/3; alphabet size scales as |Σ|, |Σ|², |Σ|³.</w:t>
            </w:r>
          </w:p>
        </w:tc>
      </w:tr>
      <w:tr>
        <w:tc>
          <w:tcPr>
            <w:tcW w:type="dxa" w:w="2088"/>
            <w:tcMar>
              <w:top w:w="80" w:type="dxa"/>
              <w:start w:w="90" w:type="dxa"/>
              <w:bottom w:w="80" w:type="dxa"/>
              <w:end w:w="90" w:type="dxa"/>
            </w:tcMar>
            <w:vAlign w:val="top"/>
          </w:tcPr>
          <w:p>
            <w:pPr>
              <w:spacing w:after="0" w:line="240" w:lineRule="auto"/>
            </w:pPr>
            <w:r>
              <w:rPr>
                <w:sz w:val="16"/>
              </w:rPr>
              <w:t>Candidate invariant</w:t>
            </w:r>
          </w:p>
        </w:tc>
        <w:tc>
          <w:tcPr>
            <w:tcW w:type="dxa" w:w="7704"/>
            <w:tcMar>
              <w:top w:w="80" w:type="dxa"/>
              <w:start w:w="90" w:type="dxa"/>
              <w:bottom w:w="80" w:type="dxa"/>
              <w:end w:w="90" w:type="dxa"/>
            </w:tcMar>
            <w:vAlign w:val="top"/>
          </w:tcPr>
          <w:p>
            <w:pPr>
              <w:spacing w:after="0" w:line="240" w:lineRule="auto"/>
            </w:pPr>
            <w:r>
              <w:rPr>
                <w:sz w:val="16"/>
              </w:rPr>
              <w:t>Geometric cost G* and information cost I*, normalized to the same metric or measure.</w:t>
            </w:r>
          </w:p>
        </w:tc>
      </w:tr>
      <w:tr>
        <w:tc>
          <w:tcPr>
            <w:tcW w:type="dxa" w:w="2088"/>
            <w:shd w:fill="F7F9FB"/>
            <w:tcMar>
              <w:top w:w="80" w:type="dxa"/>
              <w:start w:w="90" w:type="dxa"/>
              <w:bottom w:w="80" w:type="dxa"/>
              <w:end w:w="90" w:type="dxa"/>
            </w:tcMar>
            <w:vAlign w:val="top"/>
          </w:tcPr>
          <w:p>
            <w:pPr>
              <w:spacing w:after="0" w:line="240" w:lineRule="auto"/>
            </w:pPr>
            <w:r>
              <w:rPr>
                <w:sz w:val="16"/>
              </w:rPr>
              <w:t>Theorem target</w:t>
            </w:r>
          </w:p>
        </w:tc>
        <w:tc>
          <w:tcPr>
            <w:tcW w:type="dxa" w:w="7704"/>
            <w:shd w:fill="F7F9FB"/>
            <w:tcMar>
              <w:top w:w="80" w:type="dxa"/>
              <w:start w:w="90" w:type="dxa"/>
              <w:bottom w:w="80" w:type="dxa"/>
              <w:end w:w="90" w:type="dxa"/>
            </w:tcMar>
            <w:vAlign w:val="top"/>
          </w:tcPr>
          <w:p>
            <w:pPr>
              <w:spacing w:after="0" w:line="240" w:lineRule="auto"/>
            </w:pPr>
            <w:r>
              <w:rPr>
                <w:sz w:val="16"/>
              </w:rPr>
              <w:t>Bound the difference in normalized costs under bounded-block recoding.</w:t>
            </w:r>
          </w:p>
        </w:tc>
      </w:tr>
      <w:tr>
        <w:tc>
          <w:tcPr>
            <w:tcW w:type="dxa" w:w="2088"/>
            <w:tcMar>
              <w:top w:w="80" w:type="dxa"/>
              <w:start w:w="90" w:type="dxa"/>
              <w:bottom w:w="80" w:type="dxa"/>
              <w:end w:w="90" w:type="dxa"/>
            </w:tcMar>
            <w:vAlign w:val="top"/>
          </w:tcPr>
          <w:p>
            <w:pPr>
              <w:spacing w:after="0" w:line="240" w:lineRule="auto"/>
            </w:pPr>
            <w:r>
              <w:rPr>
                <w:sz w:val="16"/>
              </w:rPr>
              <w:t>Stop rule</w:t>
            </w:r>
          </w:p>
        </w:tc>
        <w:tc>
          <w:tcPr>
            <w:tcW w:type="dxa" w:w="7704"/>
            <w:tcMar>
              <w:top w:w="80" w:type="dxa"/>
              <w:start w:w="90" w:type="dxa"/>
              <w:bottom w:w="80" w:type="dxa"/>
              <w:end w:w="90" w:type="dxa"/>
            </w:tcMar>
            <w:vAlign w:val="top"/>
          </w:tcPr>
          <w:p>
            <w:pPr>
              <w:spacing w:after="0" w:line="240" w:lineRule="auto"/>
            </w:pPr>
            <w:r>
              <w:rPr>
                <w:sz w:val="16"/>
              </w:rPr>
              <w:t>If normalization does not remove arbitrary recoding distortion, terminate the universality claim for that quantity.</w:t>
            </w:r>
          </w:p>
        </w:tc>
      </w:tr>
    </w:tbl>
    <w:p>
      <w:pPr>
        <w:spacing w:after="0"/>
      </w:pPr>
    </w:p>
    <w:p>
      <w:pPr>
        <w:spacing w:after="80"/>
      </w:pPr>
      <w:r>
        <w:t>Because the failure of raw depth is already analytically obvious, this experiment must not become a large enumeration. Its purpose is to validate definitions and expose edge cases in a proposed invariant.</w:t>
      </w:r>
    </w:p>
    <w:p>
      <w:pPr>
        <w:pStyle w:val="Heading2"/>
        <w:keepNext/>
      </w:pPr>
      <w:r>
        <w:t>10.5 Deferred experiment R3 - Target-conditioned depth law</w:t>
      </w:r>
    </w:p>
    <w:p>
      <w:pPr>
        <w:spacing w:after="80"/>
      </w:pPr>
      <w:r>
        <w:t>Run only after a dedicated shrinking-target and renewal-theory audit. Freeze a probability measure on the attractor, define whether targets are selected by measure or by grid, and distinguish the prefix of the sampled point from the best cylinder anywhere in the target. Enumerate all reachable cells for modest m rather than sampling. Test a predeclared normalization derived from the system’s Lyapunov exponent. A trend without a theorem is not a result.</w:t>
      </w:r>
    </w:p>
    <w:p>
      <w:pPr>
        <w:pStyle w:val="Heading2"/>
        <w:keepNext/>
      </w:pPr>
      <w:r>
        <w:t>10.6 What must not be run</w:t>
      </w:r>
    </w:p>
    <w:p>
      <w:pPr>
        <w:pStyle w:val="ListBullet"/>
        <w:spacing w:after="40"/>
      </w:pPr>
      <w:r>
        <w:t>Another larger depth sweep to confirm permanent bounded-digit gaps.</w:t>
      </w:r>
    </w:p>
    <w:p>
      <w:pPr>
        <w:pStyle w:val="ListBullet"/>
        <w:spacing w:after="40"/>
      </w:pPr>
      <w:r>
        <w:t>A cross-system demonstration that prefixes localize in base expansions, p-adics, automata, or contracting IFSs.</w:t>
      </w:r>
    </w:p>
    <w:p>
      <w:pPr>
        <w:pStyle w:val="ListBullet"/>
        <w:spacing w:after="40"/>
      </w:pPr>
      <w:r>
        <w:t>A full Experiment 3 Pareto atlas using raw K and N as universal resources.</w:t>
      </w:r>
    </w:p>
    <w:p>
      <w:pPr>
        <w:pStyle w:val="ListBullet"/>
        <w:spacing w:after="40"/>
      </w:pPr>
      <w:r>
        <w:t>A dimension computation intended as novelty for classical E_K sets.</w:t>
      </w:r>
    </w:p>
    <w:p>
      <w:pPr>
        <w:pStyle w:val="ListBullet"/>
        <w:spacing w:after="40"/>
      </w:pPr>
      <w:r>
        <w:t>A simulation of general recursive systems intended to establish universal decidability or controllability.</w:t>
      </w:r>
    </w:p>
    <w:p>
      <w:bookmarkStart w:id="110" w:name="decision"/>
      <w:pPr>
        <w:pStyle w:val="Heading1"/>
        <w:keepNext/>
      </w:pPr>
      <w:r>
        <w:t>11. Decision and roadmap</w:t>
      </w:r>
      <w:bookmarkEnd w:id="110"/>
    </w:p>
    <w:p>
      <w:pPr>
        <w:pStyle w:val="Heading2"/>
        <w:keepNext/>
      </w:pPr>
      <w:r>
        <w:t>11.1 Scientific answer to the original question</w:t>
      </w:r>
    </w:p>
    <w:tbl>
      <w:tblPr>
        <w:tblW w:type="auto" w:w="0"/>
        <w:jc w:val="center"/>
        <w:tblLayout w:type="autofit"/>
        <w:tblLook w:firstColumn="1" w:firstRow="1" w:lastColumn="0" w:lastRow="0" w:noHBand="0" w:noVBand="1" w:val="04A0"/>
      </w:tblPr>
      <w:tblGrid>
        <w:gridCol w:w="10166"/>
      </w:tblGrid>
      <w:tr>
        <w:tc>
          <w:tcPr>
            <w:tcW w:type="dxa" w:w="10166"/>
            <w:shd w:fill="DDEBF7"/>
            <w:tcMar>
              <w:top w:w="120" w:type="dxa"/>
              <w:start w:w="150" w:type="dxa"/>
              <w:bottom w:w="120" w:type="dxa"/>
              <w:end w:w="150" w:type="dxa"/>
            </w:tcMar>
            <w:tcBorders>
              <w:left w:val="single" w:sz="18" w:color="2F5597"/>
            </w:tcBorders>
          </w:tcPr>
          <w:p>
            <w:pPr>
              <w:spacing w:after="0"/>
            </w:pPr>
            <w:r>
              <w:rPr>
                <w:b/>
                <w:color w:val="1F4E79"/>
              </w:rPr>
              <w:t>Answer</w:t>
            </w:r>
            <w:r>
              <w:br/>
              <w:t>Established mathematics already answers the qualitative question. Finite information localizes infinite continuation when the infinite object is supplied through a compact continuous symbolic coding. The admissible language fixes what is possible; the coding regularity fixes how fast uncertainty shrinks; entropy and dimension quantify remaining freedom. This is not a new law of continued fractions and not a universal law of unrestricted reality.</w:t>
            </w:r>
          </w:p>
        </w:tc>
      </w:tr>
    </w:tbl>
    <w:p>
      <w:pPr>
        <w:spacing w:after="0"/>
      </w:pPr>
    </w:p>
    <w:p>
      <w:pPr>
        <w:pStyle w:val="Heading2"/>
        <w:keepNext/>
      </w:pPr>
      <w:r>
        <w:t>11.2 Research pivot</w:t>
      </w:r>
    </w:p>
    <w:p>
      <w:pPr>
        <w:spacing w:after="80"/>
      </w:pPr>
      <w:r>
        <w:t>The project should pivot from “discovering a general mechanism” to “identifying invariant quantitative structure within a declared model class.” The strongest candidate model class is finite conformal IFSs with separation and bounded distortion, including bounded-digit continued fractions as a nonuniform arithmetic example.</w:t>
      </w:r>
    </w:p>
    <w:p>
      <w:pPr>
        <w:pStyle w:val="Heading2"/>
        <w:keepNext/>
      </w:pPr>
      <w:r>
        <w:t>11.3 Roadmap</w:t>
      </w:r>
    </w:p>
    <w:p>
      <w:pPr>
        <w:spacing w:after="40"/>
        <w:ind w:left="403" w:hanging="346"/>
      </w:pPr>
      <w:r>
        <w:rPr>
          <w:b w:val="0"/>
        </w:rPr>
        <w:t xml:space="preserve">1. </w:t>
      </w:r>
      <w:r>
        <w:t>Archive Experiments 1 and 2 as verified computational reproductions of established theory.</w:t>
      </w:r>
    </w:p>
    <w:p>
      <w:pPr>
        <w:spacing w:after="40"/>
        <w:ind w:left="403" w:hanging="346"/>
      </w:pPr>
      <w:r>
        <w:rPr>
          <w:b w:val="0"/>
        </w:rPr>
        <w:t xml:space="preserve">2. </w:t>
      </w:r>
      <w:r>
        <w:t>Adopt the coding theorem in Section 4 as the theoretical foundation and cite the established fields rather than re-testing it.</w:t>
      </w:r>
    </w:p>
    <w:p>
      <w:pPr>
        <w:spacing w:after="40"/>
        <w:ind w:left="403" w:hanging="346"/>
      </w:pPr>
      <w:r>
        <w:rPr>
          <w:b w:val="0"/>
        </w:rPr>
        <w:t xml:space="preserve">3. </w:t>
      </w:r>
      <w:r>
        <w:t>Delete raw alphabet ceiling and raw word depth from any claim of universal control cost. Retain them only as implementation-specific resources.</w:t>
      </w:r>
    </w:p>
    <w:p>
      <w:pPr>
        <w:spacing w:after="40"/>
        <w:ind w:left="403" w:hanging="346"/>
      </w:pPr>
      <w:r>
        <w:rPr>
          <w:b w:val="0"/>
        </w:rPr>
        <w:t xml:space="preserve">4. </w:t>
      </w:r>
      <w:r>
        <w:t>Complete Gate 0 for the target-clearance law.</w:t>
      </w:r>
    </w:p>
    <w:p>
      <w:pPr>
        <w:spacing w:after="40"/>
        <w:ind w:left="403" w:hanging="346"/>
      </w:pPr>
      <w:r>
        <w:rPr>
          <w:b w:val="0"/>
        </w:rPr>
        <w:t xml:space="preserve">5. </w:t>
      </w:r>
      <w:r>
        <w:t>Attempt the analytic benchmark proof for a separated self-similar IFS.</w:t>
      </w:r>
    </w:p>
    <w:p>
      <w:pPr>
        <w:spacing w:after="40"/>
        <w:ind w:left="403" w:hanging="346"/>
      </w:pPr>
      <w:r>
        <w:rPr>
          <w:b w:val="0"/>
        </w:rPr>
        <w:t xml:space="preserve">6. </w:t>
      </w:r>
      <w:r>
        <w:t>Run Experiment R1 at m=8,…,12 only if the literature and benchmark do not settle the question.</w:t>
      </w:r>
    </w:p>
    <w:p>
      <w:pPr>
        <w:spacing w:after="40"/>
        <w:ind w:left="403" w:hanging="346"/>
      </w:pPr>
      <w:r>
        <w:rPr>
          <w:b w:val="0"/>
        </w:rPr>
        <w:t xml:space="preserve">7. </w:t>
      </w:r>
      <w:r>
        <w:t>Promote the project to a research paper only when it contains a theorem, a certified counterexample, or a rigorously new algorithmic complexity result.</w:t>
      </w:r>
    </w:p>
    <w:p>
      <w:pPr>
        <w:pStyle w:val="Heading2"/>
        <w:keepNext/>
      </w:pPr>
      <w:r>
        <w:t>11.4 Final plain-English conclusion</w:t>
      </w:r>
    </w:p>
    <w:p>
      <w:pPr>
        <w:spacing w:after="80"/>
      </w:pPr>
      <w:r>
        <w:t>A finite prefix narrows an infinite possibility only because a specified rule tells us what that prefix means. Mathematics already has a general theory of this. The remaining scientific problem is not whether narrowing happens. It is which measures of the narrowing belong to the underlying system rather than to our chosen notation, and what exact laws govern those measures.</w:t>
      </w:r>
    </w:p>
    <w:p>
      <w:bookmarkStart w:id="120" w:name="appa"/>
      <w:pPr>
        <w:pStyle w:val="Heading1"/>
        <w:keepNext/>
      </w:pPr>
      <w:r>
        <w:t>Appendix A. Project evidence</w:t>
      </w:r>
      <w:bookmarkEnd w:id="120"/>
    </w:p>
    <w:p>
      <w:pPr>
        <w:spacing w:after="80"/>
      </w:pPr>
      <w:r>
        <w:t>The project record reports the following exact computations. These are reproduced here to preserve the evidence while separating it from the established theory.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D9EAF7"/>
            <w:tcMar>
              <w:top w:w="80" w:type="dxa"/>
              <w:start w:w="90" w:type="dxa"/>
              <w:bottom w:w="80" w:type="dxa"/>
              <w:end w:w="90" w:type="dxa"/>
            </w:tcMar>
            <w:vAlign w:val="center"/>
          </w:tcPr>
          <w:p>
            <w:pPr>
              <w:jc w:val="left"/>
            </w:pPr>
            <w:r>
              <w:rPr>
                <w:b/>
                <w:sz w:val="16"/>
              </w:rPr>
              <w:t>Item</w:t>
            </w:r>
          </w:p>
        </w:tc>
        <w:tc>
          <w:tcPr>
            <w:tcW w:type="dxa" w:w="7992"/>
            <w:shd w:fill="D9EAF7"/>
            <w:tcMar>
              <w:top w:w="80" w:type="dxa"/>
              <w:start w:w="90" w:type="dxa"/>
              <w:bottom w:w="80" w:type="dxa"/>
              <w:end w:w="90" w:type="dxa"/>
            </w:tcMar>
            <w:vAlign w:val="center"/>
          </w:tcPr>
          <w:p>
            <w:pPr>
              <w:jc w:val="left"/>
            </w:pPr>
            <w:r>
              <w:rPr>
                <w:b/>
                <w:sz w:val="16"/>
              </w:rPr>
              <w:t>Reported fact</w:t>
            </w:r>
          </w:p>
        </w:tc>
      </w:tr>
      <w:tr>
        <w:tc>
          <w:tcPr>
            <w:tcW w:type="dxa" w:w="1800"/>
            <w:tcMar>
              <w:top w:w="80" w:type="dxa"/>
              <w:start w:w="90" w:type="dxa"/>
              <w:bottom w:w="80" w:type="dxa"/>
              <w:end w:w="90" w:type="dxa"/>
            </w:tcMar>
            <w:vAlign w:val="top"/>
          </w:tcPr>
          <w:p>
            <w:pPr>
              <w:spacing w:after="0" w:line="240" w:lineRule="auto"/>
            </w:pPr>
            <w:r>
              <w:rPr>
                <w:sz w:val="16"/>
              </w:rPr>
              <w:t>Enumeration</w:t>
            </w:r>
          </w:p>
        </w:tc>
        <w:tc>
          <w:tcPr>
            <w:tcW w:type="dxa" w:w="7992"/>
            <w:tcMar>
              <w:top w:w="80" w:type="dxa"/>
              <w:start w:w="90" w:type="dxa"/>
              <w:bottom w:w="80" w:type="dxa"/>
              <w:end w:w="90" w:type="dxa"/>
            </w:tcMar>
            <w:vAlign w:val="top"/>
          </w:tcPr>
          <w:p>
            <w:pPr>
              <w:spacing w:after="0" w:line="240" w:lineRule="auto"/>
            </w:pPr>
            <w:r>
              <w:rPr>
                <w:sz w:val="16"/>
              </w:rPr>
              <w:t>K=3 through depth 10: 88,572 words; K=5 through depth 10: 12,207,030 words; total 12,295,602.</w:t>
            </w:r>
          </w:p>
        </w:tc>
      </w:tr>
      <w:tr>
        <w:tc>
          <w:tcPr>
            <w:tcW w:type="dxa" w:w="1800"/>
            <w:shd w:fill="F7F9FB"/>
            <w:tcMar>
              <w:top w:w="80" w:type="dxa"/>
              <w:start w:w="90" w:type="dxa"/>
              <w:bottom w:w="80" w:type="dxa"/>
              <w:end w:w="90" w:type="dxa"/>
            </w:tcMar>
            <w:vAlign w:val="top"/>
          </w:tcPr>
          <w:p>
            <w:pPr>
              <w:spacing w:after="0" w:line="240" w:lineRule="auto"/>
            </w:pPr>
            <w:r>
              <w:rPr>
                <w:sz w:val="16"/>
              </w:rPr>
              <w:t>Targets</w:t>
            </w:r>
          </w:p>
        </w:tc>
        <w:tc>
          <w:tcPr>
            <w:tcW w:type="dxa" w:w="7992"/>
            <w:shd w:fill="F7F9FB"/>
            <w:tcMar>
              <w:top w:w="80" w:type="dxa"/>
              <w:start w:w="90" w:type="dxa"/>
              <w:bottom w:w="80" w:type="dxa"/>
              <w:end w:w="90" w:type="dxa"/>
            </w:tcMar>
            <w:vAlign w:val="top"/>
          </w:tcPr>
          <w:p>
            <w:pPr>
              <w:spacing w:after="0" w:line="240" w:lineRule="auto"/>
            </w:pPr>
            <w:r>
              <w:rPr>
                <w:sz w:val="16"/>
              </w:rPr>
              <w:t>5,370 frozen dyadic target intervals evaluated exactly.</w:t>
            </w:r>
          </w:p>
        </w:tc>
      </w:tr>
      <w:tr>
        <w:tc>
          <w:tcPr>
            <w:tcW w:type="dxa" w:w="1800"/>
            <w:tcMar>
              <w:top w:w="80" w:type="dxa"/>
              <w:start w:w="90" w:type="dxa"/>
              <w:bottom w:w="80" w:type="dxa"/>
              <w:end w:w="90" w:type="dxa"/>
            </w:tcMar>
            <w:vAlign w:val="top"/>
          </w:tcPr>
          <w:p>
            <w:pPr>
              <w:spacing w:after="0" w:line="240" w:lineRule="auto"/>
            </w:pPr>
            <w:r>
              <w:rPr>
                <w:sz w:val="16"/>
              </w:rPr>
              <w:t>Integrity</w:t>
            </w:r>
          </w:p>
        </w:tc>
        <w:tc>
          <w:tcPr>
            <w:tcW w:type="dxa" w:w="7992"/>
            <w:tcMar>
              <w:top w:w="80" w:type="dxa"/>
              <w:start w:w="90" w:type="dxa"/>
              <w:bottom w:w="80" w:type="dxa"/>
              <w:end w:w="90" w:type="dxa"/>
            </w:tcMar>
            <w:vAlign w:val="top"/>
          </w:tcPr>
          <w:p>
            <w:pPr>
              <w:spacing w:after="0" w:line="240" w:lineRule="auto"/>
            </w:pPr>
            <w:r>
              <w:rPr>
                <w:sz w:val="16"/>
              </w:rPr>
              <w:t>0 recurrence-matrix mismatches; 0 determinant mismatches; 0 child-nesting mismatches; 87 tripwire checks with 0 failures; 4/4 source mutations detected.</w:t>
            </w:r>
          </w:p>
        </w:tc>
      </w:tr>
      <w:tr>
        <w:tc>
          <w:tcPr>
            <w:tcW w:type="dxa" w:w="1800"/>
            <w:shd w:fill="F7F9FB"/>
            <w:tcMar>
              <w:top w:w="80" w:type="dxa"/>
              <w:start w:w="90" w:type="dxa"/>
              <w:bottom w:w="80" w:type="dxa"/>
              <w:end w:w="90" w:type="dxa"/>
            </w:tcMar>
            <w:vAlign w:val="top"/>
          </w:tcPr>
          <w:p>
            <w:pPr>
              <w:spacing w:after="0" w:line="240" w:lineRule="auto"/>
            </w:pPr>
            <w:r>
              <w:rPr>
                <w:sz w:val="16"/>
              </w:rPr>
              <w:t>Width dispersion</w:t>
            </w:r>
          </w:p>
        </w:tc>
        <w:tc>
          <w:tcPr>
            <w:tcW w:type="dxa" w:w="7992"/>
            <w:shd w:fill="F7F9FB"/>
            <w:tcMar>
              <w:top w:w="80" w:type="dxa"/>
              <w:start w:w="90" w:type="dxa"/>
              <w:bottom w:w="80" w:type="dxa"/>
              <w:end w:w="90" w:type="dxa"/>
            </w:tcMar>
            <w:vAlign w:val="top"/>
          </w:tcPr>
          <w:p>
            <w:pPr>
              <w:spacing w:after="0" w:line="240" w:lineRule="auto"/>
            </w:pPr>
            <w:r>
              <w:rPr>
                <w:sz w:val="16"/>
              </w:rPr>
              <w:t>At n=10,m=12: median within-cell dispersion 8.356644 bits for K=3 and 16.452808 bits for K=5.</w:t>
            </w:r>
          </w:p>
        </w:tc>
      </w:tr>
      <w:tr>
        <w:tc>
          <w:tcPr>
            <w:tcW w:type="dxa" w:w="1800"/>
            <w:tcMar>
              <w:top w:w="80" w:type="dxa"/>
              <w:start w:w="90" w:type="dxa"/>
              <w:bottom w:w="80" w:type="dxa"/>
              <w:end w:w="90" w:type="dxa"/>
            </w:tcMar>
            <w:vAlign w:val="top"/>
          </w:tcPr>
          <w:p>
            <w:pPr>
              <w:spacing w:after="0" w:line="240" w:lineRule="auto"/>
            </w:pPr>
            <w:r>
              <w:rPr>
                <w:sz w:val="16"/>
              </w:rPr>
              <w:t>Order effect</w:t>
            </w:r>
          </w:p>
        </w:tc>
        <w:tc>
          <w:tcPr>
            <w:tcW w:type="dxa" w:w="7992"/>
            <w:tcMar>
              <w:top w:w="80" w:type="dxa"/>
              <w:start w:w="90" w:type="dxa"/>
              <w:bottom w:w="80" w:type="dxa"/>
              <w:end w:w="90" w:type="dxa"/>
            </w:tcMar>
            <w:vAlign w:val="top"/>
          </w:tcPr>
          <w:p>
            <w:pPr>
              <w:spacing w:after="0" w:line="240" w:lineRule="auto"/>
            </w:pPr>
            <w:r>
              <w:rPr>
                <w:sz w:val="16"/>
              </w:rPr>
              <w:t>996 multiset classes; median order-only width dispersion 1.139240 bits; maximum 3.081195 bits.</w:t>
            </w:r>
          </w:p>
        </w:tc>
      </w:tr>
      <w:tr>
        <w:tc>
          <w:tcPr>
            <w:tcW w:type="dxa" w:w="1800"/>
            <w:shd w:fill="F7F9FB"/>
            <w:tcMar>
              <w:top w:w="80" w:type="dxa"/>
              <w:start w:w="90" w:type="dxa"/>
              <w:bottom w:w="80" w:type="dxa"/>
              <w:end w:w="90" w:type="dxa"/>
            </w:tcMar>
            <w:vAlign w:val="top"/>
          </w:tcPr>
          <w:p>
            <w:pPr>
              <w:spacing w:after="0" w:line="240" w:lineRule="auto"/>
            </w:pPr>
            <w:r>
              <w:rPr>
                <w:sz w:val="16"/>
              </w:rPr>
              <w:t>Reachability</w:t>
            </w:r>
          </w:p>
        </w:tc>
        <w:tc>
          <w:tcPr>
            <w:tcW w:type="dxa" w:w="7992"/>
            <w:shd w:fill="F7F9FB"/>
            <w:tcMar>
              <w:top w:w="80" w:type="dxa"/>
              <w:start w:w="90" w:type="dxa"/>
              <w:bottom w:w="80" w:type="dxa"/>
              <w:end w:w="90" w:type="dxa"/>
            </w:tcMar>
            <w:vAlign w:val="top"/>
          </w:tcPr>
          <w:p>
            <w:pPr>
              <w:spacing w:after="0" w:line="240" w:lineRule="auto"/>
            </w:pPr>
            <w:r>
              <w:rPr>
                <w:sz w:val="16"/>
              </w:rPr>
              <w:t>K=5: 1229/4094 cells (30.020%); K=3: 421/4094 cells (10.283%).</w:t>
            </w:r>
          </w:p>
        </w:tc>
      </w:tr>
      <w:tr>
        <w:tc>
          <w:tcPr>
            <w:tcW w:type="dxa" w:w="1800"/>
            <w:tcMar>
              <w:top w:w="80" w:type="dxa"/>
              <w:start w:w="90" w:type="dxa"/>
              <w:bottom w:w="80" w:type="dxa"/>
              <w:end w:w="90" w:type="dxa"/>
            </w:tcMar>
            <w:vAlign w:val="top"/>
          </w:tcPr>
          <w:p>
            <w:pPr>
              <w:spacing w:after="0" w:line="240" w:lineRule="auto"/>
            </w:pPr>
            <w:r>
              <w:rPr>
                <w:sz w:val="16"/>
              </w:rPr>
              <w:t>Greedy policy</w:t>
            </w:r>
          </w:p>
        </w:tc>
        <w:tc>
          <w:tcPr>
            <w:tcW w:type="dxa" w:w="7992"/>
            <w:tcMar>
              <w:top w:w="80" w:type="dxa"/>
              <w:start w:w="90" w:type="dxa"/>
              <w:bottom w:w="80" w:type="dxa"/>
              <w:end w:w="90" w:type="dxa"/>
            </w:tcMar>
            <w:vAlign w:val="top"/>
          </w:tcPr>
          <w:p>
            <w:pPr>
              <w:spacing w:after="0" w:line="240" w:lineRule="auto"/>
            </w:pPr>
            <w:r>
              <w:rPr>
                <w:sz w:val="16"/>
              </w:rPr>
              <w:t>At K=5,m=12: 740 exact-minimum successes, 244 delayed successes, 245 reachable targets missed.</w:t>
            </w:r>
          </w:p>
        </w:tc>
      </w:tr>
      <w:tr>
        <w:tc>
          <w:tcPr>
            <w:tcW w:type="dxa" w:w="1800"/>
            <w:shd w:fill="F7F9FB"/>
            <w:tcMar>
              <w:top w:w="80" w:type="dxa"/>
              <w:start w:w="90" w:type="dxa"/>
              <w:bottom w:w="80" w:type="dxa"/>
              <w:end w:w="90" w:type="dxa"/>
            </w:tcMar>
            <w:vAlign w:val="top"/>
          </w:tcPr>
          <w:p>
            <w:pPr>
              <w:spacing w:after="0" w:line="240" w:lineRule="auto"/>
            </w:pPr>
            <w:r>
              <w:rPr>
                <w:sz w:val="16"/>
              </w:rPr>
              <w:t>Experiment 2</w:t>
            </w:r>
          </w:p>
        </w:tc>
        <w:tc>
          <w:tcPr>
            <w:tcW w:type="dxa" w:w="7992"/>
            <w:shd w:fill="F7F9FB"/>
            <w:tcMar>
              <w:top w:w="80" w:type="dxa"/>
              <w:start w:w="90" w:type="dxa"/>
              <w:bottom w:w="80" w:type="dxa"/>
              <w:end w:w="90" w:type="dxa"/>
            </w:tcMar>
            <w:vAlign w:val="top"/>
          </w:tcPr>
          <w:p>
            <w:pPr>
              <w:spacing w:after="0" w:line="240" w:lineRule="auto"/>
            </w:pPr>
            <w:r>
              <w:rPr>
                <w:sz w:val="16"/>
              </w:rPr>
              <w:t>At K=5,m=12, depth 10 certified the complete asymptotic mask; 2,865 cells were structurally excluded by the alphabet.</w:t>
            </w:r>
          </w:p>
        </w:tc>
      </w:tr>
    </w:tbl>
    <w:p>
      <w:pPr>
        <w:spacing w:after="0"/>
      </w:pPr>
    </w:p>
    <w:p>
      <w:pPr>
        <w:spacing w:after="80"/>
      </w:pPr>
      <w:r>
        <w:t>Source: project experimental record supplied in the conversation on 6 August 2026. These facts have internal audit support as described in that record, but they are not presented here as externally peer-reviewed results.</w:t>
      </w:r>
    </w:p>
    <w:p>
      <w:bookmarkStart w:id="130" w:name="appb"/>
      <w:pPr>
        <w:pStyle w:val="Heading1"/>
        <w:keepNext/>
      </w:pPr>
      <w:r>
        <w:t>Appendix B. Proof details and counterexamples</w:t>
      </w:r>
      <w:bookmarkEnd w:id="130"/>
    </w:p>
    <w:p>
      <w:pPr>
        <w:pStyle w:val="Heading2"/>
        <w:keepNext/>
      </w:pPr>
      <w:r>
        <w:t>B.1 Uniform localization</w:t>
      </w:r>
    </w:p>
    <w:p>
      <w:pPr>
        <w:spacing w:after="80"/>
      </w:pPr>
      <w:r>
        <w:t>Let d(s,t)=2^-ℓ(s,t), where ℓ is the length of the longest common prefix. Every length-n cylinder has diameter at most 2^-n. Given ε&gt;0, uniform continuity of π supplies η&gt;0 such that d(s,t)&lt;η implies d_X(π(s),π(t))&lt;ε. Choose n with 2^-n&lt;η. Then every nonempty C_w with |w|=n has diameter below ε.</w:t>
      </w:r>
    </w:p>
    <w:p>
      <w:pPr>
        <w:pStyle w:val="Heading2"/>
        <w:keepNext/>
      </w:pPr>
      <w:r>
        <w:t>B.2 Reachability equivalence</w:t>
      </w:r>
    </w:p>
    <w:p>
      <w:pPr>
        <w:spacing w:after="80"/>
      </w:pPr>
      <w:r>
        <w:t>If C_w⊆U and C_w is nonempty, then U∩A is nonempty. Conversely, take x∈U∩A and s∈Y with π(s)=x. Since U is open, continuity of π at s gives a prefix cylinder [w]_Y containing s whose image lies in U. This is why the target must be open, or why a positive-margin condition must be imposed for closed targets.</w:t>
      </w:r>
    </w:p>
    <w:p>
      <w:pPr>
        <w:pStyle w:val="Heading2"/>
        <w:keepNext/>
      </w:pPr>
      <w:r>
        <w:t>B.3 Block-recoding counterexample</w:t>
      </w:r>
    </w:p>
    <w:p>
      <w:pPr>
        <w:spacing w:after="80"/>
      </w:pPr>
      <w:r>
        <w:t>Let B_b group every b consecutive symbols into one block. The map B_b is a conjugacy between the original sequence and a block-coded sequence over alphabet Σ^b. A length-bn original prefix and a length-n block prefix specify the same continuation set. Therefore any raw minimum-depth law can be rescaled by choosing b, while the represented object and geometric target remain unchanged. Alphabet size changes simultaneously from |Σ| to |Σ|^b. This proves that raw depth and alphabet cardinality are not universal resources.</w:t>
      </w:r>
    </w:p>
    <w:p>
      <w:pPr>
        <w:pStyle w:val="Heading2"/>
        <w:keepNext/>
      </w:pPr>
      <w:r>
        <w:t>B.4 Coordinate distortion</w:t>
      </w:r>
    </w:p>
    <w:p>
      <w:pPr>
        <w:spacing w:after="80"/>
      </w:pPr>
      <w:r>
        <w:t>Let h:X→X be a homeomorphism and replace π by h∘π. Topological reachability is preserved after targets are transformed by h, but diameters can be distorted arbitrarily by a general homeomorphism. Bi-Lipschitz maps bound this distortion by constants; bi-Hölder maps change exponents. Any geometric universality claim must therefore name the allowed coordinate transformations.</w:t>
      </w:r>
    </w:p>
    <w:p>
      <w:pPr>
        <w:pStyle w:val="Heading2"/>
        <w:keepNext/>
      </w:pPr>
      <w:r>
        <w:t>B.5 Finite saturation does not imply global finite depth</w:t>
      </w:r>
    </w:p>
    <w:p>
      <w:pPr>
        <w:spacing w:after="80"/>
      </w:pPr>
      <w:r>
        <w:t>For a fixed finite target partition, reachable cells have finitely many first-success depths, so their maximum is finite. This does not imply a uniform depth that works for every target at every resolution. As targets shrink, required depth generally grows. Experiment 2’s depth-10 saturation is therefore a partition-specific certificate, not a global bound.</w:t>
      </w:r>
    </w:p>
    <w:p>
      <w:bookmarkStart w:id="140" w:name="refs"/>
      <w:pPr>
        <w:pStyle w:val="Heading1"/>
        <w:keepNext/>
      </w:pPr>
      <w:r>
        <w:t>References</w:t>
      </w:r>
      <w:bookmarkEnd w:id="140"/>
    </w:p>
    <w:p>
      <w:pPr>
        <w:spacing w:after="50" w:line="240" w:lineRule="auto"/>
        <w:ind w:left="360" w:hanging="360"/>
      </w:pPr>
      <w:r>
        <w:rPr>
          <w:sz w:val="17"/>
        </w:rPr>
        <w:t>[1] Morse, M., and Hedlund, G. A. “Symbolic Dynamics.” American Journal of Mathematics 60, no. 4 (1938): 815-866. DOI: 10.2307/2371264.</w:t>
      </w:r>
    </w:p>
    <w:p>
      <w:pPr>
        <w:spacing w:after="50" w:line="240" w:lineRule="auto"/>
        <w:ind w:left="360" w:hanging="360"/>
      </w:pPr>
      <w:r>
        <w:rPr>
          <w:sz w:val="17"/>
        </w:rPr>
        <w:t>[2] Lind, D., and Marcus, B. An Introduction to Symbolic Dynamics and Coding. Cambridge University Press, 1995.</w:t>
      </w:r>
    </w:p>
    <w:p>
      <w:pPr>
        <w:spacing w:after="50" w:line="240" w:lineRule="auto"/>
        <w:ind w:left="360" w:hanging="360"/>
      </w:pPr>
      <w:r>
        <w:rPr>
          <w:sz w:val="17"/>
        </w:rPr>
        <w:t>[3] Nerode, A. “Linear Automaton Transformations.” Proceedings of the American Mathematical Society 9 (1958): 541-544.</w:t>
      </w:r>
    </w:p>
    <w:p>
      <w:pPr>
        <w:spacing w:after="50" w:line="240" w:lineRule="auto"/>
        <w:ind w:left="360" w:hanging="360"/>
      </w:pPr>
      <w:r>
        <w:rPr>
          <w:sz w:val="17"/>
        </w:rPr>
        <w:t>[4] Rabin, M. O., and Scott, D. “Finite Automata and Their Decision Problems.” IBM Journal of Research and Development 3, no. 2 (1959): 114-125. DOI: 10.1147/rd.32.0114.</w:t>
      </w:r>
    </w:p>
    <w:p>
      <w:pPr>
        <w:spacing w:after="50" w:line="240" w:lineRule="auto"/>
        <w:ind w:left="360" w:hanging="360"/>
      </w:pPr>
      <w:r>
        <w:rPr>
          <w:sz w:val="17"/>
        </w:rPr>
        <w:t>[5] Büchi, J. R. “On a Decision Method in Restricted Second Order Arithmetic.” In Logic, Methodology and Philosophy of Science, 1-11. Stanford University Press, 1962.</w:t>
      </w:r>
    </w:p>
    <w:p>
      <w:pPr>
        <w:spacing w:after="50" w:line="240" w:lineRule="auto"/>
        <w:ind w:left="360" w:hanging="360"/>
      </w:pPr>
      <w:r>
        <w:rPr>
          <w:sz w:val="17"/>
        </w:rPr>
        <w:t>[6] Hutchinson, J. E. “Fractals and Self-Similarity.” Indiana University Mathematics Journal 30, no. 5 (1981): 713-747. DOI: 10.1512/iumj.1981.30.30055.</w:t>
      </w:r>
    </w:p>
    <w:p>
      <w:pPr>
        <w:spacing w:after="50" w:line="240" w:lineRule="auto"/>
        <w:ind w:left="360" w:hanging="360"/>
      </w:pPr>
      <w:r>
        <w:rPr>
          <w:sz w:val="17"/>
        </w:rPr>
        <w:t>[7] Mauldin, R. D., and Williams, S. C. “Hausdorff Dimension in Graph Directed Constructions.” Transactions of the American Mathematical Society 309, no. 2 (1988): 811-829. DOI: 10.1090/S0002-9947-1988-0961615-4.</w:t>
      </w:r>
    </w:p>
    <w:p>
      <w:pPr>
        <w:spacing w:after="50" w:line="240" w:lineRule="auto"/>
        <w:ind w:left="360" w:hanging="360"/>
      </w:pPr>
      <w:r>
        <w:rPr>
          <w:sz w:val="17"/>
        </w:rPr>
        <w:t>[8] Mauldin, R. D., and Urbański, M. “Dimensions and Measures in Infinite Iterated Function Systems.” Proceedings of the London Mathematical Society 73 (1996): 105-154.</w:t>
      </w:r>
    </w:p>
    <w:p>
      <w:pPr>
        <w:spacing w:after="50" w:line="240" w:lineRule="auto"/>
        <w:ind w:left="360" w:hanging="360"/>
      </w:pPr>
      <w:r>
        <w:rPr>
          <w:sz w:val="17"/>
        </w:rPr>
        <w:t>[9] Shannon, C. E. “A Mathematical Theory of Communication.” Bell System Technical Journal 27 (1948): 379-423, 623-656.</w:t>
      </w:r>
    </w:p>
    <w:p>
      <w:pPr>
        <w:spacing w:after="50" w:line="240" w:lineRule="auto"/>
        <w:ind w:left="360" w:hanging="360"/>
      </w:pPr>
      <w:r>
        <w:rPr>
          <w:sz w:val="17"/>
        </w:rPr>
        <w:t>[10] McMillan, B. “The Basic Theorems of Information Theory.” Annals of Mathematical Statistics 24 (1953): 196-219.</w:t>
      </w:r>
    </w:p>
    <w:p>
      <w:pPr>
        <w:spacing w:after="50" w:line="240" w:lineRule="auto"/>
        <w:ind w:left="360" w:hanging="360"/>
      </w:pPr>
      <w:r>
        <w:rPr>
          <w:sz w:val="17"/>
        </w:rPr>
        <w:t>[11] Breiman, L. “The Individual Ergodic Theorem of Information Theory.” Annals of Mathematical Statistics 28 (1957): 809-811.</w:t>
      </w:r>
    </w:p>
    <w:p>
      <w:pPr>
        <w:spacing w:after="50" w:line="240" w:lineRule="auto"/>
        <w:ind w:left="360" w:hanging="360"/>
      </w:pPr>
      <w:r>
        <w:rPr>
          <w:sz w:val="17"/>
        </w:rPr>
        <w:t>[12] Oseledets, V. I. “A Multiplicative Ergodic Theorem.” Transactions of the Moscow Mathematical Society 19 (1968): 197-231.</w:t>
      </w:r>
    </w:p>
    <w:p>
      <w:pPr>
        <w:spacing w:after="50" w:line="240" w:lineRule="auto"/>
        <w:ind w:left="360" w:hanging="360"/>
      </w:pPr>
      <w:r>
        <w:rPr>
          <w:sz w:val="17"/>
        </w:rPr>
        <w:t>[13] Brin, M., and Katok, A. “On Local Entropy.” In Geometric Dynamics, Lecture Notes in Mathematics 1007, 30-38. Springer, 1983.</w:t>
      </w:r>
    </w:p>
    <w:p>
      <w:pPr>
        <w:spacing w:after="50" w:line="240" w:lineRule="auto"/>
        <w:ind w:left="360" w:hanging="360"/>
      </w:pPr>
      <w:r>
        <w:rPr>
          <w:sz w:val="17"/>
        </w:rPr>
        <w:t>[14] Scott, D. S. “Outline of a Mathematical Theory of Computation.” Technical Monograph PRG-2, Oxford University Computing Laboratory, 1970.</w:t>
      </w:r>
    </w:p>
    <w:p>
      <w:pPr>
        <w:spacing w:after="50" w:line="240" w:lineRule="auto"/>
        <w:ind w:left="360" w:hanging="360"/>
      </w:pPr>
      <w:r>
        <w:rPr>
          <w:sz w:val="17"/>
        </w:rPr>
        <w:t>[15] Weihrauch, K. Computable Analysis: An Introduction. Springer, 2000.</w:t>
      </w:r>
    </w:p>
    <w:p>
      <w:pPr>
        <w:spacing w:after="50" w:line="240" w:lineRule="auto"/>
        <w:ind w:left="360" w:hanging="360"/>
      </w:pPr>
      <w:r>
        <w:rPr>
          <w:sz w:val="17"/>
        </w:rPr>
        <w:t>[16] Shalizi, C. R., and Crutchfield, J. P. “Computational Mechanics: Pattern and Prediction, Structure and Simplicity.” Journal of Statistical Physics 104 (2001): 817-879.</w:t>
      </w:r>
    </w:p>
    <w:p>
      <w:pPr>
        <w:spacing w:after="50" w:line="240" w:lineRule="auto"/>
        <w:ind w:left="360" w:hanging="360"/>
      </w:pPr>
      <w:r>
        <w:rPr>
          <w:sz w:val="17"/>
        </w:rPr>
        <w:t>[17] Parry, W. “On the β-Expansions of Real Numbers.” Acta Mathematica Academiae Scientiarum Hungaricae 11 (1960): 401-416.</w:t>
      </w:r>
    </w:p>
    <w:p>
      <w:pPr>
        <w:spacing w:after="50" w:line="240" w:lineRule="auto"/>
        <w:ind w:left="360" w:hanging="360"/>
      </w:pPr>
      <w:r>
        <w:rPr>
          <w:sz w:val="17"/>
        </w:rPr>
        <w:t>[18] Gouvêa, F. Q. p-adic Numbers: An Introduction. 3rd ed. Springer, 2020.</w:t>
      </w:r>
    </w:p>
    <w:p>
      <w:pPr>
        <w:spacing w:after="50" w:line="240" w:lineRule="auto"/>
        <w:ind w:left="360" w:hanging="360"/>
      </w:pPr>
      <w:r>
        <w:rPr>
          <w:sz w:val="17"/>
        </w:rPr>
        <w:t>[19] Mahler, K. Introduction to p-adic Numbers and Their Functions. Cambridge University Press, 1973.</w:t>
      </w:r>
    </w:p>
    <w:p>
      <w:pPr>
        <w:spacing w:after="50" w:line="240" w:lineRule="auto"/>
        <w:ind w:left="360" w:hanging="360"/>
      </w:pPr>
      <w:r>
        <w:rPr>
          <w:sz w:val="17"/>
        </w:rPr>
        <w:t>[20] Pola, G., Girard, A., and Tabuada, P. “Approximately Bisimilar Symbolic Models for Nonlinear Control Systems.” Automatica 44, no. 10 (2008): 2508-2516. DOI: 10.1016/j.automatica.2008.02.021.</w:t>
      </w:r>
    </w:p>
    <w:p>
      <w:pPr>
        <w:spacing w:after="50" w:line="240" w:lineRule="auto"/>
        <w:ind w:left="360" w:hanging="360"/>
      </w:pPr>
      <w:r>
        <w:rPr>
          <w:sz w:val="17"/>
        </w:rPr>
        <w:t>[21] Pola, G., and Tabuada, P. “Symbolic Models for Nonlinear Control Systems: Alternating Approximate Bisimulations.” SIAM Journal on Control and Optimization 48, no. 2 (2009): 719-733. DOI: 10.1137/070698580.</w:t>
      </w:r>
    </w:p>
    <w:p>
      <w:pPr>
        <w:spacing w:after="50" w:line="240" w:lineRule="auto"/>
        <w:ind w:left="360" w:hanging="360"/>
      </w:pPr>
      <w:r>
        <w:rPr>
          <w:sz w:val="17"/>
        </w:rPr>
        <w:t>[22] Turing, A. M. “On Computable Numbers, with an Application to the Entscheidungsproblem.” Proceedings of the London Mathematical Society s2-42 (1936): 230-265.</w:t>
      </w:r>
    </w:p>
    <w:p>
      <w:pPr>
        <w:spacing w:after="50" w:line="240" w:lineRule="auto"/>
        <w:ind w:left="360" w:hanging="360"/>
      </w:pPr>
      <w:r>
        <w:rPr>
          <w:sz w:val="17"/>
        </w:rPr>
        <w:t>[23] Moore, C. “Unpredictability and Undecidability in Dynamical Systems.” Physical Review Letters 64 (1990): 2354-2357. DOI: 10.1103/PhysRevLett.64.2354.</w:t>
      </w:r>
    </w:p>
    <w:p>
      <w:pPr>
        <w:spacing w:after="50" w:line="240" w:lineRule="auto"/>
        <w:ind w:left="360" w:hanging="360"/>
      </w:pPr>
      <w:r>
        <w:rPr>
          <w:sz w:val="17"/>
        </w:rPr>
        <w:t>[24] Branicky, M. S. “Universal Computation and Other Capabilities of Hybrid and Continuous Dynamical Systems.” Theoretical Computer Science 138 (1995): 67-100.</w:t>
      </w:r>
    </w:p>
    <w:p>
      <w:pPr>
        <w:spacing w:after="50" w:line="240" w:lineRule="auto"/>
        <w:ind w:left="360" w:hanging="360"/>
      </w:pPr>
      <w:r>
        <w:rPr>
          <w:sz w:val="17"/>
        </w:rPr>
        <w:t>[25] Asarin, E., Maler, O., and Pnueli, A. “Reachability Analysis of Dynamical Systems Having Piecewise-Constant Derivatives.” Theoretical Computer Science 138 (1995): 35-65.</w:t>
      </w:r>
    </w:p>
    <w:p>
      <w:pPr>
        <w:spacing w:after="50" w:line="240" w:lineRule="auto"/>
        <w:ind w:left="360" w:hanging="360"/>
      </w:pPr>
      <w:r>
        <w:rPr>
          <w:sz w:val="17"/>
        </w:rPr>
        <w:t>[26] Cusick, T. W. “Continuants with Bounded Digits.” Mathematika 24 (1977): 166-172.</w:t>
      </w:r>
    </w:p>
    <w:p>
      <w:pPr>
        <w:spacing w:after="50" w:line="240" w:lineRule="auto"/>
        <w:ind w:left="360" w:hanging="360"/>
      </w:pPr>
      <w:r>
        <w:rPr>
          <w:sz w:val="17"/>
        </w:rPr>
        <w:t>[27] Ramharter, G. “Extremal Values of Continuants.” Proceedings of the American Mathematical Society 89 (1983): 189-201.</w:t>
      </w:r>
    </w:p>
    <w:p>
      <w:pPr>
        <w:spacing w:after="50" w:line="240" w:lineRule="auto"/>
        <w:ind w:left="360" w:hanging="360"/>
      </w:pPr>
      <w:r>
        <w:rPr>
          <w:sz w:val="17"/>
        </w:rPr>
        <w:t>[28] De Luca, A., Edson, M., and Zamboni, L. Q. “Extremal Values of Semi-Regular Continuants and Codings of Interval Exchange Transformations.” Mathematika 69 (2023): 432-457.</w:t>
      </w:r>
    </w:p>
    <w:p>
      <w:pPr>
        <w:spacing w:after="50" w:line="240" w:lineRule="auto"/>
        <w:ind w:left="360" w:hanging="360"/>
      </w:pPr>
      <w:r>
        <w:rPr>
          <w:sz w:val="17"/>
        </w:rPr>
        <w:t>[29] Good, I. J. “The Fractional Dimensional Theory of Continued Fractions.” Proceedings of the Cambridge Philosophical Society 37 (1941): 199-228.</w:t>
      </w:r>
    </w:p>
    <w:p>
      <w:pPr>
        <w:spacing w:after="50" w:line="240" w:lineRule="auto"/>
        <w:ind w:left="360" w:hanging="360"/>
      </w:pPr>
      <w:r>
        <w:rPr>
          <w:sz w:val="17"/>
        </w:rPr>
        <w:t>[30] Hensley, D. “The Hausdorff Dimensions of Some Continued Fraction Cantor Sets.” Journal of Number Theory 33 (1989): 182-198.</w:t>
      </w:r>
    </w:p>
    <w:p>
      <w:pPr>
        <w:spacing w:after="50" w:line="240" w:lineRule="auto"/>
        <w:ind w:left="360" w:hanging="360"/>
      </w:pPr>
      <w:r>
        <w:rPr>
          <w:sz w:val="17"/>
        </w:rPr>
        <w:t>[31] Hensley, D. “Continued Fraction Cantor Sets, Hausdorff Dimension, and Functional Analysis.” Journal of Number Theory 40 (1992): 336-358.</w:t>
      </w:r>
    </w:p>
    <w:p>
      <w:pPr>
        <w:spacing w:after="50" w:line="240" w:lineRule="auto"/>
        <w:ind w:left="360" w:hanging="360"/>
      </w:pPr>
      <w:r>
        <w:rPr>
          <w:sz w:val="17"/>
        </w:rPr>
        <w:t>[32] Hensley, D. “A Polynomial Time Algorithm for the Hausdorff Dimension of Continued Fraction Cantor Sets.” Journal of Number Theory 58 (1996): 9-45.</w:t>
      </w:r>
    </w:p>
    <w:p>
      <w:pPr>
        <w:spacing w:after="50" w:line="240" w:lineRule="auto"/>
        <w:ind w:left="360" w:hanging="360"/>
      </w:pPr>
      <w:r>
        <w:rPr>
          <w:sz w:val="17"/>
        </w:rPr>
        <w:t>[33] Jenkinson, O., and Pollicott, M. “Computing the Dimension of Dynamically Defined Sets: E₂ and Bounded Continued Fractions.” Ergodic Theory and Dynamical Systems 21 (2001): 1429-1445.</w:t>
      </w:r>
    </w:p>
    <w:p>
      <w:pPr>
        <w:spacing w:after="50" w:line="240" w:lineRule="auto"/>
        <w:ind w:left="360" w:hanging="360"/>
      </w:pPr>
      <w:r>
        <w:rPr>
          <w:sz w:val="17"/>
        </w:rPr>
        <w:t>[34] Sinai, Y. G., and Ulcigrai, C. “Renewal-Type Limit Theorem for the Gauss Map and Continued Fractions.” Ergodic Theory and Dynamical Systems 28 (2008): 643-655.</w:t>
      </w:r>
    </w:p>
    <w:p>
      <w:pPr>
        <w:spacing w:after="50" w:line="240" w:lineRule="auto"/>
        <w:ind w:left="360" w:hanging="360"/>
      </w:pPr>
      <w:r>
        <w:rPr>
          <w:sz w:val="17"/>
        </w:rPr>
        <w:t>[35] Jenkinson, O., and Pollicott, M. “Rigorous Effective Bounds on the Hausdorff Dimension of Continued Fraction Cantor Sets: A Hundred Decimal Digits for the Dimension of E₂.” Advances in Mathematics 325 (2018): 87-115.</w:t>
      </w:r>
    </w:p>
    <w:p>
      <w:pPr>
        <w:spacing w:after="50" w:line="240" w:lineRule="auto"/>
        <w:ind w:left="360" w:hanging="360"/>
      </w:pPr>
      <w:r>
        <w:rPr>
          <w:sz w:val="17"/>
        </w:rPr>
        <w:t>[36] Dreher, F., and Samuel, T. “Continuous Images of Cantor’s Ternary Set.” American Mathematical Monthly 121, no. 7 (2014): 640-643.</w:t>
      </w:r>
    </w:p>
    <w:p>
      <w:pPr>
        <w:spacing w:after="50" w:line="240" w:lineRule="auto"/>
        <w:ind w:left="360" w:hanging="360"/>
      </w:pPr>
      <w:r>
        <w:rPr>
          <w:sz w:val="17"/>
        </w:rPr>
        <w:t>[37] Rutar, A. “Multi-Scale Properties of Continued Fraction Sets.” arXiv:2606.07139 (2026). Preprint; not peer reviewed as of 6 August 2026.</w:t>
      </w:r>
    </w:p>
    <w:p>
      <w:pPr>
        <w:pStyle w:val="Heading2"/>
        <w:keepNext/>
      </w:pPr>
      <w:r>
        <w:t>Source links</w:t>
      </w:r>
    </w:p>
    <w:p>
      <w:pPr>
        <w:spacing w:after="20"/>
      </w:pPr>
      <w:hyperlink r:id="rId11">
        <w:r>
          <w:rPr>
            <w:color w:val="2F5597"/>
            <w:u w:val="single"/>
          </w:rPr>
          <w:t>Hutchinson 1981</w:t>
        </w:r>
      </w:hyperlink>
    </w:p>
    <w:p>
      <w:pPr>
        <w:spacing w:after="20"/>
      </w:pPr>
      <w:hyperlink r:id="rId12">
        <w:r>
          <w:rPr>
            <w:color w:val="2F5597"/>
            <w:u w:val="single"/>
          </w:rPr>
          <w:t>Mauldin and Williams 1988</w:t>
        </w:r>
      </w:hyperlink>
    </w:p>
    <w:p>
      <w:pPr>
        <w:spacing w:after="20"/>
      </w:pPr>
      <w:hyperlink r:id="rId13">
        <w:r>
          <w:rPr>
            <w:color w:val="2F5597"/>
            <w:u w:val="single"/>
          </w:rPr>
          <w:t>Shannon 1948, Part I</w:t>
        </w:r>
      </w:hyperlink>
    </w:p>
    <w:p>
      <w:pPr>
        <w:spacing w:after="20"/>
      </w:pPr>
      <w:hyperlink r:id="rId14">
        <w:r>
          <w:rPr>
            <w:color w:val="2F5597"/>
            <w:u w:val="single"/>
          </w:rPr>
          <w:t>Shannon 1948, Part II</w:t>
        </w:r>
      </w:hyperlink>
    </w:p>
    <w:p>
      <w:pPr>
        <w:spacing w:after="20"/>
      </w:pPr>
      <w:hyperlink r:id="rId15">
        <w:r>
          <w:rPr>
            <w:color w:val="2F5597"/>
            <w:u w:val="single"/>
          </w:rPr>
          <w:t>Pola, Girard, and Tabuada 2008</w:t>
        </w:r>
      </w:hyperlink>
    </w:p>
    <w:p>
      <w:pPr>
        <w:spacing w:after="20"/>
      </w:pPr>
      <w:hyperlink r:id="rId16">
        <w:r>
          <w:rPr>
            <w:color w:val="2F5597"/>
            <w:u w:val="single"/>
          </w:rPr>
          <w:t>Moore 1990</w:t>
        </w:r>
      </w:hyperlink>
    </w:p>
    <w:p>
      <w:pPr>
        <w:spacing w:after="20"/>
      </w:pPr>
      <w:hyperlink r:id="rId17">
        <w:r>
          <w:rPr>
            <w:color w:val="2F5597"/>
            <w:u w:val="single"/>
          </w:rPr>
          <w:t>Jenkinson and Pollicott 2018 preprint copy</w:t>
        </w:r>
      </w:hyperlink>
    </w:p>
    <w:p>
      <w:pPr>
        <w:spacing w:after="20"/>
      </w:pPr>
      <w:hyperlink r:id="rId18">
        <w:r>
          <w:rPr>
            <w:color w:val="2F5597"/>
            <w:u w:val="single"/>
          </w:rPr>
          <w:t>Rutar 2026 preprint</w:t>
        </w:r>
      </w:hyperlink>
    </w:p>
    <w:p>
      <w:pPr>
        <w:spacing w:before="200"/>
      </w:pPr>
      <w:r>
        <w:rPr>
          <w:b/>
        </w:rPr>
        <w:t xml:space="preserve">Research integrity note. </w:t>
      </w:r>
      <w:r>
        <w:t>This document is a synthesis and novelty audit. The general coding theorem is presented as a standard consequence of established topology and symbolic dynamics, not as an original theorem. Candidate questions are explicitly not certified open. The proposed experiment is subordinate to a specialist prior-art search and an analytical benchmark proof.</w:t>
      </w:r>
    </w:p>
    <w:sectPr w:rsidR="00FC693F" w:rsidRPr="0006063C" w:rsidSect="00034616">
      <w:headerReference w:type="default" r:id="rId9"/>
      <w:footerReference w:type="default" r:id="rId10"/>
      <w:pgSz w:w="12240" w:h="15840"/>
      <w:pgMar w:top="1037" w:right="1037" w:bottom="979"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64646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olor w:val="646464"/>
        <w:sz w:val="15"/>
      </w:rPr>
      <w:t>FINITE INFORMATION AND INFINITE CONTINUATION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Tinos" w:hAnsi="Tinos" w:eastAsia="Tin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Noto Sans" w:hAnsi="Noto Sans" w:eastAsia="Noto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Noto Sans" w:hAnsi="Noto Sans" w:eastAsia="Noto San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Noto Sans" w:hAnsi="Noto Sans" w:eastAsia="Noto San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i/>
      <w:iCs/>
      <w:color w:val="44546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nos" w:hAnsi="Tin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nos" w:hAnsi="Tin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512/iumj.1981.30.30055" TargetMode="External"/><Relationship Id="rId12" Type="http://schemas.openxmlformats.org/officeDocument/2006/relationships/hyperlink" Target="https://doi.org/10.1090/S0002-9947-1988-0961615-4" TargetMode="External"/><Relationship Id="rId13" Type="http://schemas.openxmlformats.org/officeDocument/2006/relationships/hyperlink" Target="https://doi.org/10.1002/j.1538-7305.1948.tb01338.x" TargetMode="External"/><Relationship Id="rId14" Type="http://schemas.openxmlformats.org/officeDocument/2006/relationships/hyperlink" Target="https://doi.org/10.1002/j.1538-7305.1948.tb00917.x" TargetMode="External"/><Relationship Id="rId15" Type="http://schemas.openxmlformats.org/officeDocument/2006/relationships/hyperlink" Target="https://doi.org/10.1016/j.automatica.2008.02.021" TargetMode="External"/><Relationship Id="rId16" Type="http://schemas.openxmlformats.org/officeDocument/2006/relationships/hyperlink" Target="https://doi.org/10.1103/PhysRevLett.64.2354" TargetMode="External"/><Relationship Id="rId17" Type="http://schemas.openxmlformats.org/officeDocument/2006/relationships/hyperlink" Target="https://arxiv.org/abs/1611.09276" TargetMode="External"/><Relationship Id="rId18" Type="http://schemas.openxmlformats.org/officeDocument/2006/relationships/hyperlink" Target="https://arxiv.org/abs/2606.071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Finite Information and Infinite Continuation</dc:title>
  <dc:subject>Scientific synthesis, novelty audit, and theorem-first research program</dc:subject>
  <dc:creator>OpenAI</dc:creator>
  <cp:keywords>symbolic dynamics; continued fractions; finite information; infinite continuation; IFS; control cost; novelty audit</cp:keywords>
  <dc:description>Prepared 6 August 2026</dc:description>
  <cp:lastModifiedBy/>
  <cp:revision>1</cp:revision>
  <dcterms:created xsi:type="dcterms:W3CDTF">2013-12-23T23:15:00Z</dcterms:created>
  <dcterms:modified xsi:type="dcterms:W3CDTF">2013-12-23T23:15:00Z</dcterms:modified>
  <cp:category/>
</cp:coreProperties>
</file>