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FYP开题报告提纲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课题背景及研究的目的与意义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课题背景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物联网IoT时代，大量嵌入式设备暴露在复杂的物理环境、社会环境和网络环境中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轻量级设备由于资源受限（低功耗、小存储、低价格等）成为安全短板，且无法直接复用PC或服务器上的成熟方案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一些真实案例：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PMP配置错误：在RISC-V CVA6项目中，在配置包(config_pkg.sv)中设置了一个断言，要求PMP条目数(NrPMPEntries)不超过16，但在MMU配置包(cv64a6_mmu_config_pkg.sv)中却将PMP条目数设置为64，这导致在使用非Verilator仿真器时会触发断言失败，且MMU配置包中设置的64个PMP条目超出了实际硬件支持范围 （</w:t>
      </w:r>
      <w:hyperlink w:history="1" r:id="rIdpt7maabsd">
        <w:r>
          <w:rPr>
            <w:rStyle w:val="Hyperlink"/>
          </w:rPr>
          <w:t xml:space="preserve">blog.gitcode.com/fff1e1d96b814966336eea1d325e5e52.html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固件篡改：2023年，HP T430瘦客户机由于私钥泄露导致固件被篡改 (</w:t>
      </w:r>
      <w:hyperlink w:history="1" r:id="rIdsyvcs_qgln">
        <w:r>
          <w:rPr>
            <w:rStyle w:val="Hyperlink"/>
          </w:rPr>
          <w:t xml:space="preserve">CVE-2023-5409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, </w:t>
      </w:r>
      <w:hyperlink w:history="1" r:id="rIdbeic4aqusg">
        <w:r>
          <w:rPr>
            <w:rStyle w:val="Hyperlink"/>
          </w:rPr>
          <w:t xml:space="preserve">support.hp.com/emea_africa-en/document/ish_9441200-9441233-16/hpsbhf03873)</w:t>
        </w:r>
      </w:hyperlink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侧信道攻击：自著名的Meltdown和Spectre漏洞面世以来，防止微体系结构侧信道攻击就是当今硬件安全中最紧迫的挑战之一。新的SCA层出不穷，例如2021年我国团队首次在RISC-V SonicBOOM处理器上挖掘出寄存器端口争用的中危漏洞 （</w:t>
      </w:r>
      <w:hyperlink w:history="1" r:id="rIdc4g-8ytxbf">
        <w:r>
          <w:rPr>
            <w:rStyle w:val="Hyperlink"/>
          </w:rPr>
          <w:t xml:space="preserve">cn-sec.com/archives/2687427.html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）。在此之前，CVE数据库收录的与RISC-V SonicBOOM处理器相关的漏洞已有数个。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RISC-V凭借其开源性、模块化、轻量级、免版税等特性，成为IoT设备的主流架构选择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RISC-V支持特权模式隔离（Machine / User）、PMP物理内存保护、K扩展（提供专用指令实现硬件级密码学算法加速，2024年进入标准），可按需添加、裁剪模块，适配轻量级场景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虽然RISC-V基金会及各大厂商都在大力推进RISC-V安全性能的进步（如RVA23 Profile在2024年Q3发布，加密算法性能提升达47%，</w:t>
      </w:r>
      <w:hyperlink w:history="1" r:id="rIdvpqqxxvcqv">
        <w:r>
          <w:rPr>
            <w:rStyle w:val="Hyperlink"/>
          </w:rPr>
          <w:t xml:space="preserve">bbs.21ic.com/icview-3474180-1-1.html?fromuser=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），针对中低端MCU安全方案的研究与实践指导相对较少（此处需查找资料并实证：是否真的缺少？）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研究的目的与意义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研究动机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大多数RISC-V安全研究侧重于高性能应用处理器（如OpenTitan），而针对中低端MCU（如Nuclei N308）的实验数据与安全研究相对缺乏，且面对硬件保护与软件保护方案的对比缺乏可量化的对比数据（同样需要查找资料并实证）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工业界常面对安全——性能平衡问题。纯软件实现的加密（如tiny-AES-c库）固然便于移植，但速率较低；而硬件实现的加密刚需相应的设备（如异构的硬件加密加速器、TRNG熵源），其可移植性难以保证，且方案相对复杂，缺乏最佳实践指导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传统的软件级解决方案无法应对如侧信道攻击等硬件级安全威胁，因此，探究如何利用RISC-V的硬件特征（如特权隔离）来构建高效低价的保护方案至关重要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研究意义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我的研究可以提供适用于中低端MCU的安全实证数据。具体地，通过在CM32M433R平台上量化对比硬件方案（SAC + OTP）和软件方案（tiny-AES-c + Bootloader）的安全指标与性能指标，我可为轻量级RISC-V设备的安全方案提供可复用的框架。（此处须查资料：对于一个大四毕业设计来说是否有夸大嫌疑？是否具有可行性？基于SAC的硬件方案真的可复用吗？可结合下文“主要研究内容及研究方案”做进一步分析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我的研究通过对比数据提供不同场景下方案选择的的建议，提供可复用的安全模块代码（如硬件AES配置、PMP权限隔离配置、OTP校验）、量化对比数据和实践指南，促进自主可控物联网安全生态的发展。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重要的是，通过大四一年的研究，我可深化对RISC-V架构的理解，实践M/U特权模式、PMP配置、Crypto扩展等原生特性，掌握轻量级安全的底层逻辑；通过软件加密理解AES、Ascon等算法原理，通过硬件加密掌握外设寄存器配置，最终形成理论——实践闭环，提升嵌入式安全开发能力，为未来更广、更深层次的研究打好基础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研究现状及分析</w:t>
      </w:r>
    </w:p>
    <w:p>
      <w:pPr>
        <w:pStyle w:val="ListParagraph"/>
        <w:numPr>
          <w:ilvl w:val="1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这一部分，你需要基于我提到的要点和规则检索对应的论文或资料，检索范围优选ASPLOS MICRO HPCA ISCA，次选DAC DATE FPGA SC PPOPP IEEE ACM 谷歌学术等，要求论文关联性较大、质量较高、引用数较多、发布时间尽量控制在5年以内。所有斜体字不应出现在正文。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国内外研究现状</w:t>
      </w:r>
    </w:p>
    <w:p>
      <w:pPr>
        <w:pStyle w:val="ListParagraph"/>
        <w:numPr>
          <w:ilvl w:val="2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规则</w:t>
      </w:r>
    </w:p>
    <w:p>
      <w:pPr>
        <w:pStyle w:val="ListParagraph"/>
        <w:numPr>
          <w:ilvl w:val="3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核心目标：梳理主题在国内外的发展进程、观点分歧，呈现“研究已经做了什么”</w:t>
      </w:r>
    </w:p>
    <w:p>
      <w:pPr>
        <w:pStyle w:val="ListParagraph"/>
        <w:numPr>
          <w:ilvl w:val="3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内容侧重：聚焦“学者/团队做了什么研究，得出什么结论”，是成果的事实性罗列</w:t>
      </w:r>
    </w:p>
    <w:p>
      <w:pPr>
        <w:pStyle w:val="ListParagraph"/>
        <w:numPr>
          <w:ilvl w:val="3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逻辑结构：常按地域（国内/国外）或时间顺序拆分，呈现清晰的研究阶段</w:t>
      </w:r>
    </w:p>
    <w:p>
      <w:pPr>
        <w:pStyle w:val="ListParagraph"/>
        <w:numPr>
          <w:ilvl w:val="3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论文关联：为我的研究问题提供现实背景支撑，说明“为何选这个题”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安全：传统的加密（对称加密、非对称加密）、安全概念及措施（虚拟机、信任根、可信执行环境等）、安全威胁与挑战（传统安全威胁、侧信道攻击、量子计算机对传统加密算法的挑战）、后量子时代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IoT设备的兴起、遭到的安全威胁及应对措施（如NIST最近将适于IoT设备的Ascon加密及哈希算法纳入标准）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RISC-V的发展、安全特性的发展（特权模式架构、PMP、Crypto扩展）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国内外文献综述及简析</w:t>
      </w:r>
    </w:p>
    <w:p>
      <w:pPr>
        <w:pStyle w:val="ListParagraph"/>
        <w:numPr>
          <w:ilvl w:val="2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规则</w:t>
      </w:r>
    </w:p>
    <w:p>
      <w:pPr>
        <w:pStyle w:val="ListParagraph"/>
        <w:numPr>
          <w:ilvl w:val="3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核心目标：挖掘文献间的逻辑关联、理论脉络，回答“研究如何推进、目前的空白在哪”</w:t>
      </w:r>
    </w:p>
    <w:p>
      <w:pPr>
        <w:pStyle w:val="ListParagraph"/>
        <w:numPr>
          <w:ilvl w:val="3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内容侧重：强调“研究如何从过往发展而来，现有成果存在哪些未解决的问题”，是逻辑的系统性分析</w:t>
      </w:r>
    </w:p>
    <w:p>
      <w:pPr>
        <w:pStyle w:val="ListParagraph"/>
        <w:numPr>
          <w:ilvl w:val="3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逻辑结构：以研究视角、理论流派、问题类型整合，突出理论传承与研究演进</w:t>
      </w:r>
    </w:p>
    <w:p>
      <w:pPr>
        <w:pStyle w:val="ListParagraph"/>
        <w:numPr>
          <w:ilvl w:val="3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论文关联：为研究设计提供理论依据、方法论参考，指导“怎么开展研究”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关键词：RISC-V Security || RISC-V Vulnerability || Physical Memory Protection || Secure Boot || Side-channel RISC-V || TRNG RISC-V || TEE RISC-V || AES RISC-V || risc-v crypto accelerator || risc-v crypto extension || risc-v crypto co-processor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文献综合评述与空白挖掘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主要研究内容及研究方案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项目开发板方案选择</w:t>
      </w:r>
    </w:p>
    <w:p>
      <w:pPr>
        <w:pStyle w:val="ListParagraph"/>
        <w:numPr>
          <w:ilvl w:val="2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此处基于豆包-不同方案的对比.docx文件的内容形成表格，注意须查找资料分析表格的数据和内容是否翔实，事实资料标注资料来源，若有不实或不确定标注为Unknown。表格的最终目的是凸显选择CM32M433R的正确性和必要性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核心研究内容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CM32M433平台的安全机制解析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硬件安全外设：深入研究SAC模块（AES-128/CBC模式配置）、PMP（8组区域权限划分）、OTP（128位根密钥存储）、TRNG（40KHz熵源输出）的工作原理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软件适配基础：分析Nuclei Studio工具链对RISC-V M/U模式的支持，实现内核态（M模式）与用户态（U模式）的切换与通信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与时代接轨：研究Ascon算法和K扩展是否能用于项目中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四大安全问题的双方案实现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权限隔离：硬件方案利用PMP实现严格内存分区；软件方案通过操作系统内存管理或软件白名单进行控制（需明确其局限性）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固件篡改：硬件方案利用OTP存储根密钥/哈希值，结合硬件ECC进行校验；软件方案在Bootloader中实现软件校验算法（如CRC32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侧信道攻击：硬件方案利用TRNG生成随机掩码；软件方案实现软件掩码或时序随机化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接口滥用：硬件方案通过PMP锁定外设寄存器；软件方案实现访问控制列表（ACL）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双方案评测体系构建</w:t>
      </w:r>
    </w:p>
    <w:p>
      <w:pPr>
        <w:pStyle w:val="ListParagraph"/>
        <w:numPr>
          <w:ilvl w:val="3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以下指标需寻找材料分析是否能测出来、需要什么设备、结合后面的“实验室条件和经费保障”分析现有设备能否保证可测量以下指标，若有不能测量的需要去除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性能指标：AES-128/Ascon加密速率（KB/s）、固件校验耗时（ms）、中断响应延迟（μs）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资源开销：ROM/SRAM占用（KB）、CPU占用率（%）、硬件资源（LUT数量，针对SAC）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安全指标：PMP拦截成功率（%）、固件篡改检测率（%）、侧信道功耗波动（mV，基于COMP模块测量）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数据对比与结论分析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用表格/图表呈现双方案在上述指标的差异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结合RISC-V特性（如Crypto扩展、PMP），解释硬件方案的优势场景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研究方案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环境搭建与基础验证（4周）：熟悉Nuclei Studio，验证硬件基础功能（GPIO, UART），测试SAC加密等关键硬件外设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模块开发与测试（20周）：按模块并行实现硬件与软件方案，并同步测试。侧信道测试若缺乏专业设备，则以功能性验证和定性分析为主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系统集成与论文撰写（10周）：集成系统，进行压力测试和综合评估，撰写论文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进度安排及预期目标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进度安排</w:t>
      </w:r>
    </w:p>
    <w:p>
      <w:pPr>
        <w:pStyle w:val="ListParagraph"/>
        <w:numPr>
          <w:ilvl w:val="2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此处参考开题报告.txt或FYP Timeline.docx相关内容形成带时间轴的表格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预期目标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成果目标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软件成果：硬件安全模块代码、软件加密代码、测试脚本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文档成果：开题报告、中期报告、毕业论文、演示视频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数据成果：双方案性能对比表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性能目标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AES-128加密速率：硬件：≥110KB/s；软件：10-15KB/s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PMP权限拦截率、固件篡改拦截率：硬件：≥99%；软件：≥85%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侧信道功耗波动（若实验室测量条件允许）：硬件：≤35mV；软件：60-80mV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已具备和所需的条件和经费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实验室条件和经费保障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已具备CM32M433R-START开发板、杜邦线等，自带USB转串口模块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香港城市大学青岛研究院实验室目前具备示波器、电源、信号发生器、焊台等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软件条件已配置Nuclei Studio工具链并成功在CM32M433R上实现点灯、printf重定向、按键与外部中断等基础功能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香港城市大学青岛研究院承诺提供一定的经费保障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所需条件和经费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测量安全与性能指标可能需要高精度专业设备，具体需求将随研究推进重新观察确定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目前暂无经费需求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预计困难及解决方案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官方文档缺乏密码算法硬件加速引擎(SAC)的详细描述，仅有一页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已向中移物联销售人员发函说明问题，目前仍在等待回信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官方的SDK提供了AES和CRC的示例项目，可先从这些项目入手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SAC模块配置复杂，可能会初始化失败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寄存器配置时序要求严格，文档可能存在细节遗漏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可分布调试，先使能时钟→配置模式→写入密钥，每步检查寄存器状态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侧信道攻击实测设备不足，实验室提供的示波器精度可能不高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先完成功能性验证，如掩码算法的正确性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若条件不允许，计划调整为定性分析，引用权威文献结论辅助论证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PMP区域配置冲突，地址重叠或权限组合错误会导致失效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绘制详细的内存映射图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使用调试器查验pmpcfg寄存器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编写测试用例验证每条规则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双方案模式切换稳定性，硬件/软件状态、内存数据残留可能导致异常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设计独立内存分区（硬件方案用0x20000000-0x20000FFF，软件用0x20001000-0x20001FFF）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切换前清空共享内存，避免数据污染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若仍无法解决，考虑放弃一键切换，先分开独立验证其功能性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参考文献</w:t>
      </w:r>
    </w:p>
    <w:p>
      <w:pPr>
        <w:pStyle w:val="ListParagraph"/>
        <w:numPr>
          <w:ilvl w:val="1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部分格式示例，用前面引用的文献资料按照这种格式形成参考文献列表：［1］QIN T，CAO S，PAN J，et al. A general optimization-based framework for global pose estimation with multiple sensors ［ J ］ . arXiv preprint arXiv:1901.03642，2019. ［2］MELLINGER D，KUMAR V. Minimum snap trajectory generation and control for quadrotors［C］//2011 IEEE International Conference on Robotics and Automation，［ S.l.］， 2011：2520-2525. ［3］MENG W，HE Z，SU R，et al. Decentralized multi-UAV flight autonomy for moving convoys search and track［J］. IEEE Transactions on Control Systems Technology，2016，25（4）： 1480-1487. ［4］MARCONI L，MELCHIORRI C，BEETZ M，et al. The SHERPA project: Smart collaboration between humans and ground-aerial robots for improving rescuing activities in alpine environments［C］//2012 IEEE International Symposium on Safety, Security, and Rescue Robotics (SSRR)，［ S.l.］， 2012：1-4. ［5］ALZENAD M，EL-KEYI A，LAGUM F，et al. 3-D placement of an unmanned aerial vehicle base station (UAV-BS) for energy-efficient maximal coverage［J］. IEEE Wireless Communications Letters，2017，6（4）： 434-437. ［6］MADEMLIS I，MYGDALIS V，NIKOLAIDIS N，et al. High-level multiple-UAV cinematography tools for covering outdoor events［J］. IEEE Transactions on Broadcasting，2019，65（3）： 627-635. ［7］ZHOU X，WEN X，WANG Z，et al. Swarm of micro flying robots in the wild［J］. Science Robotics，2022，7（66）： eabm5954. ［8］REYES L A V，TANNER H G. Flocking, formation control, and path following for a group of mobile robots［J］. IEEE Transactions on Control Systems Technology，2014，23（4）： 1268-1282. ［9］ZHAO S. Affine formation maneuver control of multiagent systems［J］. IEEE Transactions on Automatic Control，2018，63（12）： 4140-4155. ［10］ZHAO Z，WANG J，CHEN Y，et al. Iterative learning-based formation control for multiple quadrotor unmanned aerial vehicles［J］. International Journal of Advanced Robotic Systems，2020，17（2）： 1729881420911520.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pt7maabsd" Type="http://schemas.openxmlformats.org/officeDocument/2006/relationships/hyperlink" Target="http://blog.gitcode.com/fff1e1d96b814966336eea1d325e5e52.html" TargetMode="External"/><Relationship Id="rIdsyvcs_qgln" Type="http://schemas.openxmlformats.org/officeDocument/2006/relationships/hyperlink" Target="https://nvd.nist.gov/vuln/detail/CVE-2023-5409" TargetMode="External"/><Relationship Id="rIdbeic4aqusg" Type="http://schemas.openxmlformats.org/officeDocument/2006/relationships/hyperlink" Target="http://support.hp.com/emea_africa-en/document/ish_9441200-9441233-16/hpsbhf03873)" TargetMode="External"/><Relationship Id="rIdc4g-8ytxbf" Type="http://schemas.openxmlformats.org/officeDocument/2006/relationships/hyperlink" Target="http://cn-sec.com/archives/2687427.html" TargetMode="External"/><Relationship Id="rIdvpqqxxvcqv" Type="http://schemas.openxmlformats.org/officeDocument/2006/relationships/hyperlink" Target="http://bbs.21ic.com/icview-3474180-1-1.html?fromuser=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FYP开题报告提纲</dc:title>
  <dcterms:created xsi:type="dcterms:W3CDTF">2025-10-10T22:27:56Z</dcterms:created>
  <dcterms:modified xsi:type="dcterms:W3CDTF">2025-10-10T22:27:56Z</dcterms:modified>
</cp:coreProperties>
</file>