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072E338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roofErr w:type="gramStart"/>
            <w:r w:rsidRPr="006E750B">
              <w:rPr>
                <w:rFonts w:ascii="Times New Roman" w:eastAsia="Yu Gothic" w:hAnsi="Times New Roman" w:cs="Times New Roman"/>
                <w:color w:val="000000"/>
                <w:sz w:val="22"/>
                <w:szCs w:val="22"/>
              </w:rPr>
              <w:t>%)</w:t>
            </w:r>
            <w:r w:rsidR="007E1532">
              <w:rPr>
                <w:rFonts w:ascii="Times New Roman" w:eastAsia="Yu Gothic" w:hAnsi="Times New Roman" w:cs="Times New Roman" w:hint="eastAsia"/>
                <w:color w:val="000000"/>
                <w:sz w:val="22"/>
                <w:szCs w:val="22"/>
              </w:rPr>
              <w:t>S</w:t>
            </w:r>
            <w:proofErr w:type="gramEnd"/>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0E438FEF" w14:textId="61059CD7" w:rsidR="00994E6D" w:rsidRPr="006E750B" w:rsidRDefault="00994E6D" w:rsidP="005869B0">
      <w:pPr>
        <w:tabs>
          <w:tab w:val="left" w:pos="1665"/>
        </w:tabs>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312"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871"/>
        <w:gridCol w:w="1871"/>
        <w:gridCol w:w="1871"/>
        <w:gridCol w:w="1871"/>
      </w:tblGrid>
      <w:tr w:rsidR="005869B0" w:rsidRPr="006E750B" w14:paraId="33E24EAD" w14:textId="371C4EA9" w:rsidTr="005869B0">
        <w:tc>
          <w:tcPr>
            <w:tcW w:w="3828" w:type="dxa"/>
            <w:tcBorders>
              <w:top w:val="single" w:sz="4" w:space="0" w:color="auto"/>
              <w:bottom w:val="single" w:sz="4" w:space="0" w:color="auto"/>
            </w:tcBorders>
            <w:vAlign w:val="center"/>
          </w:tcPr>
          <w:p w14:paraId="433244D8" w14:textId="3741A06E"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Characteristic</w:t>
            </w:r>
          </w:p>
        </w:tc>
        <w:tc>
          <w:tcPr>
            <w:tcW w:w="1871" w:type="dxa"/>
            <w:tcBorders>
              <w:top w:val="single" w:sz="4" w:space="0" w:color="auto"/>
              <w:bottom w:val="single" w:sz="4" w:space="0" w:color="auto"/>
            </w:tcBorders>
            <w:vAlign w:val="center"/>
          </w:tcPr>
          <w:p w14:paraId="7A87DF91" w14:textId="6BB462D7"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ADVISORY</w:t>
            </w:r>
          </w:p>
        </w:tc>
        <w:tc>
          <w:tcPr>
            <w:tcW w:w="1871" w:type="dxa"/>
            <w:tcBorders>
              <w:top w:val="single" w:sz="4" w:space="0" w:color="auto"/>
              <w:bottom w:val="single" w:sz="4" w:space="0" w:color="auto"/>
            </w:tcBorders>
            <w:vAlign w:val="center"/>
          </w:tcPr>
          <w:p w14:paraId="4998BA5B" w14:textId="0240CBDE"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WARNING</w:t>
            </w:r>
          </w:p>
        </w:tc>
        <w:tc>
          <w:tcPr>
            <w:tcW w:w="1871" w:type="dxa"/>
            <w:tcBorders>
              <w:top w:val="single" w:sz="4" w:space="0" w:color="auto"/>
              <w:bottom w:val="single" w:sz="4" w:space="0" w:color="auto"/>
            </w:tcBorders>
            <w:vAlign w:val="center"/>
          </w:tcPr>
          <w:p w14:paraId="0332187E" w14:textId="0AD9BD92"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CRISIS</w:t>
            </w:r>
          </w:p>
        </w:tc>
        <w:tc>
          <w:tcPr>
            <w:tcW w:w="1871" w:type="dxa"/>
            <w:tcBorders>
              <w:top w:val="single" w:sz="4" w:space="0" w:color="auto"/>
              <w:bottom w:val="single" w:sz="4" w:space="0" w:color="auto"/>
            </w:tcBorders>
            <w:vAlign w:val="center"/>
          </w:tcPr>
          <w:p w14:paraId="54026E67" w14:textId="1382AAE4"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CRISIS - WARNING</w:t>
            </w:r>
          </w:p>
        </w:tc>
      </w:tr>
      <w:tr w:rsidR="005869B0" w:rsidRPr="006E750B" w14:paraId="2C339EBA" w14:textId="7C524A6B" w:rsidTr="005869B0">
        <w:tc>
          <w:tcPr>
            <w:tcW w:w="3828" w:type="dxa"/>
            <w:tcBorders>
              <w:top w:val="single" w:sz="4" w:space="0" w:color="auto"/>
            </w:tcBorders>
            <w:vAlign w:val="center"/>
          </w:tcPr>
          <w:p w14:paraId="0BF0FF78" w14:textId="5E4A4D2D"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Events, n (% of clinical alarms)</w:t>
            </w:r>
          </w:p>
        </w:tc>
        <w:tc>
          <w:tcPr>
            <w:tcW w:w="1871" w:type="dxa"/>
            <w:tcBorders>
              <w:top w:val="single" w:sz="4" w:space="0" w:color="auto"/>
            </w:tcBorders>
            <w:vAlign w:val="center"/>
          </w:tcPr>
          <w:p w14:paraId="3785670D" w14:textId="637F9E96"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1,649 (2.8%)</w:t>
            </w:r>
          </w:p>
        </w:tc>
        <w:tc>
          <w:tcPr>
            <w:tcW w:w="1871" w:type="dxa"/>
            <w:tcBorders>
              <w:top w:val="single" w:sz="4" w:space="0" w:color="auto"/>
            </w:tcBorders>
            <w:vAlign w:val="center"/>
          </w:tcPr>
          <w:p w14:paraId="13CF2A01" w14:textId="31F3DCF3"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57,242 (96.8%)</w:t>
            </w:r>
          </w:p>
        </w:tc>
        <w:tc>
          <w:tcPr>
            <w:tcW w:w="1871" w:type="dxa"/>
            <w:tcBorders>
              <w:top w:val="single" w:sz="4" w:space="0" w:color="auto"/>
            </w:tcBorders>
            <w:vAlign w:val="center"/>
          </w:tcPr>
          <w:p w14:paraId="0D8B1865" w14:textId="737024CD"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222 (0.4%)</w:t>
            </w:r>
          </w:p>
        </w:tc>
        <w:tc>
          <w:tcPr>
            <w:tcW w:w="1871" w:type="dxa"/>
            <w:tcBorders>
              <w:top w:val="single" w:sz="4" w:space="0" w:color="auto"/>
            </w:tcBorders>
            <w:vAlign w:val="center"/>
          </w:tcPr>
          <w:p w14:paraId="7BFDE560" w14:textId="16E2A900"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w:t>
            </w:r>
          </w:p>
        </w:tc>
      </w:tr>
      <w:tr w:rsidR="005869B0" w:rsidRPr="006E750B" w14:paraId="31FFE923" w14:textId="5655937A" w:rsidTr="005869B0">
        <w:tc>
          <w:tcPr>
            <w:tcW w:w="3828" w:type="dxa"/>
            <w:vAlign w:val="center"/>
          </w:tcPr>
          <w:p w14:paraId="535D1CB6" w14:textId="3040B41A"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Events, n (% of ALL alarms)</w:t>
            </w:r>
          </w:p>
        </w:tc>
        <w:tc>
          <w:tcPr>
            <w:tcW w:w="1871" w:type="dxa"/>
            <w:vAlign w:val="center"/>
          </w:tcPr>
          <w:p w14:paraId="36235579" w14:textId="3D4A0504"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1,649 (0.9%)</w:t>
            </w:r>
          </w:p>
        </w:tc>
        <w:tc>
          <w:tcPr>
            <w:tcW w:w="1871" w:type="dxa"/>
            <w:vAlign w:val="center"/>
          </w:tcPr>
          <w:p w14:paraId="0492D741" w14:textId="5BAF2D70"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57,242 (29.5%)</w:t>
            </w:r>
          </w:p>
        </w:tc>
        <w:tc>
          <w:tcPr>
            <w:tcW w:w="1871" w:type="dxa"/>
            <w:vAlign w:val="center"/>
          </w:tcPr>
          <w:p w14:paraId="1058995B" w14:textId="6A6F0A5C"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222 (0.1%)</w:t>
            </w:r>
          </w:p>
        </w:tc>
        <w:tc>
          <w:tcPr>
            <w:tcW w:w="1871" w:type="dxa"/>
            <w:vAlign w:val="center"/>
          </w:tcPr>
          <w:p w14:paraId="2C07960C" w14:textId="107A1302"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w:t>
            </w:r>
          </w:p>
        </w:tc>
      </w:tr>
      <w:tr w:rsidR="005869B0" w:rsidRPr="006E750B" w14:paraId="6B9741D4" w14:textId="3A142553" w:rsidTr="005869B0">
        <w:tc>
          <w:tcPr>
            <w:tcW w:w="3828" w:type="dxa"/>
            <w:vAlign w:val="center"/>
          </w:tcPr>
          <w:p w14:paraId="419FBC94" w14:textId="13A3FDF2"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hint="eastAsia"/>
                <w:color w:val="000000"/>
                <w:sz w:val="22"/>
                <w:szCs w:val="22"/>
              </w:rPr>
              <w:t>Silenced</w:t>
            </w:r>
            <w:r w:rsidRPr="005869B0">
              <w:rPr>
                <w:rFonts w:ascii="Times New Roman" w:eastAsia="Yu Gothic" w:hAnsi="Times New Roman" w:cs="Times New Roman"/>
                <w:color w:val="000000"/>
                <w:sz w:val="22"/>
                <w:szCs w:val="22"/>
              </w:rPr>
              <w:t>, n (%)</w:t>
            </w:r>
          </w:p>
        </w:tc>
        <w:tc>
          <w:tcPr>
            <w:tcW w:w="1871" w:type="dxa"/>
            <w:vAlign w:val="center"/>
          </w:tcPr>
          <w:p w14:paraId="281263F1" w14:textId="6DD99B38"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61 (3.7%)</w:t>
            </w:r>
          </w:p>
        </w:tc>
        <w:tc>
          <w:tcPr>
            <w:tcW w:w="1871" w:type="dxa"/>
            <w:vAlign w:val="center"/>
          </w:tcPr>
          <w:p w14:paraId="6490D6C9" w14:textId="5024A562"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4,626 (8.1%)</w:t>
            </w:r>
          </w:p>
        </w:tc>
        <w:tc>
          <w:tcPr>
            <w:tcW w:w="1871" w:type="dxa"/>
            <w:vAlign w:val="center"/>
          </w:tcPr>
          <w:p w14:paraId="238CCCBD" w14:textId="28E98BFA"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158 (71.2%)</w:t>
            </w:r>
          </w:p>
        </w:tc>
        <w:tc>
          <w:tcPr>
            <w:tcW w:w="1871" w:type="dxa"/>
            <w:vAlign w:val="center"/>
          </w:tcPr>
          <w:p w14:paraId="31E8A843" w14:textId="2D60F239"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+63.1 %</w:t>
            </w:r>
          </w:p>
        </w:tc>
      </w:tr>
      <w:tr w:rsidR="005869B0" w:rsidRPr="006E750B" w14:paraId="30672109" w14:textId="458BD447" w:rsidTr="005869B0">
        <w:tc>
          <w:tcPr>
            <w:tcW w:w="3828" w:type="dxa"/>
            <w:vAlign w:val="center"/>
          </w:tcPr>
          <w:p w14:paraId="24C553AF" w14:textId="7488CB45"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Time-to-silence, median [IQR], sec</w:t>
            </w:r>
          </w:p>
        </w:tc>
        <w:tc>
          <w:tcPr>
            <w:tcW w:w="1871" w:type="dxa"/>
            <w:vAlign w:val="center"/>
          </w:tcPr>
          <w:p w14:paraId="4128292E" w14:textId="3036E703"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19 [12-69]</w:t>
            </w:r>
          </w:p>
        </w:tc>
        <w:tc>
          <w:tcPr>
            <w:tcW w:w="1871" w:type="dxa"/>
            <w:vAlign w:val="center"/>
          </w:tcPr>
          <w:p w14:paraId="3CC0A3ED" w14:textId="45493741"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19 [10-37]</w:t>
            </w:r>
          </w:p>
        </w:tc>
        <w:tc>
          <w:tcPr>
            <w:tcW w:w="1871" w:type="dxa"/>
            <w:vAlign w:val="center"/>
          </w:tcPr>
          <w:p w14:paraId="455D893F" w14:textId="24D9984C"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8 [6-12]</w:t>
            </w:r>
          </w:p>
        </w:tc>
        <w:tc>
          <w:tcPr>
            <w:tcW w:w="1871" w:type="dxa"/>
            <w:vAlign w:val="center"/>
          </w:tcPr>
          <w:p w14:paraId="205B7BA4" w14:textId="1CB5A4A6"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-11 sec</w:t>
            </w:r>
          </w:p>
        </w:tc>
      </w:tr>
      <w:tr w:rsidR="005869B0" w:rsidRPr="006E750B" w14:paraId="1B047B97" w14:textId="70A2FFDE" w:rsidTr="005869B0">
        <w:tc>
          <w:tcPr>
            <w:tcW w:w="3828" w:type="dxa"/>
            <w:vAlign w:val="center"/>
          </w:tcPr>
          <w:p w14:paraId="7F6B265D" w14:textId="4AB473BA"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Duration, median [IQR], sec</w:t>
            </w:r>
          </w:p>
        </w:tc>
        <w:tc>
          <w:tcPr>
            <w:tcW w:w="1871" w:type="dxa"/>
            <w:vAlign w:val="center"/>
          </w:tcPr>
          <w:p w14:paraId="4CABC4A8" w14:textId="07C8716D"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18 [10-19]</w:t>
            </w:r>
          </w:p>
        </w:tc>
        <w:tc>
          <w:tcPr>
            <w:tcW w:w="1871" w:type="dxa"/>
            <w:vAlign w:val="center"/>
          </w:tcPr>
          <w:p w14:paraId="74A43912" w14:textId="2FB427AF"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11 [4-23]</w:t>
            </w:r>
          </w:p>
        </w:tc>
        <w:tc>
          <w:tcPr>
            <w:tcW w:w="1871" w:type="dxa"/>
            <w:vAlign w:val="center"/>
          </w:tcPr>
          <w:p w14:paraId="5B2E51C9" w14:textId="2D632A2F"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31 [9-37]</w:t>
            </w:r>
          </w:p>
        </w:tc>
        <w:tc>
          <w:tcPr>
            <w:tcW w:w="1871" w:type="dxa"/>
            <w:vAlign w:val="center"/>
          </w:tcPr>
          <w:p w14:paraId="383ED7D1" w14:textId="7F7A272D"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+20 sec</w:t>
            </w:r>
          </w:p>
        </w:tc>
      </w:tr>
      <w:tr w:rsidR="005869B0" w:rsidRPr="006E750B" w14:paraId="369BB38C" w14:textId="5DEA439E" w:rsidTr="005869B0">
        <w:tc>
          <w:tcPr>
            <w:tcW w:w="3828" w:type="dxa"/>
            <w:vAlign w:val="center"/>
          </w:tcPr>
          <w:p w14:paraId="16061518" w14:textId="50561D19"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Ward zone</w:t>
            </w:r>
          </w:p>
        </w:tc>
        <w:tc>
          <w:tcPr>
            <w:tcW w:w="1871" w:type="dxa"/>
            <w:vAlign w:val="center"/>
          </w:tcPr>
          <w:p w14:paraId="0263E6E8" w14:textId="77777777" w:rsidR="005869B0" w:rsidRPr="005869B0" w:rsidRDefault="005869B0" w:rsidP="005869B0">
            <w:pPr>
              <w:jc w:val="center"/>
              <w:rPr>
                <w:rFonts w:ascii="Times New Roman" w:hAnsi="Times New Roman" w:cs="Times New Roman"/>
                <w:sz w:val="22"/>
                <w:szCs w:val="22"/>
              </w:rPr>
            </w:pPr>
          </w:p>
        </w:tc>
        <w:tc>
          <w:tcPr>
            <w:tcW w:w="1871" w:type="dxa"/>
            <w:vAlign w:val="center"/>
          </w:tcPr>
          <w:p w14:paraId="4D9DF3B3" w14:textId="77777777" w:rsidR="005869B0" w:rsidRPr="005869B0" w:rsidRDefault="005869B0" w:rsidP="005869B0">
            <w:pPr>
              <w:jc w:val="center"/>
              <w:rPr>
                <w:rFonts w:ascii="Times New Roman" w:hAnsi="Times New Roman" w:cs="Times New Roman"/>
                <w:sz w:val="22"/>
                <w:szCs w:val="22"/>
              </w:rPr>
            </w:pPr>
          </w:p>
        </w:tc>
        <w:tc>
          <w:tcPr>
            <w:tcW w:w="1871" w:type="dxa"/>
            <w:vAlign w:val="center"/>
          </w:tcPr>
          <w:p w14:paraId="3F9AF452" w14:textId="77777777" w:rsidR="005869B0" w:rsidRPr="005869B0" w:rsidRDefault="005869B0" w:rsidP="005869B0">
            <w:pPr>
              <w:jc w:val="center"/>
              <w:rPr>
                <w:rFonts w:ascii="Times New Roman" w:hAnsi="Times New Roman" w:cs="Times New Roman"/>
                <w:sz w:val="22"/>
                <w:szCs w:val="22"/>
              </w:rPr>
            </w:pPr>
          </w:p>
        </w:tc>
        <w:tc>
          <w:tcPr>
            <w:tcW w:w="1871" w:type="dxa"/>
            <w:vAlign w:val="center"/>
          </w:tcPr>
          <w:p w14:paraId="7F30E44E" w14:textId="0C3DF65E"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w:t>
            </w:r>
          </w:p>
        </w:tc>
      </w:tr>
      <w:tr w:rsidR="005869B0" w:rsidRPr="006E750B" w14:paraId="178DF622" w14:textId="11B3715C" w:rsidTr="005869B0">
        <w:tc>
          <w:tcPr>
            <w:tcW w:w="3828" w:type="dxa"/>
            <w:vAlign w:val="center"/>
          </w:tcPr>
          <w:p w14:paraId="0E43DFD3" w14:textId="12A721A0"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 xml:space="preserve">  High-acuity zone, n (%)</w:t>
            </w:r>
          </w:p>
        </w:tc>
        <w:tc>
          <w:tcPr>
            <w:tcW w:w="1871" w:type="dxa"/>
            <w:vAlign w:val="center"/>
          </w:tcPr>
          <w:p w14:paraId="5CEE4C96" w14:textId="30C1ACED"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770 (46.7%)</w:t>
            </w:r>
          </w:p>
        </w:tc>
        <w:tc>
          <w:tcPr>
            <w:tcW w:w="1871" w:type="dxa"/>
            <w:vAlign w:val="center"/>
          </w:tcPr>
          <w:p w14:paraId="3CFCF367" w14:textId="1113C39C"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8,150 (14.2%)</w:t>
            </w:r>
          </w:p>
        </w:tc>
        <w:tc>
          <w:tcPr>
            <w:tcW w:w="1871" w:type="dxa"/>
            <w:vAlign w:val="center"/>
          </w:tcPr>
          <w:p w14:paraId="4F12993F" w14:textId="3E440466"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105 (47.3%)</w:t>
            </w:r>
          </w:p>
        </w:tc>
        <w:tc>
          <w:tcPr>
            <w:tcW w:w="1871" w:type="dxa"/>
            <w:vAlign w:val="center"/>
          </w:tcPr>
          <w:p w14:paraId="2C1094FD" w14:textId="402121C8"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w:t>
            </w:r>
          </w:p>
        </w:tc>
      </w:tr>
      <w:tr w:rsidR="005869B0" w:rsidRPr="006E750B" w14:paraId="35DFB119" w14:textId="13307B17" w:rsidTr="005869B0">
        <w:tc>
          <w:tcPr>
            <w:tcW w:w="3828" w:type="dxa"/>
            <w:vAlign w:val="center"/>
          </w:tcPr>
          <w:p w14:paraId="3C282D93" w14:textId="526996E5" w:rsidR="005869B0" w:rsidRPr="005869B0" w:rsidRDefault="005869B0" w:rsidP="005869B0">
            <w:pPr>
              <w:rPr>
                <w:rFonts w:ascii="Times New Roman" w:hAnsi="Times New Roman" w:cs="Times New Roman"/>
                <w:sz w:val="22"/>
                <w:szCs w:val="22"/>
              </w:rPr>
            </w:pPr>
            <w:r w:rsidRPr="005869B0">
              <w:rPr>
                <w:rFonts w:ascii="Times New Roman" w:eastAsia="Yu Gothic" w:hAnsi="Times New Roman" w:cs="Times New Roman"/>
                <w:color w:val="000000"/>
                <w:sz w:val="22"/>
                <w:szCs w:val="22"/>
              </w:rPr>
              <w:t xml:space="preserve">  General zone, n (%)</w:t>
            </w:r>
          </w:p>
        </w:tc>
        <w:tc>
          <w:tcPr>
            <w:tcW w:w="1871" w:type="dxa"/>
            <w:vAlign w:val="center"/>
          </w:tcPr>
          <w:p w14:paraId="6C693538" w14:textId="37CEA0DD"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879 (53.3%)</w:t>
            </w:r>
          </w:p>
        </w:tc>
        <w:tc>
          <w:tcPr>
            <w:tcW w:w="1871" w:type="dxa"/>
            <w:vAlign w:val="center"/>
          </w:tcPr>
          <w:p w14:paraId="1B2B96DD" w14:textId="0CFE17AE"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49,092 (85.8%)</w:t>
            </w:r>
          </w:p>
        </w:tc>
        <w:tc>
          <w:tcPr>
            <w:tcW w:w="1871" w:type="dxa"/>
            <w:vAlign w:val="center"/>
          </w:tcPr>
          <w:p w14:paraId="724756F4" w14:textId="0ADF1614" w:rsidR="005869B0" w:rsidRPr="005869B0" w:rsidRDefault="005869B0" w:rsidP="005869B0">
            <w:pPr>
              <w:jc w:val="center"/>
              <w:rPr>
                <w:rFonts w:ascii="Times New Roman" w:hAnsi="Times New Roman" w:cs="Times New Roman"/>
                <w:sz w:val="22"/>
                <w:szCs w:val="22"/>
              </w:rPr>
            </w:pPr>
            <w:r w:rsidRPr="005869B0">
              <w:rPr>
                <w:rFonts w:ascii="Times New Roman" w:eastAsia="Yu Gothic" w:hAnsi="Times New Roman" w:cs="Times New Roman"/>
                <w:color w:val="000000"/>
                <w:sz w:val="22"/>
                <w:szCs w:val="22"/>
              </w:rPr>
              <w:t>117 (52.7%)</w:t>
            </w:r>
          </w:p>
        </w:tc>
        <w:tc>
          <w:tcPr>
            <w:tcW w:w="1871" w:type="dxa"/>
            <w:vAlign w:val="center"/>
          </w:tcPr>
          <w:p w14:paraId="45EED847" w14:textId="5219C0E2" w:rsidR="005869B0" w:rsidRPr="005869B0" w:rsidRDefault="005869B0" w:rsidP="005869B0">
            <w:pPr>
              <w:jc w:val="center"/>
              <w:rPr>
                <w:rFonts w:ascii="Times New Roman" w:eastAsia="Yu Gothic" w:hAnsi="Times New Roman" w:cs="Times New Roman"/>
                <w:color w:val="000000"/>
                <w:sz w:val="22"/>
                <w:szCs w:val="22"/>
              </w:rPr>
            </w:pPr>
            <w:r w:rsidRPr="005869B0">
              <w:rPr>
                <w:rFonts w:ascii="Times New Roman" w:eastAsia="Yu Gothic" w:hAnsi="Times New Roman" w:cs="Times New Roman"/>
                <w:color w:val="000000"/>
                <w:sz w:val="22"/>
                <w:szCs w:val="22"/>
              </w:rPr>
              <w:t>-</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3C63D3DD"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AC50BF" w:rsidRPr="00AC50BF">
        <w:rPr>
          <w:rFonts w:ascii="Times New Roman" w:hAnsi="Times New Roman" w:cs="Times New Roman"/>
          <w:sz w:val="22"/>
          <w:szCs w:val="22"/>
        </w:rPr>
        <w:t>Figure 1. Temporal distribution of alarm events by alarm type and clinical priority</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562152CA" w14:textId="77777777" w:rsidR="00AC50BF" w:rsidRDefault="00AC50BF" w:rsidP="00176C57">
      <w:pPr>
        <w:tabs>
          <w:tab w:val="left" w:pos="1196"/>
        </w:tabs>
        <w:rPr>
          <w:rFonts w:ascii="Times New Roman" w:hAnsi="Times New Roman" w:cs="Times New Roman"/>
          <w:sz w:val="22"/>
          <w:szCs w:val="22"/>
        </w:rPr>
      </w:pPr>
    </w:p>
    <w:p w14:paraId="4A0F8A3B" w14:textId="77777777" w:rsidR="00AC50BF" w:rsidRDefault="00AC50BF" w:rsidP="00176C57">
      <w:pPr>
        <w:tabs>
          <w:tab w:val="left" w:pos="1196"/>
        </w:tabs>
        <w:rPr>
          <w:rFonts w:ascii="Times New Roman" w:hAnsi="Times New Roman" w:cs="Times New Roman"/>
          <w:sz w:val="22"/>
          <w:szCs w:val="22"/>
        </w:rPr>
      </w:pPr>
    </w:p>
    <w:p w14:paraId="3DF26602" w14:textId="77777777" w:rsidR="00AC50BF" w:rsidRDefault="00AC50BF" w:rsidP="00176C57">
      <w:pPr>
        <w:tabs>
          <w:tab w:val="left" w:pos="1196"/>
        </w:tabs>
        <w:rPr>
          <w:rFonts w:ascii="Times New Roman" w:hAnsi="Times New Roman" w:cs="Times New Roman"/>
          <w:sz w:val="22"/>
          <w:szCs w:val="22"/>
        </w:rPr>
      </w:pPr>
    </w:p>
    <w:p w14:paraId="16558308" w14:textId="77777777" w:rsidR="00AC50BF" w:rsidRDefault="00AC50BF" w:rsidP="00176C57">
      <w:pPr>
        <w:tabs>
          <w:tab w:val="left" w:pos="1196"/>
        </w:tabs>
        <w:rPr>
          <w:rFonts w:ascii="Times New Roman" w:hAnsi="Times New Roman" w:cs="Times New Roman"/>
          <w:sz w:val="22"/>
          <w:szCs w:val="22"/>
        </w:rPr>
      </w:pPr>
    </w:p>
    <w:p w14:paraId="66B6CF51" w14:textId="77777777" w:rsidR="00AC50BF" w:rsidRDefault="00AC50BF" w:rsidP="00176C57">
      <w:pPr>
        <w:tabs>
          <w:tab w:val="left" w:pos="1196"/>
        </w:tabs>
        <w:rPr>
          <w:rFonts w:ascii="Times New Roman" w:hAnsi="Times New Roman" w:cs="Times New Roman"/>
          <w:sz w:val="22"/>
          <w:szCs w:val="22"/>
        </w:rPr>
      </w:pPr>
    </w:p>
    <w:p w14:paraId="371A069B" w14:textId="77777777" w:rsidR="00AC50BF" w:rsidRDefault="00AC50BF" w:rsidP="00176C57">
      <w:pPr>
        <w:tabs>
          <w:tab w:val="left" w:pos="1196"/>
        </w:tabs>
        <w:rPr>
          <w:rFonts w:ascii="Times New Roman" w:hAnsi="Times New Roman" w:cs="Times New Roman"/>
          <w:sz w:val="22"/>
          <w:szCs w:val="22"/>
        </w:rPr>
      </w:pPr>
    </w:p>
    <w:p w14:paraId="473BCF61" w14:textId="77777777" w:rsidR="00AC50BF" w:rsidRDefault="00AC50BF" w:rsidP="00176C57">
      <w:pPr>
        <w:tabs>
          <w:tab w:val="left" w:pos="1196"/>
        </w:tabs>
        <w:rPr>
          <w:rFonts w:ascii="Times New Roman" w:hAnsi="Times New Roman" w:cs="Times New Roman"/>
          <w:sz w:val="22"/>
          <w:szCs w:val="22"/>
        </w:rPr>
      </w:pPr>
    </w:p>
    <w:p w14:paraId="1F297858" w14:textId="27695B0B" w:rsidR="00176C57" w:rsidRDefault="00AC50BF" w:rsidP="00AC50BF">
      <w:pPr>
        <w:widowControl/>
        <w:jc w:val="left"/>
        <w:rPr>
          <w:rFonts w:ascii="Times New Roman" w:hAnsi="Times New Roman" w:cs="Times New Roman"/>
          <w:sz w:val="22"/>
          <w:szCs w:val="22"/>
        </w:rPr>
      </w:pPr>
      <w:r w:rsidRPr="00AC50BF">
        <w:rPr>
          <w:rFonts w:ascii="Times New Roman" w:hAnsi="Times New Roman" w:cs="Times New Roman"/>
          <w:sz w:val="22"/>
          <w:szCs w:val="22"/>
        </w:rPr>
        <w:t>(A) Mean number of alarm events per day by hour of day (0–23h), stratified by alarm type (Technical, yellow; Clinical, blue). Data represent the 57-day observation period (July 15 – September 9, 2025). (B) Heatmap showing the distribution of clinical alarms across hours of the day (x-axis) and days of the week (y-axis, Monday to Sunday), stratified by priority level (ADVISORY, WARNING, CRISIS). Each cell represents the total alarm count for that hour–day combination over the observation period. Color intensity reflects alarm frequency. N = 193,852 total alarms (Panel A); N = 59,113 clinical alarms (Panel B).</w:t>
      </w:r>
      <w:r w:rsidR="00176C57">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D01E1EF" w14:textId="24900082" w:rsidR="007A024B"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253B93" w:rsidRPr="00253B93">
        <w:rPr>
          <w:rFonts w:ascii="Times New Roman" w:hAnsi="Times New Roman" w:cs="Times New Roman"/>
          <w:sz w:val="22"/>
          <w:szCs w:val="22"/>
        </w:rPr>
        <w:t>Alarm silencing rate, time-to-silence, and post-silence recurrence by alarm priority level</w:t>
      </w:r>
    </w:p>
    <w:p w14:paraId="2E43034C" w14:textId="3994D96F" w:rsidR="00AE0838" w:rsidRPr="00BC1C4A" w:rsidRDefault="00AE0838" w:rsidP="006A56D3">
      <w:pPr>
        <w:rPr>
          <w:rFonts w:ascii="Times New Roman" w:hAnsi="Times New Roman" w:cs="Times New Roman"/>
          <w:sz w:val="22"/>
          <w:szCs w:val="22"/>
        </w:rPr>
      </w:pPr>
      <w:r>
        <w:rPr>
          <w:rFonts w:ascii="Times New Roman" w:hAnsi="Times New Roman" w:cs="Times New Roman"/>
          <w:sz w:val="22"/>
          <w:szCs w:val="22"/>
        </w:rPr>
        <w:t xml:space="preserve">(A)                         </w:t>
      </w:r>
      <w:r>
        <w:rPr>
          <w:rFonts w:ascii="Times New Roman" w:hAnsi="Times New Roman" w:cs="Times New Roman" w:hint="eastAsia"/>
          <w:sz w:val="22"/>
          <w:szCs w:val="22"/>
        </w:rPr>
        <w:t xml:space="preserve">　</w:t>
      </w:r>
      <w:r w:rsidR="0010351D">
        <w:rPr>
          <w:rFonts w:ascii="Times New Roman" w:hAnsi="Times New Roman" w:cs="Times New Roman"/>
          <w:sz w:val="22"/>
          <w:szCs w:val="22"/>
        </w:rPr>
        <w:t xml:space="preserve"> </w:t>
      </w:r>
      <w:r>
        <w:rPr>
          <w:rFonts w:ascii="Times New Roman" w:hAnsi="Times New Roman" w:cs="Times New Roman"/>
          <w:sz w:val="22"/>
          <w:szCs w:val="22"/>
        </w:rPr>
        <w:t>(B)</w:t>
      </w:r>
      <w:r w:rsidR="0010351D">
        <w:rPr>
          <w:rFonts w:ascii="Times New Roman" w:hAnsi="Times New Roman" w:cs="Times New Roman"/>
          <w:sz w:val="22"/>
          <w:szCs w:val="22"/>
        </w:rPr>
        <w:t xml:space="preserve">                             (C)</w:t>
      </w:r>
    </w:p>
    <w:p w14:paraId="517A3A6F" w14:textId="2607FFD9" w:rsidR="00253B93" w:rsidRPr="0010351D" w:rsidRDefault="0010351D"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BEEF9A8" wp14:editId="1E66548A">
            <wp:extent cx="6108700" cy="2857500"/>
            <wp:effectExtent l="0" t="0" r="0" b="0"/>
            <wp:docPr id="17073813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81397" name="図 1707381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08700" cy="2857500"/>
                    </a:xfrm>
                    <a:prstGeom prst="rect">
                      <a:avLst/>
                    </a:prstGeom>
                  </pic:spPr>
                </pic:pic>
              </a:graphicData>
            </a:graphic>
          </wp:inline>
        </w:drawing>
      </w:r>
      <w:r w:rsidR="00AE0838" w:rsidRPr="00AE0838">
        <w:rPr>
          <w:rFonts w:ascii="Times New Roman" w:hAnsi="Times New Roman" w:cs="Times New Roman"/>
          <w:noProof/>
          <w:sz w:val="22"/>
          <w:szCs w:val="22"/>
        </w:rPr>
        <w:drawing>
          <wp:anchor distT="0" distB="0" distL="114300" distR="114300" simplePos="0" relativeHeight="251660288" behindDoc="0" locked="0" layoutInCell="1" allowOverlap="1" wp14:anchorId="6D499DC7" wp14:editId="7FC9F4E8">
            <wp:simplePos x="0" y="0"/>
            <wp:positionH relativeFrom="column">
              <wp:posOffset>299720</wp:posOffset>
            </wp:positionH>
            <wp:positionV relativeFrom="paragraph">
              <wp:posOffset>2258695</wp:posOffset>
            </wp:positionV>
            <wp:extent cx="223520" cy="165100"/>
            <wp:effectExtent l="0" t="0" r="0" b="1270"/>
            <wp:wrapNone/>
            <wp:docPr id="19162302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0200" name=""/>
                    <pic:cNvPicPr/>
                  </pic:nvPicPr>
                  <pic:blipFill rotWithShape="1">
                    <a:blip r:embed="rId8"/>
                    <a:srcRect r="96007"/>
                    <a:stretch>
                      <a:fillRect/>
                    </a:stretch>
                  </pic:blipFill>
                  <pic:spPr bwMode="auto">
                    <a:xfrm>
                      <a:off x="0" y="0"/>
                      <a:ext cx="223520" cy="16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879BB4" w14:textId="77777777"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(A) Observed silencing rates (%) with 95% Wilson confidence intervals by alarm priority</w:t>
      </w:r>
      <w:r>
        <w:rPr>
          <w:rFonts w:ascii="Times New Roman" w:hAnsi="Times New Roman" w:cs="Times New Roman"/>
          <w:sz w:val="22"/>
          <w:szCs w:val="22"/>
        </w:rPr>
        <w:t xml:space="preserve"> </w:t>
      </w:r>
      <w:r w:rsidRPr="00AE0838">
        <w:rPr>
          <w:rFonts w:ascii="Times New Roman" w:hAnsi="Times New Roman" w:cs="Times New Roman"/>
          <w:sz w:val="22"/>
          <w:szCs w:val="22"/>
        </w:rPr>
        <w:t>level (ADVISORY, WARNING, CRISIS). (B) Median time-to-silence (seconds) with</w:t>
      </w:r>
      <w:r>
        <w:rPr>
          <w:rFonts w:ascii="Times New Roman" w:hAnsi="Times New Roman" w:cs="Times New Roman"/>
          <w:sz w:val="22"/>
          <w:szCs w:val="22"/>
        </w:rPr>
        <w:t xml:space="preserve"> </w:t>
      </w:r>
      <w:r w:rsidRPr="00AE0838">
        <w:rPr>
          <w:rFonts w:ascii="Times New Roman" w:hAnsi="Times New Roman" w:cs="Times New Roman"/>
          <w:sz w:val="22"/>
          <w:szCs w:val="22"/>
        </w:rPr>
        <w:t>interquartile range (IQR) among silenced alarms, by priority level; ADVISORY alarms</w:t>
      </w:r>
      <w:r>
        <w:rPr>
          <w:rFonts w:ascii="Times New Roman" w:hAnsi="Times New Roman" w:cs="Times New Roman"/>
          <w:sz w:val="22"/>
          <w:szCs w:val="22"/>
        </w:rPr>
        <w:t xml:space="preserve"> </w:t>
      </w:r>
      <w:r w:rsidRPr="00AE0838">
        <w:rPr>
          <w:rFonts w:ascii="Times New Roman" w:hAnsi="Times New Roman" w:cs="Times New Roman"/>
          <w:sz w:val="22"/>
          <w:szCs w:val="22"/>
        </w:rPr>
        <w:t>(n = 61; median 19 [IQR 12–69] s) are shown in Panels A and C only, as the small</w:t>
      </w:r>
      <w:r>
        <w:rPr>
          <w:rFonts w:ascii="Times New Roman" w:hAnsi="Times New Roman" w:cs="Times New Roman"/>
          <w:sz w:val="22"/>
          <w:szCs w:val="22"/>
        </w:rPr>
        <w:t xml:space="preserve"> </w:t>
      </w:r>
      <w:r w:rsidRPr="00AE0838">
        <w:rPr>
          <w:rFonts w:ascii="Times New Roman" w:hAnsi="Times New Roman" w:cs="Times New Roman"/>
          <w:sz w:val="22"/>
          <w:szCs w:val="22"/>
        </w:rPr>
        <w:t>sample size precluded reliable IQR estimation. (C) Post-silence recurrence rate (%) with</w:t>
      </w:r>
      <w:r>
        <w:rPr>
          <w:rFonts w:ascii="Times New Roman" w:hAnsi="Times New Roman" w:cs="Times New Roman"/>
          <w:sz w:val="22"/>
          <w:szCs w:val="22"/>
        </w:rPr>
        <w:t xml:space="preserve"> </w:t>
      </w:r>
      <w:r w:rsidRPr="00AE0838">
        <w:rPr>
          <w:rFonts w:ascii="Times New Roman" w:hAnsi="Times New Roman" w:cs="Times New Roman"/>
          <w:sz w:val="22"/>
          <w:szCs w:val="22"/>
        </w:rPr>
        <w:t>95% Wilson confidence intervals, defined as the proportion of silenced alarms followed</w:t>
      </w:r>
      <w:r>
        <w:rPr>
          <w:rFonts w:ascii="Times New Roman" w:hAnsi="Times New Roman" w:cs="Times New Roman"/>
          <w:sz w:val="22"/>
          <w:szCs w:val="22"/>
        </w:rPr>
        <w:t xml:space="preserve"> </w:t>
      </w:r>
      <w:r w:rsidRPr="00AE0838">
        <w:rPr>
          <w:rFonts w:ascii="Times New Roman" w:hAnsi="Times New Roman" w:cs="Times New Roman"/>
          <w:sz w:val="22"/>
          <w:szCs w:val="22"/>
        </w:rPr>
        <w:t>by a recurrence of the same parameter at the same bed within 5 minutes. Panels B and C</w:t>
      </w:r>
      <w:r>
        <w:rPr>
          <w:rFonts w:ascii="Times New Roman" w:hAnsi="Times New Roman" w:cs="Times New Roman"/>
          <w:sz w:val="22"/>
          <w:szCs w:val="22"/>
        </w:rPr>
        <w:t xml:space="preserve"> </w:t>
      </w:r>
      <w:r w:rsidRPr="00AE0838">
        <w:rPr>
          <w:rFonts w:ascii="Times New Roman" w:hAnsi="Times New Roman" w:cs="Times New Roman"/>
          <w:sz w:val="22"/>
          <w:szCs w:val="22"/>
        </w:rPr>
        <w:t>are restricted to silenced alarms.</w:t>
      </w:r>
    </w:p>
    <w:p w14:paraId="746043E6" w14:textId="77777777"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59,113 clinical alarms (Panel A</w:t>
      </w:r>
      <w:proofErr w:type="gramStart"/>
      <w:r w:rsidRPr="00AE0838">
        <w:rPr>
          <w:rFonts w:ascii="Times New Roman" w:hAnsi="Times New Roman" w:cs="Times New Roman"/>
          <w:sz w:val="22"/>
          <w:szCs w:val="22"/>
        </w:rPr>
        <w:t>);</w:t>
      </w:r>
      <w:proofErr w:type="gramEnd"/>
    </w:p>
    <w:p w14:paraId="6902F77B" w14:textId="42FB0BE2"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4,784 silenced alarms (Panel B, ADVISORY excluded</w:t>
      </w:r>
      <w:proofErr w:type="gramStart"/>
      <w:r w:rsidRPr="00AE0838">
        <w:rPr>
          <w:rFonts w:ascii="Times New Roman" w:hAnsi="Times New Roman" w:cs="Times New Roman"/>
          <w:sz w:val="22"/>
          <w:szCs w:val="22"/>
        </w:rPr>
        <w:t>);</w:t>
      </w:r>
      <w:proofErr w:type="gramEnd"/>
    </w:p>
    <w:p w14:paraId="0A6063BE" w14:textId="0E9C4112"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4,845 silenced alarms (Panel C</w:t>
      </w:r>
      <w:proofErr w:type="gramStart"/>
      <w:r w:rsidRPr="00AE0838">
        <w:rPr>
          <w:rFonts w:ascii="Times New Roman" w:hAnsi="Times New Roman" w:cs="Times New Roman"/>
          <w:sz w:val="22"/>
          <w:szCs w:val="22"/>
        </w:rPr>
        <w:t>) .</w:t>
      </w:r>
      <w:proofErr w:type="gramEnd"/>
    </w:p>
    <w:p w14:paraId="36983BD8" w14:textId="6DD120B2" w:rsidR="00302883" w:rsidRDefault="00302883" w:rsidP="00AE0838">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505FBDD" w14:textId="05B83F09"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xml:space="preserve">. </w:t>
      </w:r>
      <w:r w:rsidR="00E338B6" w:rsidRPr="00E338B6">
        <w:rPr>
          <w:rFonts w:ascii="Times New Roman" w:hAnsi="Times New Roman" w:cs="Times New Roman"/>
          <w:sz w:val="22"/>
          <w:szCs w:val="22"/>
        </w:rPr>
        <w:t>Asymmetric effects of alarm burden on silencing rate and post-silence recurrence by priority level</w:t>
      </w:r>
    </w:p>
    <w:p w14:paraId="2346F9D8" w14:textId="1457A627" w:rsidR="008666CE" w:rsidRDefault="008666CE" w:rsidP="006A56D3">
      <w:pPr>
        <w:rPr>
          <w:rFonts w:ascii="Times New Roman" w:hAnsi="Times New Roman" w:cs="Times New Roman"/>
          <w:sz w:val="22"/>
          <w:szCs w:val="22"/>
        </w:rPr>
      </w:pPr>
      <w:r>
        <w:rPr>
          <w:rFonts w:ascii="Times New Roman" w:hAnsi="Times New Roman" w:cs="Times New Roman"/>
          <w:sz w:val="22"/>
          <w:szCs w:val="22"/>
        </w:rPr>
        <w:t xml:space="preserve">(A)                       </w:t>
      </w:r>
      <w:r>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hint="eastAsia"/>
          <w:sz w:val="22"/>
          <w:szCs w:val="22"/>
        </w:rPr>
        <w:t xml:space="preserve">　</w:t>
      </w:r>
      <w:r>
        <w:rPr>
          <w:rFonts w:ascii="Times New Roman" w:hAnsi="Times New Roman" w:cs="Times New Roman"/>
          <w:sz w:val="22"/>
          <w:szCs w:val="22"/>
        </w:rPr>
        <w:t xml:space="preserve"> (B)                    </w:t>
      </w:r>
    </w:p>
    <w:p w14:paraId="2D790850" w14:textId="442FE675" w:rsidR="00E338B6" w:rsidRDefault="00BC1C4A"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CA8E001" wp14:editId="2ACA6131">
            <wp:extent cx="6172200" cy="2933700"/>
            <wp:effectExtent l="0" t="0" r="0" b="0"/>
            <wp:docPr id="154546040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0407" name="図 15454604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933700"/>
                    </a:xfrm>
                    <a:prstGeom prst="rect">
                      <a:avLst/>
                    </a:prstGeom>
                  </pic:spPr>
                </pic:pic>
              </a:graphicData>
            </a:graphic>
          </wp:inline>
        </w:drawing>
      </w:r>
      <w:r w:rsidR="006A56D3">
        <w:rPr>
          <w:rFonts w:ascii="Times New Roman" w:hAnsi="Times New Roman" w:cs="Times New Roman"/>
          <w:sz w:val="22"/>
          <w:szCs w:val="22"/>
        </w:rPr>
        <w:br w:type="textWrapping" w:clear="all"/>
      </w:r>
    </w:p>
    <w:p w14:paraId="1C21B94F" w14:textId="77777777" w:rsidR="00366F68" w:rsidRDefault="00E338B6" w:rsidP="00E338B6">
      <w:pPr>
        <w:widowControl/>
        <w:jc w:val="left"/>
        <w:rPr>
          <w:rFonts w:ascii="Times New Roman" w:hAnsi="Times New Roman" w:cs="Times New Roman"/>
          <w:sz w:val="22"/>
          <w:szCs w:val="22"/>
        </w:rPr>
      </w:pPr>
      <w:r w:rsidRPr="00E338B6">
        <w:rPr>
          <w:rFonts w:ascii="Times New Roman" w:hAnsi="Times New Roman" w:cs="Times New Roman"/>
          <w:sz w:val="22"/>
          <w:szCs w:val="22"/>
        </w:rPr>
        <w:t>(A) Observed silencing rates (%) with 95% Wilson confidence intervals, stratified by</w:t>
      </w:r>
      <w:r>
        <w:rPr>
          <w:rFonts w:ascii="Times New Roman" w:hAnsi="Times New Roman" w:cs="Times New Roman"/>
          <w:sz w:val="22"/>
          <w:szCs w:val="22"/>
        </w:rPr>
        <w:t xml:space="preserve"> </w:t>
      </w:r>
      <w:r w:rsidRPr="00E338B6">
        <w:rPr>
          <w:rFonts w:ascii="Times New Roman" w:hAnsi="Times New Roman" w:cs="Times New Roman"/>
          <w:sz w:val="22"/>
          <w:szCs w:val="22"/>
        </w:rPr>
        <w:t>alarm priority (ADVISORY, WARNING, CRISIS) and alarm burden quartile (Q1–Q4).</w:t>
      </w:r>
      <w:r>
        <w:rPr>
          <w:rFonts w:ascii="Times New Roman" w:hAnsi="Times New Roman" w:cs="Times New Roman"/>
          <w:sz w:val="22"/>
          <w:szCs w:val="22"/>
        </w:rPr>
        <w:t xml:space="preserve"> </w:t>
      </w:r>
      <w:r w:rsidRPr="00E338B6">
        <w:rPr>
          <w:rFonts w:ascii="Times New Roman" w:hAnsi="Times New Roman" w:cs="Times New Roman"/>
          <w:sz w:val="22"/>
          <w:szCs w:val="22"/>
        </w:rPr>
        <w:t>(B) Post-silence recurrence rates (%) with 95% Wilson confidence intervals for WARNING</w:t>
      </w:r>
      <w:r>
        <w:rPr>
          <w:rFonts w:ascii="Times New Roman" w:hAnsi="Times New Roman" w:cs="Times New Roman"/>
          <w:sz w:val="22"/>
          <w:szCs w:val="22"/>
        </w:rPr>
        <w:t xml:space="preserve"> a</w:t>
      </w:r>
      <w:r w:rsidRPr="00E338B6">
        <w:rPr>
          <w:rFonts w:ascii="Times New Roman" w:hAnsi="Times New Roman" w:cs="Times New Roman"/>
          <w:sz w:val="22"/>
          <w:szCs w:val="22"/>
        </w:rPr>
        <w:t>nd CRISIS alarms, defined as the proportion of silenced alarms followed by recurrence</w:t>
      </w:r>
      <w:r>
        <w:rPr>
          <w:rFonts w:ascii="Times New Roman" w:hAnsi="Times New Roman" w:cs="Times New Roman"/>
          <w:sz w:val="22"/>
          <w:szCs w:val="22"/>
        </w:rPr>
        <w:t xml:space="preserve"> </w:t>
      </w:r>
      <w:r w:rsidRPr="00E338B6">
        <w:rPr>
          <w:rFonts w:ascii="Times New Roman" w:hAnsi="Times New Roman" w:cs="Times New Roman"/>
          <w:sz w:val="22"/>
          <w:szCs w:val="22"/>
        </w:rPr>
        <w:t>of the same parameter at the same bed within 5 minutes. Panel B is restricted to</w:t>
      </w:r>
      <w:r>
        <w:rPr>
          <w:rFonts w:ascii="Times New Roman" w:hAnsi="Times New Roman" w:cs="Times New Roman"/>
          <w:sz w:val="22"/>
          <w:szCs w:val="22"/>
        </w:rPr>
        <w:t xml:space="preserve"> </w:t>
      </w:r>
      <w:r w:rsidRPr="00E338B6">
        <w:rPr>
          <w:rFonts w:ascii="Times New Roman" w:hAnsi="Times New Roman" w:cs="Times New Roman"/>
          <w:sz w:val="22"/>
          <w:szCs w:val="22"/>
        </w:rPr>
        <w:t>silenced alarms (n per cell shown adjacent to each point).</w:t>
      </w:r>
      <w:r>
        <w:rPr>
          <w:rFonts w:ascii="Times New Roman" w:hAnsi="Times New Roman" w:cs="Times New Roman"/>
          <w:sz w:val="22"/>
          <w:szCs w:val="22"/>
        </w:rPr>
        <w:t xml:space="preserve"> </w:t>
      </w:r>
      <w:r w:rsidR="00366F68" w:rsidRPr="00366F68">
        <w:rPr>
          <w:rFonts w:ascii="Times New Roman" w:hAnsi="Times New Roman" w:cs="Times New Roman"/>
          <w:sz w:val="22"/>
          <w:szCs w:val="22"/>
        </w:rPr>
        <w:t xml:space="preserve">ADVISORY alarms were excluded from Panel B owing to sparse cell counts after stratification (estimated n ≈ 10–20 per quartile). </w:t>
      </w:r>
    </w:p>
    <w:p w14:paraId="48D068DB" w14:textId="4F2CB8A4" w:rsidR="006A56D3" w:rsidRDefault="00E338B6" w:rsidP="00E338B6">
      <w:pPr>
        <w:widowControl/>
        <w:jc w:val="left"/>
        <w:rPr>
          <w:rFonts w:ascii="Times New Roman" w:hAnsi="Times New Roman" w:cs="Times New Roman"/>
          <w:sz w:val="22"/>
          <w:szCs w:val="22"/>
        </w:rPr>
      </w:pPr>
      <w:r w:rsidRPr="00E338B6">
        <w:rPr>
          <w:rFonts w:ascii="Times New Roman" w:hAnsi="Times New Roman" w:cs="Times New Roman"/>
          <w:sz w:val="22"/>
          <w:szCs w:val="22"/>
        </w:rPr>
        <w:t>Alarm burden quartiles represent the number of clinical alarms in the same ward in the</w:t>
      </w:r>
      <w:r>
        <w:rPr>
          <w:rFonts w:ascii="Times New Roman" w:hAnsi="Times New Roman" w:cs="Times New Roman"/>
          <w:sz w:val="22"/>
          <w:szCs w:val="22"/>
        </w:rPr>
        <w:t xml:space="preserve"> </w:t>
      </w:r>
      <w:r w:rsidRPr="00E338B6">
        <w:rPr>
          <w:rFonts w:ascii="Times New Roman" w:hAnsi="Times New Roman" w:cs="Times New Roman"/>
          <w:sz w:val="22"/>
          <w:szCs w:val="22"/>
        </w:rPr>
        <w:t>preceding 30 minutes (Q1: 0–9, Q2: 9–18, Q3: 18–31, Q4: 31–97 alarms/30 min).</w:t>
      </w:r>
      <w:r>
        <w:rPr>
          <w:rFonts w:ascii="Times New Roman" w:hAnsi="Times New Roman" w:cs="Times New Roman"/>
          <w:sz w:val="22"/>
          <w:szCs w:val="22"/>
        </w:rPr>
        <w:t xml:space="preserve"> </w:t>
      </w:r>
      <w:r w:rsidRPr="00E338B6">
        <w:rPr>
          <w:rFonts w:ascii="Times New Roman" w:hAnsi="Times New Roman" w:cs="Times New Roman"/>
          <w:sz w:val="22"/>
          <w:szCs w:val="22"/>
        </w:rPr>
        <w:t>Shaded ribbons represent 95% Wilson confidence intervals.</w:t>
      </w:r>
      <w:r>
        <w:rPr>
          <w:rFonts w:ascii="Times New Roman" w:hAnsi="Times New Roman" w:cs="Times New Roman"/>
          <w:sz w:val="22"/>
          <w:szCs w:val="22"/>
        </w:rPr>
        <w:t xml:space="preserve"> </w:t>
      </w:r>
      <w:r w:rsidRPr="00E338B6">
        <w:rPr>
          <w:rFonts w:ascii="Times New Roman" w:hAnsi="Times New Roman" w:cs="Times New Roman"/>
          <w:sz w:val="22"/>
          <w:szCs w:val="22"/>
        </w:rPr>
        <w:t xml:space="preserve">N = 59,113 clinical alarms (Panel A); </w:t>
      </w:r>
      <w:r w:rsidR="00366F68">
        <w:rPr>
          <w:rFonts w:ascii="Times New Roman" w:hAnsi="Times New Roman" w:cs="Times New Roman" w:hint="eastAsia"/>
          <w:sz w:val="22"/>
          <w:szCs w:val="22"/>
        </w:rPr>
        <w:t>N</w:t>
      </w:r>
      <w:r w:rsidRPr="00E338B6">
        <w:rPr>
          <w:rFonts w:ascii="Times New Roman" w:hAnsi="Times New Roman" w:cs="Times New Roman"/>
          <w:sz w:val="22"/>
          <w:szCs w:val="22"/>
        </w:rPr>
        <w:t xml:space="preserve"> = 4,845 silenced alarms (Panel B).</w:t>
      </w:r>
      <w:r w:rsidR="00366F68" w:rsidRPr="00366F68">
        <w:t xml:space="preserve"> </w:t>
      </w:r>
      <w:r w:rsidR="006A56D3">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614BC48C" w14:textId="77777777" w:rsidR="0060551A" w:rsidRDefault="0060551A" w:rsidP="0060551A">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Pr="0060551A">
        <w:rPr>
          <w:rFonts w:ascii="Times New Roman" w:hAnsi="Times New Roman" w:cs="Times New Roman"/>
          <w:sz w:val="22"/>
          <w:szCs w:val="22"/>
        </w:rPr>
        <w:t>Distribution of alarm events by alarm class and parameter type</w:t>
      </w:r>
    </w:p>
    <w:tbl>
      <w:tblPr>
        <w:tblStyle w:val="aa"/>
        <w:tblW w:w="11634" w:type="dxa"/>
        <w:tblInd w:w="-9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693"/>
        <w:gridCol w:w="1843"/>
        <w:gridCol w:w="1701"/>
        <w:gridCol w:w="1559"/>
        <w:gridCol w:w="1852"/>
      </w:tblGrid>
      <w:tr w:rsidR="0060551A" w:rsidRPr="0060551A" w14:paraId="33E16EC4" w14:textId="77777777" w:rsidTr="00DC06DC">
        <w:tc>
          <w:tcPr>
            <w:tcW w:w="1986" w:type="dxa"/>
            <w:tcBorders>
              <w:top w:val="single" w:sz="4" w:space="0" w:color="auto"/>
              <w:bottom w:val="single" w:sz="4" w:space="0" w:color="auto"/>
            </w:tcBorders>
            <w:vAlign w:val="center"/>
          </w:tcPr>
          <w:p w14:paraId="32C016C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Category</w:t>
            </w:r>
          </w:p>
        </w:tc>
        <w:tc>
          <w:tcPr>
            <w:tcW w:w="2693" w:type="dxa"/>
            <w:tcBorders>
              <w:top w:val="single" w:sz="4" w:space="0" w:color="auto"/>
              <w:bottom w:val="single" w:sz="4" w:space="0" w:color="auto"/>
            </w:tcBorders>
            <w:vAlign w:val="center"/>
          </w:tcPr>
          <w:p w14:paraId="0E36F46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Parameter</w:t>
            </w:r>
          </w:p>
        </w:tc>
        <w:tc>
          <w:tcPr>
            <w:tcW w:w="1843" w:type="dxa"/>
            <w:tcBorders>
              <w:top w:val="single" w:sz="4" w:space="0" w:color="auto"/>
              <w:bottom w:val="single" w:sz="4" w:space="0" w:color="auto"/>
            </w:tcBorders>
            <w:vAlign w:val="center"/>
          </w:tcPr>
          <w:p w14:paraId="6D4A4BD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ADVISORY</w:t>
            </w:r>
          </w:p>
        </w:tc>
        <w:tc>
          <w:tcPr>
            <w:tcW w:w="1701" w:type="dxa"/>
            <w:tcBorders>
              <w:top w:val="single" w:sz="4" w:space="0" w:color="auto"/>
              <w:bottom w:val="single" w:sz="4" w:space="0" w:color="auto"/>
            </w:tcBorders>
            <w:vAlign w:val="center"/>
          </w:tcPr>
          <w:p w14:paraId="564D253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WARNING</w:t>
            </w:r>
          </w:p>
        </w:tc>
        <w:tc>
          <w:tcPr>
            <w:tcW w:w="1559" w:type="dxa"/>
            <w:tcBorders>
              <w:top w:val="single" w:sz="4" w:space="0" w:color="auto"/>
              <w:bottom w:val="single" w:sz="4" w:space="0" w:color="auto"/>
            </w:tcBorders>
            <w:vAlign w:val="center"/>
          </w:tcPr>
          <w:p w14:paraId="689997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CRISIS</w:t>
            </w:r>
          </w:p>
        </w:tc>
        <w:tc>
          <w:tcPr>
            <w:tcW w:w="1852" w:type="dxa"/>
            <w:tcBorders>
              <w:top w:val="single" w:sz="4" w:space="0" w:color="auto"/>
              <w:bottom w:val="single" w:sz="4" w:space="0" w:color="auto"/>
            </w:tcBorders>
            <w:vAlign w:val="center"/>
          </w:tcPr>
          <w:p w14:paraId="674A99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r>
      <w:tr w:rsidR="0060551A" w:rsidRPr="0060551A" w14:paraId="06B959AE" w14:textId="77777777" w:rsidTr="00DC06DC">
        <w:tc>
          <w:tcPr>
            <w:tcW w:w="4679" w:type="dxa"/>
            <w:gridSpan w:val="2"/>
            <w:tcBorders>
              <w:top w:val="single" w:sz="4" w:space="0" w:color="auto"/>
            </w:tcBorders>
            <w:vAlign w:val="center"/>
          </w:tcPr>
          <w:p w14:paraId="6A631EA1"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Technical Alarms (n = 134,739) ---</w:t>
            </w:r>
          </w:p>
        </w:tc>
        <w:tc>
          <w:tcPr>
            <w:tcW w:w="1843" w:type="dxa"/>
            <w:tcBorders>
              <w:top w:val="single" w:sz="4" w:space="0" w:color="auto"/>
            </w:tcBorders>
            <w:vAlign w:val="center"/>
          </w:tcPr>
          <w:p w14:paraId="779B06FD"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tcBorders>
            <w:vAlign w:val="center"/>
          </w:tcPr>
          <w:p w14:paraId="11680575"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tcBorders>
            <w:vAlign w:val="center"/>
          </w:tcPr>
          <w:p w14:paraId="5EA62268"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tcBorders>
            <w:vAlign w:val="center"/>
          </w:tcPr>
          <w:p w14:paraId="2682E5DF"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3A7F2334" w14:textId="77777777" w:rsidTr="00DC06DC">
        <w:tc>
          <w:tcPr>
            <w:tcW w:w="1986" w:type="dxa"/>
            <w:vAlign w:val="center"/>
          </w:tcPr>
          <w:p w14:paraId="0FB22E7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41AE802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 probe disconnection</w:t>
            </w:r>
          </w:p>
        </w:tc>
        <w:tc>
          <w:tcPr>
            <w:tcW w:w="1843" w:type="dxa"/>
            <w:vAlign w:val="center"/>
          </w:tcPr>
          <w:p w14:paraId="5E770C9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c>
          <w:tcPr>
            <w:tcW w:w="1701" w:type="dxa"/>
            <w:vAlign w:val="center"/>
          </w:tcPr>
          <w:p w14:paraId="182BE8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6793E30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2F78707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r>
      <w:tr w:rsidR="0060551A" w:rsidRPr="0060551A" w14:paraId="19CCD253" w14:textId="77777777" w:rsidTr="00DC06DC">
        <w:tc>
          <w:tcPr>
            <w:tcW w:w="1986" w:type="dxa"/>
            <w:vAlign w:val="center"/>
          </w:tcPr>
          <w:p w14:paraId="3A764E8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67AFFD5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Electrode disconnection</w:t>
            </w:r>
          </w:p>
        </w:tc>
        <w:tc>
          <w:tcPr>
            <w:tcW w:w="1843" w:type="dxa"/>
            <w:vAlign w:val="center"/>
          </w:tcPr>
          <w:p w14:paraId="6597D4F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c>
          <w:tcPr>
            <w:tcW w:w="1701" w:type="dxa"/>
            <w:vAlign w:val="center"/>
          </w:tcPr>
          <w:p w14:paraId="0CD0FA9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48295E6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618359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r>
      <w:tr w:rsidR="0060551A" w:rsidRPr="0060551A" w14:paraId="083A3FF1" w14:textId="77777777" w:rsidTr="00DC06DC">
        <w:tc>
          <w:tcPr>
            <w:tcW w:w="1986" w:type="dxa"/>
            <w:vAlign w:val="center"/>
          </w:tcPr>
          <w:p w14:paraId="61AD8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590820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Wireless signal loss</w:t>
            </w:r>
          </w:p>
        </w:tc>
        <w:tc>
          <w:tcPr>
            <w:tcW w:w="1843" w:type="dxa"/>
            <w:vAlign w:val="center"/>
          </w:tcPr>
          <w:p w14:paraId="27D2FD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16809 (12.5%)</w:t>
            </w:r>
          </w:p>
        </w:tc>
        <w:tc>
          <w:tcPr>
            <w:tcW w:w="1701" w:type="dxa"/>
            <w:vAlign w:val="center"/>
          </w:tcPr>
          <w:p w14:paraId="64488AA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364 (0.3%)</w:t>
            </w:r>
          </w:p>
        </w:tc>
        <w:tc>
          <w:tcPr>
            <w:tcW w:w="1559" w:type="dxa"/>
            <w:vAlign w:val="center"/>
          </w:tcPr>
          <w:p w14:paraId="4DFC35E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FACEE2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17173 (12.7%)</w:t>
            </w:r>
          </w:p>
        </w:tc>
      </w:tr>
      <w:tr w:rsidR="0060551A" w:rsidRPr="0060551A" w14:paraId="69BCAC48" w14:textId="77777777" w:rsidTr="00DC06DC">
        <w:tc>
          <w:tcPr>
            <w:tcW w:w="1986" w:type="dxa"/>
            <w:vAlign w:val="center"/>
          </w:tcPr>
          <w:p w14:paraId="3DB3C33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3455C7F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Unanalyzable signal</w:t>
            </w:r>
          </w:p>
        </w:tc>
        <w:tc>
          <w:tcPr>
            <w:tcW w:w="1843" w:type="dxa"/>
            <w:vAlign w:val="center"/>
          </w:tcPr>
          <w:p w14:paraId="59E5092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29DD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c>
          <w:tcPr>
            <w:tcW w:w="1559" w:type="dxa"/>
            <w:vAlign w:val="center"/>
          </w:tcPr>
          <w:p w14:paraId="3B63E1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1C7D1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r>
      <w:tr w:rsidR="0060551A" w:rsidRPr="0060551A" w14:paraId="6294CACB" w14:textId="77777777" w:rsidTr="00DC06DC">
        <w:tc>
          <w:tcPr>
            <w:tcW w:w="1986" w:type="dxa"/>
            <w:tcBorders>
              <w:bottom w:val="nil"/>
            </w:tcBorders>
            <w:vAlign w:val="center"/>
          </w:tcPr>
          <w:p w14:paraId="062A3A6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tcBorders>
              <w:bottom w:val="nil"/>
            </w:tcBorders>
            <w:vAlign w:val="center"/>
          </w:tcPr>
          <w:p w14:paraId="1D0E34C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measurement failure</w:t>
            </w:r>
          </w:p>
        </w:tc>
        <w:tc>
          <w:tcPr>
            <w:tcW w:w="1843" w:type="dxa"/>
            <w:tcBorders>
              <w:bottom w:val="nil"/>
            </w:tcBorders>
            <w:vAlign w:val="center"/>
          </w:tcPr>
          <w:p w14:paraId="450C0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c>
          <w:tcPr>
            <w:tcW w:w="1701" w:type="dxa"/>
            <w:tcBorders>
              <w:bottom w:val="nil"/>
            </w:tcBorders>
            <w:vAlign w:val="center"/>
          </w:tcPr>
          <w:p w14:paraId="788B576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bottom w:val="nil"/>
            </w:tcBorders>
            <w:vAlign w:val="center"/>
          </w:tcPr>
          <w:p w14:paraId="14A4570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tcBorders>
              <w:bottom w:val="nil"/>
            </w:tcBorders>
            <w:vAlign w:val="center"/>
          </w:tcPr>
          <w:p w14:paraId="7FAB1D6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r>
      <w:tr w:rsidR="0060551A" w:rsidRPr="0060551A" w14:paraId="4BAA4BDA" w14:textId="77777777" w:rsidTr="00DC06DC">
        <w:tc>
          <w:tcPr>
            <w:tcW w:w="1986" w:type="dxa"/>
            <w:tcBorders>
              <w:top w:val="nil"/>
              <w:bottom w:val="single" w:sz="4" w:space="0" w:color="auto"/>
            </w:tcBorders>
            <w:vAlign w:val="center"/>
          </w:tcPr>
          <w:p w14:paraId="0134B2AE" w14:textId="77777777" w:rsidR="0060551A" w:rsidRPr="0060551A" w:rsidRDefault="0060551A" w:rsidP="00DC06DC">
            <w:pPr>
              <w:widowControl/>
              <w:jc w:val="left"/>
              <w:rPr>
                <w:rFonts w:ascii="Times New Roman" w:hAnsi="Times New Roman" w:cs="Times New Roman"/>
                <w:sz w:val="22"/>
                <w:szCs w:val="22"/>
              </w:rPr>
            </w:pPr>
          </w:p>
        </w:tc>
        <w:tc>
          <w:tcPr>
            <w:tcW w:w="2693" w:type="dxa"/>
            <w:tcBorders>
              <w:top w:val="nil"/>
              <w:bottom w:val="single" w:sz="4" w:space="0" w:color="auto"/>
            </w:tcBorders>
            <w:vAlign w:val="center"/>
          </w:tcPr>
          <w:p w14:paraId="5DB7640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tcBorders>
              <w:top w:val="nil"/>
              <w:bottom w:val="single" w:sz="4" w:space="0" w:color="auto"/>
            </w:tcBorders>
            <w:vAlign w:val="center"/>
          </w:tcPr>
          <w:p w14:paraId="5F85177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134134 (99.6%)</w:t>
            </w:r>
          </w:p>
        </w:tc>
        <w:tc>
          <w:tcPr>
            <w:tcW w:w="1701" w:type="dxa"/>
            <w:tcBorders>
              <w:top w:val="nil"/>
              <w:bottom w:val="single" w:sz="4" w:space="0" w:color="auto"/>
            </w:tcBorders>
            <w:vAlign w:val="center"/>
          </w:tcPr>
          <w:p w14:paraId="0FE21B0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605 (0.4%)</w:t>
            </w:r>
          </w:p>
        </w:tc>
        <w:tc>
          <w:tcPr>
            <w:tcW w:w="1559" w:type="dxa"/>
            <w:tcBorders>
              <w:top w:val="nil"/>
              <w:bottom w:val="single" w:sz="4" w:space="0" w:color="auto"/>
            </w:tcBorders>
            <w:vAlign w:val="center"/>
          </w:tcPr>
          <w:p w14:paraId="7032C8F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0 (0.0%)</w:t>
            </w:r>
          </w:p>
        </w:tc>
        <w:tc>
          <w:tcPr>
            <w:tcW w:w="1852" w:type="dxa"/>
            <w:tcBorders>
              <w:top w:val="nil"/>
              <w:bottom w:val="single" w:sz="4" w:space="0" w:color="auto"/>
            </w:tcBorders>
            <w:vAlign w:val="center"/>
          </w:tcPr>
          <w:p w14:paraId="67553A4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134739 (100.0%)</w:t>
            </w:r>
          </w:p>
        </w:tc>
      </w:tr>
      <w:tr w:rsidR="0060551A" w:rsidRPr="0060551A" w14:paraId="46DD3310" w14:textId="77777777" w:rsidTr="00DC06DC">
        <w:tc>
          <w:tcPr>
            <w:tcW w:w="4679" w:type="dxa"/>
            <w:gridSpan w:val="2"/>
            <w:tcBorders>
              <w:top w:val="single" w:sz="4" w:space="0" w:color="auto"/>
              <w:bottom w:val="nil"/>
            </w:tcBorders>
            <w:vAlign w:val="center"/>
          </w:tcPr>
          <w:p w14:paraId="5F2CC6A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Clinical Alarms (n = 59,113) ---</w:t>
            </w:r>
          </w:p>
        </w:tc>
        <w:tc>
          <w:tcPr>
            <w:tcW w:w="1843" w:type="dxa"/>
            <w:tcBorders>
              <w:top w:val="single" w:sz="4" w:space="0" w:color="auto"/>
              <w:bottom w:val="nil"/>
            </w:tcBorders>
            <w:vAlign w:val="center"/>
          </w:tcPr>
          <w:p w14:paraId="53CDFA6A"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bottom w:val="nil"/>
            </w:tcBorders>
            <w:vAlign w:val="center"/>
          </w:tcPr>
          <w:p w14:paraId="200C971E"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bottom w:val="nil"/>
            </w:tcBorders>
            <w:vAlign w:val="center"/>
          </w:tcPr>
          <w:p w14:paraId="1E0E0EE0"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bottom w:val="nil"/>
            </w:tcBorders>
            <w:vAlign w:val="center"/>
          </w:tcPr>
          <w:p w14:paraId="1C5D6AF6"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7B37D60E" w14:textId="77777777" w:rsidTr="00DC06DC">
        <w:tc>
          <w:tcPr>
            <w:tcW w:w="1986" w:type="dxa"/>
            <w:tcBorders>
              <w:top w:val="nil"/>
            </w:tcBorders>
            <w:vAlign w:val="center"/>
          </w:tcPr>
          <w:p w14:paraId="2EFCC28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tcBorders>
              <w:top w:val="nil"/>
            </w:tcBorders>
            <w:vAlign w:val="center"/>
          </w:tcPr>
          <w:p w14:paraId="31BFAD7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fibrillation</w:t>
            </w:r>
          </w:p>
        </w:tc>
        <w:tc>
          <w:tcPr>
            <w:tcW w:w="1843" w:type="dxa"/>
            <w:tcBorders>
              <w:top w:val="nil"/>
            </w:tcBorders>
            <w:vAlign w:val="center"/>
          </w:tcPr>
          <w:p w14:paraId="216E110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tcBorders>
              <w:top w:val="nil"/>
            </w:tcBorders>
            <w:vAlign w:val="center"/>
          </w:tcPr>
          <w:p w14:paraId="168F59B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top w:val="nil"/>
            </w:tcBorders>
            <w:vAlign w:val="center"/>
          </w:tcPr>
          <w:p w14:paraId="147168B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(49.1%)</w:t>
            </w:r>
          </w:p>
        </w:tc>
        <w:tc>
          <w:tcPr>
            <w:tcW w:w="1852" w:type="dxa"/>
            <w:tcBorders>
              <w:top w:val="nil"/>
            </w:tcBorders>
            <w:vAlign w:val="center"/>
          </w:tcPr>
          <w:p w14:paraId="5DCC21C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(0.2%)</w:t>
            </w:r>
          </w:p>
        </w:tc>
      </w:tr>
      <w:tr w:rsidR="0060551A" w:rsidRPr="0060551A" w14:paraId="45AFF9CB" w14:textId="77777777" w:rsidTr="00DC06DC">
        <w:tc>
          <w:tcPr>
            <w:tcW w:w="1986" w:type="dxa"/>
            <w:vAlign w:val="center"/>
          </w:tcPr>
          <w:p w14:paraId="281BDB5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FBA3CA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tachycardia</w:t>
            </w:r>
          </w:p>
        </w:tc>
        <w:tc>
          <w:tcPr>
            <w:tcW w:w="1843" w:type="dxa"/>
            <w:vAlign w:val="center"/>
          </w:tcPr>
          <w:p w14:paraId="36B56D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94794E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7A27963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(31.1%)</w:t>
            </w:r>
          </w:p>
        </w:tc>
        <w:tc>
          <w:tcPr>
            <w:tcW w:w="1852" w:type="dxa"/>
            <w:vAlign w:val="center"/>
          </w:tcPr>
          <w:p w14:paraId="5BBB90D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(0.1%)</w:t>
            </w:r>
          </w:p>
        </w:tc>
      </w:tr>
      <w:tr w:rsidR="0060551A" w:rsidRPr="0060551A" w14:paraId="2B84F925" w14:textId="77777777" w:rsidTr="00DC06DC">
        <w:tc>
          <w:tcPr>
            <w:tcW w:w="1986" w:type="dxa"/>
            <w:vAlign w:val="center"/>
          </w:tcPr>
          <w:p w14:paraId="0B0EC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0DC29D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Asystole</w:t>
            </w:r>
          </w:p>
        </w:tc>
        <w:tc>
          <w:tcPr>
            <w:tcW w:w="1843" w:type="dxa"/>
            <w:vAlign w:val="center"/>
          </w:tcPr>
          <w:p w14:paraId="293EBB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6AB405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52D1121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(19.8%)</w:t>
            </w:r>
          </w:p>
        </w:tc>
        <w:tc>
          <w:tcPr>
            <w:tcW w:w="1852" w:type="dxa"/>
            <w:vAlign w:val="center"/>
          </w:tcPr>
          <w:p w14:paraId="39AFE22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(0.1%)</w:t>
            </w:r>
          </w:p>
        </w:tc>
      </w:tr>
      <w:tr w:rsidR="0060551A" w:rsidRPr="0060551A" w14:paraId="51CF2964" w14:textId="77777777" w:rsidTr="00DC06DC">
        <w:tc>
          <w:tcPr>
            <w:tcW w:w="1986" w:type="dxa"/>
            <w:vAlign w:val="center"/>
          </w:tcPr>
          <w:p w14:paraId="2756D2A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8DB9B0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VPC Run</w:t>
            </w:r>
          </w:p>
        </w:tc>
        <w:tc>
          <w:tcPr>
            <w:tcW w:w="1843" w:type="dxa"/>
            <w:vAlign w:val="center"/>
          </w:tcPr>
          <w:p w14:paraId="2BD6E68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(95.5%)</w:t>
            </w:r>
          </w:p>
        </w:tc>
        <w:tc>
          <w:tcPr>
            <w:tcW w:w="1701" w:type="dxa"/>
            <w:vAlign w:val="center"/>
          </w:tcPr>
          <w:p w14:paraId="6E57CA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38F9ABD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D42414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(2.7%)</w:t>
            </w:r>
          </w:p>
        </w:tc>
      </w:tr>
      <w:tr w:rsidR="0060551A" w:rsidRPr="0060551A" w14:paraId="7F356C8B" w14:textId="77777777" w:rsidTr="00DC06DC">
        <w:tc>
          <w:tcPr>
            <w:tcW w:w="1986" w:type="dxa"/>
            <w:vAlign w:val="center"/>
          </w:tcPr>
          <w:p w14:paraId="1373D10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D278C87"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Tachycardia</w:t>
            </w:r>
          </w:p>
        </w:tc>
        <w:tc>
          <w:tcPr>
            <w:tcW w:w="1843" w:type="dxa"/>
            <w:vAlign w:val="center"/>
          </w:tcPr>
          <w:p w14:paraId="514708B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25F6A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(14.0%)</w:t>
            </w:r>
          </w:p>
        </w:tc>
        <w:tc>
          <w:tcPr>
            <w:tcW w:w="1559" w:type="dxa"/>
            <w:vAlign w:val="center"/>
          </w:tcPr>
          <w:p w14:paraId="2474118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3D220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(13.6%)</w:t>
            </w:r>
          </w:p>
        </w:tc>
      </w:tr>
      <w:tr w:rsidR="0060551A" w:rsidRPr="0060551A" w14:paraId="77ECCCE7" w14:textId="77777777" w:rsidTr="00DC06DC">
        <w:tc>
          <w:tcPr>
            <w:tcW w:w="1986" w:type="dxa"/>
            <w:vAlign w:val="center"/>
          </w:tcPr>
          <w:p w14:paraId="3F920A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60A8DF6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Bradycardia</w:t>
            </w:r>
          </w:p>
        </w:tc>
        <w:tc>
          <w:tcPr>
            <w:tcW w:w="1843" w:type="dxa"/>
            <w:vAlign w:val="center"/>
          </w:tcPr>
          <w:p w14:paraId="49907B7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6DE664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c>
          <w:tcPr>
            <w:tcW w:w="1559" w:type="dxa"/>
            <w:vAlign w:val="center"/>
          </w:tcPr>
          <w:p w14:paraId="5D06223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4F5B2D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r>
      <w:tr w:rsidR="0060551A" w:rsidRPr="0060551A" w14:paraId="6A528EAB" w14:textId="77777777" w:rsidTr="00DC06DC">
        <w:tc>
          <w:tcPr>
            <w:tcW w:w="1986" w:type="dxa"/>
            <w:vAlign w:val="center"/>
          </w:tcPr>
          <w:p w14:paraId="527DB87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3C1ACBD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Pulse rate (via SpO2)</w:t>
            </w:r>
          </w:p>
        </w:tc>
        <w:tc>
          <w:tcPr>
            <w:tcW w:w="1843" w:type="dxa"/>
            <w:vAlign w:val="center"/>
          </w:tcPr>
          <w:p w14:paraId="6B0B587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4E9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(3.3%)</w:t>
            </w:r>
          </w:p>
        </w:tc>
        <w:tc>
          <w:tcPr>
            <w:tcW w:w="1559" w:type="dxa"/>
            <w:vAlign w:val="center"/>
          </w:tcPr>
          <w:p w14:paraId="3BB5892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E5BFF0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(3.2%)</w:t>
            </w:r>
          </w:p>
        </w:tc>
      </w:tr>
      <w:tr w:rsidR="0060551A" w:rsidRPr="0060551A" w14:paraId="30F13EFB" w14:textId="77777777" w:rsidTr="00DC06DC">
        <w:tc>
          <w:tcPr>
            <w:tcW w:w="1986" w:type="dxa"/>
            <w:vAlign w:val="center"/>
          </w:tcPr>
          <w:p w14:paraId="7C3836F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Oxygenation</w:t>
            </w:r>
          </w:p>
        </w:tc>
        <w:tc>
          <w:tcPr>
            <w:tcW w:w="2693" w:type="dxa"/>
            <w:vAlign w:val="center"/>
          </w:tcPr>
          <w:p w14:paraId="13A2BEA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w:t>
            </w:r>
          </w:p>
        </w:tc>
        <w:tc>
          <w:tcPr>
            <w:tcW w:w="1843" w:type="dxa"/>
            <w:vAlign w:val="center"/>
          </w:tcPr>
          <w:p w14:paraId="657934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23 (1.4%)</w:t>
            </w:r>
          </w:p>
        </w:tc>
        <w:tc>
          <w:tcPr>
            <w:tcW w:w="1701" w:type="dxa"/>
            <w:vAlign w:val="center"/>
          </w:tcPr>
          <w:p w14:paraId="75D1D4EA"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44413 (77.6%)</w:t>
            </w:r>
          </w:p>
        </w:tc>
        <w:tc>
          <w:tcPr>
            <w:tcW w:w="1559" w:type="dxa"/>
            <w:vAlign w:val="center"/>
          </w:tcPr>
          <w:p w14:paraId="0DE209A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399DE4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44436 (75.2%)</w:t>
            </w:r>
          </w:p>
        </w:tc>
      </w:tr>
      <w:tr w:rsidR="0060551A" w:rsidRPr="0060551A" w14:paraId="1010BBA2" w14:textId="77777777" w:rsidTr="00DC06DC">
        <w:tc>
          <w:tcPr>
            <w:tcW w:w="1986" w:type="dxa"/>
            <w:vAlign w:val="center"/>
          </w:tcPr>
          <w:p w14:paraId="320A0052"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w:t>
            </w:r>
          </w:p>
        </w:tc>
        <w:tc>
          <w:tcPr>
            <w:tcW w:w="2693" w:type="dxa"/>
            <w:vAlign w:val="center"/>
          </w:tcPr>
          <w:p w14:paraId="44BB1B2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 rate / Apnea</w:t>
            </w:r>
          </w:p>
        </w:tc>
        <w:tc>
          <w:tcPr>
            <w:tcW w:w="1843" w:type="dxa"/>
            <w:vAlign w:val="center"/>
          </w:tcPr>
          <w:p w14:paraId="590DD7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031BA5A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(2.6%)</w:t>
            </w:r>
          </w:p>
        </w:tc>
        <w:tc>
          <w:tcPr>
            <w:tcW w:w="1559" w:type="dxa"/>
            <w:vAlign w:val="center"/>
          </w:tcPr>
          <w:p w14:paraId="56AE4ED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8131B7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(2.5%)</w:t>
            </w:r>
          </w:p>
        </w:tc>
      </w:tr>
      <w:tr w:rsidR="0060551A" w:rsidRPr="0060551A" w14:paraId="1FAD83B6" w14:textId="77777777" w:rsidTr="00DC06DC">
        <w:tc>
          <w:tcPr>
            <w:tcW w:w="1986" w:type="dxa"/>
            <w:vAlign w:val="center"/>
          </w:tcPr>
          <w:p w14:paraId="6CFAF9C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734E70B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w:t>
            </w:r>
          </w:p>
        </w:tc>
        <w:tc>
          <w:tcPr>
            <w:tcW w:w="1843" w:type="dxa"/>
            <w:vAlign w:val="center"/>
          </w:tcPr>
          <w:p w14:paraId="2347C3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46 (2.8%)</w:t>
            </w:r>
          </w:p>
        </w:tc>
        <w:tc>
          <w:tcPr>
            <w:tcW w:w="1701" w:type="dxa"/>
            <w:vAlign w:val="center"/>
          </w:tcPr>
          <w:p w14:paraId="132E56E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 (0.0%)</w:t>
            </w:r>
          </w:p>
        </w:tc>
        <w:tc>
          <w:tcPr>
            <w:tcW w:w="1559" w:type="dxa"/>
            <w:vAlign w:val="center"/>
          </w:tcPr>
          <w:p w14:paraId="73C98D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63F911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51 (0.1%)</w:t>
            </w:r>
          </w:p>
        </w:tc>
      </w:tr>
      <w:tr w:rsidR="0060551A" w:rsidRPr="0060551A" w14:paraId="7E18E514" w14:textId="77777777" w:rsidTr="00DC06DC">
        <w:tc>
          <w:tcPr>
            <w:tcW w:w="1986" w:type="dxa"/>
            <w:vAlign w:val="center"/>
          </w:tcPr>
          <w:p w14:paraId="5EA28F9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1D6C8A93"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(systolic)</w:t>
            </w:r>
          </w:p>
        </w:tc>
        <w:tc>
          <w:tcPr>
            <w:tcW w:w="1843" w:type="dxa"/>
            <w:vAlign w:val="center"/>
          </w:tcPr>
          <w:p w14:paraId="680CE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52B8BB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c>
          <w:tcPr>
            <w:tcW w:w="1559" w:type="dxa"/>
            <w:vAlign w:val="center"/>
          </w:tcPr>
          <w:p w14:paraId="140E92F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E2A0B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r>
      <w:tr w:rsidR="0060551A" w:rsidRPr="0060551A" w14:paraId="2946795B" w14:textId="77777777" w:rsidTr="00DC06DC">
        <w:tc>
          <w:tcPr>
            <w:tcW w:w="1986" w:type="dxa"/>
            <w:vAlign w:val="center"/>
          </w:tcPr>
          <w:p w14:paraId="1C1929E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2693" w:type="dxa"/>
            <w:vAlign w:val="center"/>
          </w:tcPr>
          <w:p w14:paraId="0C6848B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1843" w:type="dxa"/>
            <w:vAlign w:val="center"/>
          </w:tcPr>
          <w:p w14:paraId="17BAAC9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 (0.4%)</w:t>
            </w:r>
          </w:p>
        </w:tc>
        <w:tc>
          <w:tcPr>
            <w:tcW w:w="1701" w:type="dxa"/>
            <w:vAlign w:val="center"/>
          </w:tcPr>
          <w:p w14:paraId="6F7BC5F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 (0.0%)</w:t>
            </w:r>
          </w:p>
        </w:tc>
        <w:tc>
          <w:tcPr>
            <w:tcW w:w="1559" w:type="dxa"/>
            <w:vAlign w:val="center"/>
          </w:tcPr>
          <w:p w14:paraId="7A67706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6D4FCBB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7 (0.0%)</w:t>
            </w:r>
          </w:p>
        </w:tc>
      </w:tr>
      <w:tr w:rsidR="0060551A" w:rsidRPr="0060551A" w14:paraId="371ADEEE" w14:textId="77777777" w:rsidTr="00DC06DC">
        <w:tc>
          <w:tcPr>
            <w:tcW w:w="1986" w:type="dxa"/>
            <w:vAlign w:val="center"/>
          </w:tcPr>
          <w:p w14:paraId="0FAA5E1F" w14:textId="77777777" w:rsidR="0060551A" w:rsidRPr="0060551A" w:rsidRDefault="0060551A" w:rsidP="00DC06DC">
            <w:pPr>
              <w:widowControl/>
              <w:jc w:val="left"/>
              <w:rPr>
                <w:rFonts w:ascii="Times New Roman" w:hAnsi="Times New Roman" w:cs="Times New Roman"/>
                <w:sz w:val="22"/>
                <w:szCs w:val="22"/>
              </w:rPr>
            </w:pPr>
          </w:p>
        </w:tc>
        <w:tc>
          <w:tcPr>
            <w:tcW w:w="2693" w:type="dxa"/>
            <w:vAlign w:val="center"/>
          </w:tcPr>
          <w:p w14:paraId="15E9785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vAlign w:val="center"/>
          </w:tcPr>
          <w:p w14:paraId="38BB95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1649 (100.0%)</w:t>
            </w:r>
          </w:p>
        </w:tc>
        <w:tc>
          <w:tcPr>
            <w:tcW w:w="1701" w:type="dxa"/>
            <w:vAlign w:val="center"/>
          </w:tcPr>
          <w:p w14:paraId="0F5C6F9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57242 (100.0%)</w:t>
            </w:r>
          </w:p>
        </w:tc>
        <w:tc>
          <w:tcPr>
            <w:tcW w:w="1559" w:type="dxa"/>
            <w:vAlign w:val="center"/>
          </w:tcPr>
          <w:p w14:paraId="6830BC0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222 (100.0%)</w:t>
            </w:r>
          </w:p>
        </w:tc>
        <w:tc>
          <w:tcPr>
            <w:tcW w:w="1852" w:type="dxa"/>
            <w:vAlign w:val="center"/>
          </w:tcPr>
          <w:p w14:paraId="30AB4F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59113 (100.0%)</w:t>
            </w:r>
          </w:p>
        </w:tc>
      </w:tr>
    </w:tbl>
    <w:p w14:paraId="1CE72B94" w14:textId="77777777" w:rsidR="0060551A" w:rsidRDefault="0060551A" w:rsidP="0060551A">
      <w:pPr>
        <w:widowControl/>
        <w:jc w:val="left"/>
        <w:rPr>
          <w:rFonts w:ascii="Times New Roman" w:hAnsi="Times New Roman" w:cs="Times New Roman"/>
          <w:sz w:val="22"/>
          <w:szCs w:val="22"/>
        </w:rPr>
      </w:pPr>
      <w:r w:rsidRPr="0060551A">
        <w:rPr>
          <w:rFonts w:ascii="Times New Roman" w:hAnsi="Times New Roman" w:cs="Times New Roman"/>
          <w:sz w:val="22"/>
          <w:szCs w:val="22"/>
        </w:rPr>
        <w:t>Values are n (%) within each alarm class. Technical alarms indicate device or signal artifacts; clinical alarms indicate physiological parameter deviations or arrhythmias. Technical alarm percentages are calculated as proportions of all technical alarms (n = 134,739); clinical alarm percentages are calculated as proportions of all clinical alarms (n = 59,113). "—" indicates no alarms of that parameter were recorded at this priority level. "Other" includes EtCO2, arterial pressure, and temperature parameters (T1, T2, body temperature), each contributing fewer than 3 events. Alarm parameters were recorded as displayed</w:t>
      </w:r>
      <w:r>
        <w:rPr>
          <w:rFonts w:ascii="Times New Roman" w:hAnsi="Times New Roman" w:cs="Times New Roman"/>
          <w:sz w:val="22"/>
          <w:szCs w:val="22"/>
        </w:rPr>
        <w:t xml:space="preserve"> </w:t>
      </w:r>
      <w:r w:rsidRPr="0060551A">
        <w:rPr>
          <w:rFonts w:ascii="Times New Roman" w:hAnsi="Times New Roman" w:cs="Times New Roman"/>
          <w:sz w:val="22"/>
          <w:szCs w:val="22"/>
        </w:rPr>
        <w:t>on the central monitoring system and were not modified by the investigators.</w:t>
      </w:r>
      <w:r>
        <w:rPr>
          <w:rFonts w:ascii="Times New Roman" w:hAnsi="Times New Roman" w:cs="Times New Roman"/>
          <w:sz w:val="22"/>
          <w:szCs w:val="22"/>
        </w:rPr>
        <w:br w:type="page"/>
      </w:r>
    </w:p>
    <w:p w14:paraId="26461E38" w14:textId="674B2CED"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2</w:t>
      </w:r>
      <w:r>
        <w:rPr>
          <w:rFonts w:ascii="Times New Roman" w:hAnsi="Times New Roman" w:cs="Times New Roman"/>
          <w:sz w:val="22"/>
          <w:szCs w:val="22"/>
        </w:rPr>
        <w:t xml:space="preserve">.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1341" w:type="dxa"/>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2693"/>
        <w:gridCol w:w="2693"/>
        <w:gridCol w:w="2552"/>
      </w:tblGrid>
      <w:tr w:rsidR="00D7329B" w:rsidRPr="00D7329B" w14:paraId="0FBBDFA8" w14:textId="77777777" w:rsidTr="00D7329B">
        <w:tc>
          <w:tcPr>
            <w:tcW w:w="3403" w:type="dxa"/>
            <w:tcBorders>
              <w:top w:val="single" w:sz="4" w:space="0" w:color="auto"/>
              <w:bottom w:val="single" w:sz="4" w:space="0" w:color="auto"/>
            </w:tcBorders>
            <w:vAlign w:val="center"/>
          </w:tcPr>
          <w:p w14:paraId="5EFA7FE4" w14:textId="5D0158D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Variable</w:t>
            </w:r>
          </w:p>
        </w:tc>
        <w:tc>
          <w:tcPr>
            <w:tcW w:w="2693" w:type="dxa"/>
            <w:tcBorders>
              <w:top w:val="single" w:sz="4" w:space="0" w:color="auto"/>
              <w:bottom w:val="single" w:sz="4" w:space="0" w:color="auto"/>
            </w:tcBorders>
            <w:vAlign w:val="center"/>
          </w:tcPr>
          <w:p w14:paraId="4B09359A" w14:textId="07EEA84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15-min window</w:t>
            </w:r>
          </w:p>
        </w:tc>
        <w:tc>
          <w:tcPr>
            <w:tcW w:w="2693" w:type="dxa"/>
            <w:tcBorders>
              <w:top w:val="single" w:sz="4" w:space="0" w:color="auto"/>
              <w:bottom w:val="single" w:sz="4" w:space="0" w:color="auto"/>
            </w:tcBorders>
            <w:vAlign w:val="center"/>
          </w:tcPr>
          <w:p w14:paraId="3B5A44BD" w14:textId="332CAEF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30-min window</w:t>
            </w:r>
          </w:p>
        </w:tc>
        <w:tc>
          <w:tcPr>
            <w:tcW w:w="2552" w:type="dxa"/>
            <w:tcBorders>
              <w:top w:val="single" w:sz="4" w:space="0" w:color="auto"/>
              <w:bottom w:val="single" w:sz="4" w:space="0" w:color="auto"/>
            </w:tcBorders>
            <w:vAlign w:val="center"/>
          </w:tcPr>
          <w:p w14:paraId="110BE0CD" w14:textId="51393F3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45-min window</w:t>
            </w:r>
          </w:p>
        </w:tc>
      </w:tr>
      <w:tr w:rsidR="00D7329B" w:rsidRPr="00D7329B" w14:paraId="0B36F55E" w14:textId="77777777" w:rsidTr="00D7329B">
        <w:tc>
          <w:tcPr>
            <w:tcW w:w="3403" w:type="dxa"/>
            <w:tcBorders>
              <w:top w:val="single" w:sz="4" w:space="0" w:color="auto"/>
            </w:tcBorders>
            <w:vAlign w:val="center"/>
          </w:tcPr>
          <w:p w14:paraId="357FF8F0" w14:textId="4E81A9E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priority (ref: ADVISORY)</w:t>
            </w:r>
          </w:p>
        </w:tc>
        <w:tc>
          <w:tcPr>
            <w:tcW w:w="2693" w:type="dxa"/>
            <w:tcBorders>
              <w:top w:val="single" w:sz="4" w:space="0" w:color="auto"/>
            </w:tcBorders>
            <w:vAlign w:val="center"/>
          </w:tcPr>
          <w:p w14:paraId="097DDEEA" w14:textId="07E7C2E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tcBorders>
              <w:top w:val="single" w:sz="4" w:space="0" w:color="auto"/>
            </w:tcBorders>
            <w:vAlign w:val="center"/>
          </w:tcPr>
          <w:p w14:paraId="3CDD74AD" w14:textId="34F038D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tcBorders>
              <w:top w:val="single" w:sz="4" w:space="0" w:color="auto"/>
            </w:tcBorders>
            <w:vAlign w:val="center"/>
          </w:tcPr>
          <w:p w14:paraId="16D1D722" w14:textId="314B327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264A0B1F" w14:textId="77777777" w:rsidTr="00D7329B">
        <w:tc>
          <w:tcPr>
            <w:tcW w:w="3403" w:type="dxa"/>
            <w:vAlign w:val="center"/>
          </w:tcPr>
          <w:p w14:paraId="566FCB99" w14:textId="63CAC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WARNING</w:t>
            </w:r>
          </w:p>
        </w:tc>
        <w:tc>
          <w:tcPr>
            <w:tcW w:w="2693" w:type="dxa"/>
            <w:vAlign w:val="center"/>
          </w:tcPr>
          <w:p w14:paraId="19E28C1E" w14:textId="606A86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4.457 (3.089–6.432); p&lt;0.001</w:t>
            </w:r>
          </w:p>
        </w:tc>
        <w:tc>
          <w:tcPr>
            <w:tcW w:w="2693" w:type="dxa"/>
            <w:vAlign w:val="center"/>
          </w:tcPr>
          <w:p w14:paraId="23262514" w14:textId="53EFDFD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4.94 (3.357–7.271); p&lt;0.001</w:t>
            </w:r>
          </w:p>
        </w:tc>
        <w:tc>
          <w:tcPr>
            <w:tcW w:w="2552" w:type="dxa"/>
            <w:vAlign w:val="center"/>
          </w:tcPr>
          <w:p w14:paraId="0969435D" w14:textId="154CE3A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5.134 (3.459–7.621); p&lt;0.001</w:t>
            </w:r>
          </w:p>
        </w:tc>
      </w:tr>
      <w:tr w:rsidR="00D7329B" w:rsidRPr="00D7329B" w14:paraId="63C47331" w14:textId="77777777" w:rsidTr="00D7329B">
        <w:tc>
          <w:tcPr>
            <w:tcW w:w="3403" w:type="dxa"/>
            <w:vAlign w:val="center"/>
          </w:tcPr>
          <w:p w14:paraId="019970EB" w14:textId="5FF56D4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CRISIS</w:t>
            </w:r>
          </w:p>
        </w:tc>
        <w:tc>
          <w:tcPr>
            <w:tcW w:w="2693" w:type="dxa"/>
            <w:vAlign w:val="center"/>
          </w:tcPr>
          <w:p w14:paraId="768D93E0" w14:textId="22AA6B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70.934 (38.964–129.136); p&lt;0.001</w:t>
            </w:r>
          </w:p>
        </w:tc>
        <w:tc>
          <w:tcPr>
            <w:tcW w:w="2693" w:type="dxa"/>
            <w:vAlign w:val="center"/>
          </w:tcPr>
          <w:p w14:paraId="306EF489" w14:textId="55079D2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74.842 (40.409–138.617); p&lt;0.001</w:t>
            </w:r>
          </w:p>
        </w:tc>
        <w:tc>
          <w:tcPr>
            <w:tcW w:w="2552" w:type="dxa"/>
            <w:vAlign w:val="center"/>
          </w:tcPr>
          <w:p w14:paraId="2BA7E9E3" w14:textId="17C5B06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77.941 (41.394–146.753); p&lt;0.001</w:t>
            </w:r>
          </w:p>
        </w:tc>
      </w:tr>
      <w:tr w:rsidR="00D7329B" w:rsidRPr="00D7329B" w14:paraId="4D4B13B4" w14:textId="77777777" w:rsidTr="00D7329B">
        <w:tc>
          <w:tcPr>
            <w:tcW w:w="3403" w:type="dxa"/>
            <w:vAlign w:val="center"/>
          </w:tcPr>
          <w:p w14:paraId="028414D1" w14:textId="25CD61A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burden × priority interaction</w:t>
            </w:r>
          </w:p>
        </w:tc>
        <w:tc>
          <w:tcPr>
            <w:tcW w:w="2693" w:type="dxa"/>
            <w:vAlign w:val="center"/>
          </w:tcPr>
          <w:p w14:paraId="201F4CA0" w14:textId="67CFC4F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6BCB6087" w14:textId="274493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74431A0B" w14:textId="15D8F05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5F9F935" w14:textId="77777777" w:rsidTr="00D7329B">
        <w:tc>
          <w:tcPr>
            <w:tcW w:w="3403" w:type="dxa"/>
            <w:vAlign w:val="center"/>
          </w:tcPr>
          <w:p w14:paraId="543FB608" w14:textId="1227B4B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(ADVISORY)</w:t>
            </w:r>
          </w:p>
        </w:tc>
        <w:tc>
          <w:tcPr>
            <w:tcW w:w="2693" w:type="dxa"/>
            <w:vAlign w:val="center"/>
          </w:tcPr>
          <w:p w14:paraId="2B374259" w14:textId="2BEFFE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(0.979–1.045); p=0.497</w:t>
            </w:r>
          </w:p>
        </w:tc>
        <w:tc>
          <w:tcPr>
            <w:tcW w:w="2693" w:type="dxa"/>
            <w:vAlign w:val="center"/>
          </w:tcPr>
          <w:p w14:paraId="01F92A53" w14:textId="580F50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(0.993–1.029); p=0.236</w:t>
            </w:r>
          </w:p>
        </w:tc>
        <w:tc>
          <w:tcPr>
            <w:tcW w:w="2552" w:type="dxa"/>
            <w:vAlign w:val="center"/>
          </w:tcPr>
          <w:p w14:paraId="4ED96B66" w14:textId="55B234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1.009 (0.996–1.022); p=0.169</w:t>
            </w:r>
          </w:p>
        </w:tc>
      </w:tr>
      <w:tr w:rsidR="00D7329B" w:rsidRPr="00D7329B" w14:paraId="1265D725" w14:textId="77777777" w:rsidTr="00D7329B">
        <w:tc>
          <w:tcPr>
            <w:tcW w:w="3403" w:type="dxa"/>
            <w:vAlign w:val="center"/>
          </w:tcPr>
          <w:p w14:paraId="61DA25DE" w14:textId="522100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WARNING</w:t>
            </w:r>
          </w:p>
        </w:tc>
        <w:tc>
          <w:tcPr>
            <w:tcW w:w="2693" w:type="dxa"/>
            <w:vAlign w:val="center"/>
          </w:tcPr>
          <w:p w14:paraId="08EB97A9" w14:textId="3A2DE01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0.971 (0.939–1.003); p=0.078</w:t>
            </w:r>
          </w:p>
        </w:tc>
        <w:tc>
          <w:tcPr>
            <w:tcW w:w="2693" w:type="dxa"/>
            <w:vAlign w:val="center"/>
          </w:tcPr>
          <w:p w14:paraId="5125D1FC" w14:textId="07BE0B1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0.978 (0.96–0.996); p=0.015</w:t>
            </w:r>
          </w:p>
        </w:tc>
        <w:tc>
          <w:tcPr>
            <w:tcW w:w="2552" w:type="dxa"/>
            <w:vAlign w:val="center"/>
          </w:tcPr>
          <w:p w14:paraId="32F5951A" w14:textId="469989C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0.983 (0.97–0.995); p=0.007</w:t>
            </w:r>
          </w:p>
        </w:tc>
      </w:tr>
      <w:tr w:rsidR="00D7329B" w:rsidRPr="00D7329B" w14:paraId="30445214" w14:textId="77777777" w:rsidTr="00D7329B">
        <w:tc>
          <w:tcPr>
            <w:tcW w:w="3403" w:type="dxa"/>
            <w:vAlign w:val="center"/>
          </w:tcPr>
          <w:p w14:paraId="67FB71F8" w14:textId="6643A8B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CRISIS</w:t>
            </w:r>
          </w:p>
        </w:tc>
        <w:tc>
          <w:tcPr>
            <w:tcW w:w="2693" w:type="dxa"/>
            <w:vAlign w:val="center"/>
          </w:tcPr>
          <w:p w14:paraId="34501488" w14:textId="2301C90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1.007 (0.955–1.062); p=0.791</w:t>
            </w:r>
          </w:p>
        </w:tc>
        <w:tc>
          <w:tcPr>
            <w:tcW w:w="2693" w:type="dxa"/>
            <w:vAlign w:val="center"/>
          </w:tcPr>
          <w:p w14:paraId="7F306C49" w14:textId="5F8EE3F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 (0.972–1.029); p=0.999</w:t>
            </w:r>
          </w:p>
        </w:tc>
        <w:tc>
          <w:tcPr>
            <w:tcW w:w="2552" w:type="dxa"/>
            <w:vAlign w:val="center"/>
          </w:tcPr>
          <w:p w14:paraId="7FB72646" w14:textId="23AFB4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0.998 (0.978–1.019); p=0.868</w:t>
            </w:r>
          </w:p>
        </w:tc>
      </w:tr>
      <w:tr w:rsidR="00D7329B" w:rsidRPr="00D7329B" w14:paraId="1738434F" w14:textId="77777777" w:rsidTr="00D7329B">
        <w:tc>
          <w:tcPr>
            <w:tcW w:w="3403" w:type="dxa"/>
            <w:vAlign w:val="center"/>
          </w:tcPr>
          <w:p w14:paraId="480D8C7A" w14:textId="23961BE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Covariates</w:t>
            </w:r>
          </w:p>
        </w:tc>
        <w:tc>
          <w:tcPr>
            <w:tcW w:w="2693" w:type="dxa"/>
            <w:vAlign w:val="center"/>
          </w:tcPr>
          <w:p w14:paraId="4AD2FB89" w14:textId="55A9F4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1B08A118" w14:textId="2A0A266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3518E5E5" w14:textId="625274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1BCC94A" w14:textId="77777777" w:rsidTr="00D7329B">
        <w:tc>
          <w:tcPr>
            <w:tcW w:w="3403" w:type="dxa"/>
            <w:vAlign w:val="center"/>
          </w:tcPr>
          <w:p w14:paraId="647ADB41" w14:textId="239111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Zone: </w:t>
            </w:r>
            <w:proofErr w:type="gramStart"/>
            <w:r w:rsidRPr="00D7329B">
              <w:rPr>
                <w:rFonts w:ascii="Times New Roman" w:eastAsia="Yu Gothic" w:hAnsi="Times New Roman" w:cs="Times New Roman"/>
                <w:color w:val="000000"/>
                <w:sz w:val="22"/>
                <w:szCs w:val="22"/>
              </w:rPr>
              <w:t>high-acuity</w:t>
            </w:r>
            <w:proofErr w:type="gramEnd"/>
            <w:r w:rsidRPr="00D7329B">
              <w:rPr>
                <w:rFonts w:ascii="Times New Roman" w:eastAsia="Yu Gothic" w:hAnsi="Times New Roman" w:cs="Times New Roman"/>
                <w:color w:val="000000"/>
                <w:sz w:val="22"/>
                <w:szCs w:val="22"/>
              </w:rPr>
              <w:t xml:space="preserve"> (ref: general)</w:t>
            </w:r>
          </w:p>
        </w:tc>
        <w:tc>
          <w:tcPr>
            <w:tcW w:w="2693" w:type="dxa"/>
            <w:vAlign w:val="center"/>
          </w:tcPr>
          <w:p w14:paraId="583A373C" w14:textId="15C2B696"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1.454 (0.966–2.191); p=0.073</w:t>
            </w:r>
          </w:p>
        </w:tc>
        <w:tc>
          <w:tcPr>
            <w:tcW w:w="2693" w:type="dxa"/>
            <w:vAlign w:val="center"/>
          </w:tcPr>
          <w:p w14:paraId="4C65E4D8" w14:textId="4ECC877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1.461 (0.971–2.198); p=0.069</w:t>
            </w:r>
          </w:p>
        </w:tc>
        <w:tc>
          <w:tcPr>
            <w:tcW w:w="2552" w:type="dxa"/>
            <w:vAlign w:val="center"/>
          </w:tcPr>
          <w:p w14:paraId="7C090975" w14:textId="7528C39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1.466 (0.976–2.203); p=0.066</w:t>
            </w:r>
          </w:p>
        </w:tc>
      </w:tr>
      <w:tr w:rsidR="00D7329B" w:rsidRPr="00D7329B" w14:paraId="751CE286" w14:textId="77777777" w:rsidTr="00D7329B">
        <w:tc>
          <w:tcPr>
            <w:tcW w:w="3403" w:type="dxa"/>
            <w:vAlign w:val="center"/>
          </w:tcPr>
          <w:p w14:paraId="4282D20E" w14:textId="33FDCCD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evening (ref: day)</w:t>
            </w:r>
          </w:p>
        </w:tc>
        <w:tc>
          <w:tcPr>
            <w:tcW w:w="2693" w:type="dxa"/>
            <w:vAlign w:val="center"/>
          </w:tcPr>
          <w:p w14:paraId="2FC14971" w14:textId="144D282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0.782 (0.708–0.864); p&lt;0.001</w:t>
            </w:r>
          </w:p>
        </w:tc>
        <w:tc>
          <w:tcPr>
            <w:tcW w:w="2693" w:type="dxa"/>
            <w:vAlign w:val="center"/>
          </w:tcPr>
          <w:p w14:paraId="252B432D" w14:textId="195A3D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 (0.706–0.861); p&lt;0.001</w:t>
            </w:r>
          </w:p>
        </w:tc>
        <w:tc>
          <w:tcPr>
            <w:tcW w:w="2552" w:type="dxa"/>
            <w:vAlign w:val="center"/>
          </w:tcPr>
          <w:p w14:paraId="07BCE7FF" w14:textId="07EEB52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0.777 (0.703–0.858); p&lt;0.001</w:t>
            </w:r>
          </w:p>
        </w:tc>
      </w:tr>
      <w:tr w:rsidR="00D7329B" w:rsidRPr="00D7329B" w14:paraId="3D580F33" w14:textId="77777777" w:rsidTr="00D7329B">
        <w:tc>
          <w:tcPr>
            <w:tcW w:w="3403" w:type="dxa"/>
            <w:vAlign w:val="center"/>
          </w:tcPr>
          <w:p w14:paraId="702B140E" w14:textId="13658EA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night (ref: day)</w:t>
            </w:r>
          </w:p>
        </w:tc>
        <w:tc>
          <w:tcPr>
            <w:tcW w:w="2693" w:type="dxa"/>
            <w:vAlign w:val="center"/>
          </w:tcPr>
          <w:p w14:paraId="3FAD5426" w14:textId="10D0EFF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1.467 (1.372–1.568); p&lt;0.001</w:t>
            </w:r>
          </w:p>
        </w:tc>
        <w:tc>
          <w:tcPr>
            <w:tcW w:w="2693" w:type="dxa"/>
            <w:vAlign w:val="center"/>
          </w:tcPr>
          <w:p w14:paraId="77820167" w14:textId="08B491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1.459 (1.365–1.56); p&lt;0.001</w:t>
            </w:r>
          </w:p>
        </w:tc>
        <w:tc>
          <w:tcPr>
            <w:tcW w:w="2552" w:type="dxa"/>
            <w:vAlign w:val="center"/>
          </w:tcPr>
          <w:p w14:paraId="517CD72F" w14:textId="6BEA3F6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 (1.356–1.55); p&lt;0.001</w:t>
            </w:r>
          </w:p>
        </w:tc>
      </w:tr>
      <w:tr w:rsidR="00D7329B" w:rsidRPr="00D7329B" w14:paraId="42937371" w14:textId="77777777" w:rsidTr="00D7329B">
        <w:tc>
          <w:tcPr>
            <w:tcW w:w="3403" w:type="dxa"/>
            <w:vAlign w:val="center"/>
          </w:tcPr>
          <w:p w14:paraId="764BEB4B" w14:textId="59337194"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Weekend (ref: weekday)</w:t>
            </w:r>
          </w:p>
        </w:tc>
        <w:tc>
          <w:tcPr>
            <w:tcW w:w="2693" w:type="dxa"/>
            <w:vAlign w:val="center"/>
          </w:tcPr>
          <w:p w14:paraId="598E9F4B" w14:textId="7C147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1.147 (1.07–1.229); p&lt;0.001</w:t>
            </w:r>
          </w:p>
        </w:tc>
        <w:tc>
          <w:tcPr>
            <w:tcW w:w="2693" w:type="dxa"/>
            <w:vAlign w:val="center"/>
          </w:tcPr>
          <w:p w14:paraId="4F81F49C" w14:textId="2E06DF1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1.141 (1.065–1.222); p&lt;0.001</w:t>
            </w:r>
          </w:p>
        </w:tc>
        <w:tc>
          <w:tcPr>
            <w:tcW w:w="2552" w:type="dxa"/>
            <w:vAlign w:val="center"/>
          </w:tcPr>
          <w:p w14:paraId="4791E1E2" w14:textId="54CAF6D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1.137 (1.061–1.219); p&lt;0.001</w:t>
            </w:r>
          </w:p>
        </w:tc>
      </w:tr>
      <w:tr w:rsidR="00D7329B" w:rsidRPr="00D7329B" w14:paraId="4E90F9FD" w14:textId="77777777" w:rsidTr="00D7329B">
        <w:tc>
          <w:tcPr>
            <w:tcW w:w="3403" w:type="dxa"/>
            <w:vAlign w:val="center"/>
          </w:tcPr>
          <w:p w14:paraId="2DC095D0" w14:textId="16DD328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Ward: West 11 (ref: West 10)</w:t>
            </w:r>
          </w:p>
        </w:tc>
        <w:tc>
          <w:tcPr>
            <w:tcW w:w="2693" w:type="dxa"/>
            <w:vAlign w:val="center"/>
          </w:tcPr>
          <w:p w14:paraId="50400548" w14:textId="4C11E54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1.507 (1.021–2.224); p=0.039</w:t>
            </w:r>
          </w:p>
        </w:tc>
        <w:tc>
          <w:tcPr>
            <w:tcW w:w="2693" w:type="dxa"/>
            <w:vAlign w:val="center"/>
          </w:tcPr>
          <w:p w14:paraId="43178841" w14:textId="224943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1.489 (1.01–2.195); p=0.044</w:t>
            </w:r>
          </w:p>
        </w:tc>
        <w:tc>
          <w:tcPr>
            <w:tcW w:w="2552" w:type="dxa"/>
            <w:vAlign w:val="center"/>
          </w:tcPr>
          <w:p w14:paraId="78D2EB12" w14:textId="2E3AD23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1.485 (1.008–2.187); p=0.045</w:t>
            </w:r>
          </w:p>
        </w:tc>
      </w:tr>
      <w:tr w:rsidR="00D7329B" w:rsidRPr="00D7329B" w14:paraId="49341090" w14:textId="77777777" w:rsidTr="00D7329B">
        <w:tc>
          <w:tcPr>
            <w:tcW w:w="3403" w:type="dxa"/>
            <w:vAlign w:val="center"/>
          </w:tcPr>
          <w:p w14:paraId="2AD340B1" w14:textId="1942645A"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AIC</w:t>
            </w:r>
          </w:p>
        </w:tc>
        <w:tc>
          <w:tcPr>
            <w:tcW w:w="2693" w:type="dxa"/>
            <w:vAlign w:val="center"/>
          </w:tcPr>
          <w:p w14:paraId="0565A1B8" w14:textId="4E2F40B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31672.8</w:t>
            </w:r>
          </w:p>
        </w:tc>
        <w:tc>
          <w:tcPr>
            <w:tcW w:w="2693" w:type="dxa"/>
            <w:vAlign w:val="center"/>
          </w:tcPr>
          <w:p w14:paraId="26F9B409" w14:textId="4FCC5D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31653.3</w:t>
            </w:r>
          </w:p>
        </w:tc>
        <w:tc>
          <w:tcPr>
            <w:tcW w:w="2552" w:type="dxa"/>
            <w:vAlign w:val="center"/>
          </w:tcPr>
          <w:p w14:paraId="547C8CD8" w14:textId="50192CC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31652</w:t>
            </w:r>
          </w:p>
        </w:tc>
      </w:tr>
    </w:tbl>
    <w:p w14:paraId="56FCB696" w14:textId="77777777" w:rsidR="00340148"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Results of mixed-effects logistic regression models with bed-level random intercepts, estimated using three definitions of alarm burden: the number of clinical alarms in the same ward in the preceding 15, 30, or</w:t>
      </w:r>
      <w:r>
        <w:rPr>
          <w:rFonts w:ascii="Times New Roman" w:hAnsi="Times New Roman" w:cs="Times New Roman"/>
          <w:sz w:val="22"/>
          <w:szCs w:val="22"/>
        </w:rPr>
        <w:t xml:space="preserve"> </w:t>
      </w:r>
      <w:r w:rsidRPr="00340148">
        <w:rPr>
          <w:rFonts w:ascii="Times New Roman" w:hAnsi="Times New Roman" w:cs="Times New Roman"/>
          <w:sz w:val="22"/>
          <w:szCs w:val="22"/>
        </w:rPr>
        <w:t>45 minutes (excluding the index alarm). The outcome is nurse-initiated alarm silencing (yes/no). Interaction terms test whether the effect of alarm burden on silencing probability differs by priority level. The</w:t>
      </w:r>
      <w:r>
        <w:rPr>
          <w:rFonts w:ascii="Times New Roman" w:hAnsi="Times New Roman" w:cs="Times New Roman"/>
          <w:sz w:val="22"/>
          <w:szCs w:val="22"/>
        </w:rPr>
        <w:t xml:space="preserve"> </w:t>
      </w:r>
      <w:r w:rsidRPr="00340148">
        <w:rPr>
          <w:rFonts w:ascii="Times New Roman" w:hAnsi="Times New Roman" w:cs="Times New Roman"/>
          <w:sz w:val="22"/>
          <w:szCs w:val="22"/>
        </w:rPr>
        <w:t>30-minute window was selected as the primary analysis window based on clinical plausibility (30 minutes approximates a typical nursing care cycle); the AIC difference between the 30-minute and 45-minute windows was negligible (ΔAIC = 1.3). Results were consistent in direction across all time windows: CRISIS alarms showed no significant attenuation of silencing response with increasing burden (p = 0.868–0.999), and WARNING alarms showed a negative association that reached significance in the 30-minute and 45-minute windows (p = 0.007–0.015), supporting the robustness of the primary findings.</w:t>
      </w:r>
      <w:r>
        <w:rPr>
          <w:rFonts w:ascii="Times New Roman" w:hAnsi="Times New Roman" w:cs="Times New Roman"/>
          <w:sz w:val="22"/>
          <w:szCs w:val="22"/>
        </w:rPr>
        <w:t xml:space="preserve"> </w:t>
      </w:r>
    </w:p>
    <w:p w14:paraId="4DF32AE3" w14:textId="6783D8E6" w:rsidR="006A56D3"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 xml:space="preserve">OR = odds ratio; CI = confidence interval; AIC = Akaike information criterion.                                                                                          N = 59,113 clinical alarms (July 15 – September 9, 2025).   </w:t>
      </w:r>
      <w:r w:rsidR="006A56D3">
        <w:rPr>
          <w:rFonts w:ascii="Times New Roman" w:hAnsi="Times New Roman" w:cs="Times New Roman" w:hint="eastAsia"/>
          <w:sz w:val="22"/>
          <w:szCs w:val="22"/>
        </w:rPr>
        <w:br w:type="page"/>
      </w:r>
    </w:p>
    <w:p w14:paraId="0173F154" w14:textId="1CF45A18"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3</w:t>
      </w:r>
      <w:r>
        <w:rPr>
          <w:rFonts w:ascii="Times New Roman" w:hAnsi="Times New Roman" w:cs="Times New Roman"/>
          <w:sz w:val="22"/>
          <w:szCs w:val="22"/>
        </w:rPr>
        <w:t xml:space="preserve">.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E737BDE" w:rsidR="002A5A14" w:rsidRDefault="006C6C46" w:rsidP="0069413C">
      <w:pPr>
        <w:tabs>
          <w:tab w:val="left" w:pos="1196"/>
        </w:tabs>
        <w:rPr>
          <w:rFonts w:ascii="Times New Roman" w:hAnsi="Times New Roman" w:cs="Times New Roman"/>
          <w:sz w:val="22"/>
          <w:szCs w:val="22"/>
        </w:rPr>
      </w:pPr>
      <w:r w:rsidRPr="006C6C46">
        <w:rPr>
          <w:rFonts w:ascii="Times New Roman" w:hAnsi="Times New Roman" w:cs="Times New Roman"/>
          <w:sz w:val="22"/>
          <w:szCs w:val="22"/>
        </w:rPr>
        <w:lastRenderedPageBreak/>
        <w:t>Figure S1. Temporal distribution of alarm events by alarm type and hour of day</w:t>
      </w:r>
    </w:p>
    <w:p w14:paraId="4EB1C74F" w14:textId="0D27F9E4" w:rsidR="002A5A14" w:rsidRDefault="0040344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AA67B0" wp14:editId="029C1E87">
            <wp:extent cx="2882900" cy="2971800"/>
            <wp:effectExtent l="0" t="0" r="0" b="0"/>
            <wp:docPr id="93446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85" name="図 9344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2900" cy="2971800"/>
                    </a:xfrm>
                    <a:prstGeom prst="rect">
                      <a:avLst/>
                    </a:prstGeom>
                  </pic:spPr>
                </pic:pic>
              </a:graphicData>
            </a:graphic>
          </wp:inline>
        </w:drawing>
      </w:r>
    </w:p>
    <w:p w14:paraId="77C13D20" w14:textId="4E926579" w:rsidR="002D7068" w:rsidRDefault="006C6C46" w:rsidP="0060551A">
      <w:pPr>
        <w:widowControl/>
        <w:jc w:val="left"/>
        <w:rPr>
          <w:rFonts w:ascii="Times New Roman" w:hAnsi="Times New Roman" w:cs="Times New Roman"/>
          <w:sz w:val="22"/>
          <w:szCs w:val="22"/>
        </w:rPr>
      </w:pPr>
      <w:r w:rsidRPr="006C6C46">
        <w:rPr>
          <w:rFonts w:ascii="Times New Roman" w:hAnsi="Times New Roman" w:cs="Times New Roman"/>
          <w:sz w:val="22"/>
          <w:szCs w:val="22"/>
        </w:rPr>
        <w:t xml:space="preserve">Two-panel heatmap showing the distribution of all alarm events across hours of the day (x-axis, 3-hour intervals) and days of the week (y-axis, Monday to Sunday), stratified by alarm type: Technical alarms (upper panel, yellow; n = 134,739) and Clinical alarms (lower panel, blue; n = 59,113). Each cell represents the total alarm count for that hour–day combination over the 57-day observation period (July 15 –September 9, 2025). Color scales are independent between panels to reflect the substantial difference in total counts. Technical alarms show marked daytime clustering, particularly on weekdays, consistent with care-related device interactions; clinical alarms exhibit a more uniform distribution across hours.     </w:t>
      </w:r>
      <w:r w:rsidR="002A5A14">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5703E7D8" w:rsidR="003F2DF3"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p w14:paraId="4BE21B11" w14:textId="77777777" w:rsidR="003F2DF3" w:rsidRDefault="003F2DF3">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293E5306" w14:textId="7AE09AE5" w:rsidR="00066A11" w:rsidRDefault="003F2DF3"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Pr>
          <w:rFonts w:ascii="Times New Roman" w:hAnsi="Times New Roman" w:cs="Times New Roman" w:hint="eastAsia"/>
          <w:sz w:val="22"/>
          <w:szCs w:val="22"/>
        </w:rPr>
        <w:t>4</w:t>
      </w:r>
      <w:r>
        <w:rPr>
          <w:rFonts w:ascii="Times New Roman" w:hAnsi="Times New Roman" w:cs="Times New Roman"/>
          <w:sz w:val="22"/>
          <w:szCs w:val="22"/>
        </w:rPr>
        <w:t xml:space="preserve">. </w:t>
      </w:r>
      <w:r w:rsidR="00587987" w:rsidRPr="00587987">
        <w:rPr>
          <w:rFonts w:ascii="Times New Roman" w:hAnsi="Times New Roman" w:cs="Times New Roman"/>
          <w:sz w:val="22"/>
          <w:szCs w:val="22"/>
        </w:rPr>
        <w:t>Sensitivity Analysis: Mixed-effects Logistic Regression Model Including Lagged Alarm Burden (1–2 Hours Prior)</w:t>
      </w:r>
    </w:p>
    <w:tbl>
      <w:tblPr>
        <w:tblStyle w:val="aa"/>
        <w:tblW w:w="0" w:type="auto"/>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40"/>
        <w:gridCol w:w="2365"/>
      </w:tblGrid>
      <w:tr w:rsidR="00587987" w:rsidRPr="00587987" w14:paraId="416DA992" w14:textId="77777777" w:rsidTr="00587987">
        <w:tc>
          <w:tcPr>
            <w:tcW w:w="4962" w:type="dxa"/>
            <w:tcBorders>
              <w:top w:val="single" w:sz="4" w:space="0" w:color="auto"/>
              <w:bottom w:val="single" w:sz="4" w:space="0" w:color="auto"/>
            </w:tcBorders>
            <w:vAlign w:val="center"/>
          </w:tcPr>
          <w:p w14:paraId="74FB6A65" w14:textId="4BBF447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Variable</w:t>
            </w:r>
          </w:p>
        </w:tc>
        <w:tc>
          <w:tcPr>
            <w:tcW w:w="2840" w:type="dxa"/>
            <w:tcBorders>
              <w:top w:val="single" w:sz="4" w:space="0" w:color="auto"/>
              <w:bottom w:val="single" w:sz="4" w:space="0" w:color="auto"/>
            </w:tcBorders>
            <w:vAlign w:val="center"/>
          </w:tcPr>
          <w:p w14:paraId="6C2D98AE" w14:textId="49776A0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OR (95% CI)</w:t>
            </w:r>
          </w:p>
        </w:tc>
        <w:tc>
          <w:tcPr>
            <w:tcW w:w="2365" w:type="dxa"/>
            <w:tcBorders>
              <w:top w:val="single" w:sz="4" w:space="0" w:color="auto"/>
              <w:bottom w:val="single" w:sz="4" w:space="0" w:color="auto"/>
            </w:tcBorders>
          </w:tcPr>
          <w:p w14:paraId="2C472BF2" w14:textId="5CD2F517"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p-value</w:t>
            </w:r>
          </w:p>
        </w:tc>
      </w:tr>
      <w:tr w:rsidR="00587987" w:rsidRPr="00587987" w14:paraId="21A5B0CE" w14:textId="77777777" w:rsidTr="00587987">
        <w:tc>
          <w:tcPr>
            <w:tcW w:w="4962" w:type="dxa"/>
            <w:tcBorders>
              <w:top w:val="single" w:sz="4" w:space="0" w:color="auto"/>
            </w:tcBorders>
            <w:vAlign w:val="center"/>
          </w:tcPr>
          <w:p w14:paraId="270F2AE5" w14:textId="568224B7"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Alarm priority (ref: ADVISORY)</w:t>
            </w:r>
          </w:p>
        </w:tc>
        <w:tc>
          <w:tcPr>
            <w:tcW w:w="2840" w:type="dxa"/>
            <w:tcBorders>
              <w:top w:val="single" w:sz="4" w:space="0" w:color="auto"/>
            </w:tcBorders>
            <w:vAlign w:val="center"/>
          </w:tcPr>
          <w:p w14:paraId="0BED5967" w14:textId="59C76E7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Borders>
              <w:top w:val="single" w:sz="4" w:space="0" w:color="auto"/>
            </w:tcBorders>
          </w:tcPr>
          <w:p w14:paraId="2B8B7F77"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4C87656E" w14:textId="77777777" w:rsidTr="00587987">
        <w:tc>
          <w:tcPr>
            <w:tcW w:w="4962" w:type="dxa"/>
            <w:vAlign w:val="center"/>
          </w:tcPr>
          <w:p w14:paraId="6C7C87A1" w14:textId="52E60AAC"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WARNING</w:t>
            </w:r>
          </w:p>
        </w:tc>
        <w:tc>
          <w:tcPr>
            <w:tcW w:w="2840" w:type="dxa"/>
            <w:vAlign w:val="center"/>
          </w:tcPr>
          <w:p w14:paraId="006C1F8E" w14:textId="09C0B44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4.961 (3.374–7.295)</w:t>
            </w:r>
          </w:p>
        </w:tc>
        <w:tc>
          <w:tcPr>
            <w:tcW w:w="2365" w:type="dxa"/>
          </w:tcPr>
          <w:p w14:paraId="4F034BFF" w14:textId="6F1F5806"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36B8C0E7" w14:textId="77777777" w:rsidTr="00587987">
        <w:tc>
          <w:tcPr>
            <w:tcW w:w="4962" w:type="dxa"/>
            <w:vAlign w:val="center"/>
          </w:tcPr>
          <w:p w14:paraId="014B1291" w14:textId="166855C0"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CRISIS</w:t>
            </w:r>
          </w:p>
        </w:tc>
        <w:tc>
          <w:tcPr>
            <w:tcW w:w="2840" w:type="dxa"/>
            <w:vAlign w:val="center"/>
          </w:tcPr>
          <w:p w14:paraId="381403D7" w14:textId="1686341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75.157 (40.572–139.224)</w:t>
            </w:r>
          </w:p>
        </w:tc>
        <w:tc>
          <w:tcPr>
            <w:tcW w:w="2365" w:type="dxa"/>
          </w:tcPr>
          <w:p w14:paraId="72E42DAA" w14:textId="5F44827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566EC39B" w14:textId="77777777" w:rsidTr="00587987">
        <w:tc>
          <w:tcPr>
            <w:tcW w:w="4962" w:type="dxa"/>
            <w:vAlign w:val="center"/>
          </w:tcPr>
          <w:p w14:paraId="68CD3834" w14:textId="2A6F18C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Immediate alarm burden × priority interaction</w:t>
            </w:r>
          </w:p>
        </w:tc>
        <w:tc>
          <w:tcPr>
            <w:tcW w:w="2840" w:type="dxa"/>
            <w:vAlign w:val="center"/>
          </w:tcPr>
          <w:p w14:paraId="23F21E60" w14:textId="031563C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1A84098A"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7C58ABEE" w14:textId="77777777" w:rsidTr="00587987">
        <w:tc>
          <w:tcPr>
            <w:tcW w:w="4962" w:type="dxa"/>
            <w:vAlign w:val="center"/>
          </w:tcPr>
          <w:p w14:paraId="7252EE4B" w14:textId="66A29872"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(ADVISORY)</w:t>
            </w:r>
          </w:p>
        </w:tc>
        <w:tc>
          <w:tcPr>
            <w:tcW w:w="2840" w:type="dxa"/>
            <w:vAlign w:val="center"/>
          </w:tcPr>
          <w:p w14:paraId="728C9D0B" w14:textId="514C20C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1.014 (0.996–1.032)</w:t>
            </w:r>
          </w:p>
        </w:tc>
        <w:tc>
          <w:tcPr>
            <w:tcW w:w="2365" w:type="dxa"/>
          </w:tcPr>
          <w:p w14:paraId="17719B1F" w14:textId="0157FA3B"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p=0.138</w:t>
            </w:r>
          </w:p>
        </w:tc>
      </w:tr>
      <w:tr w:rsidR="00587987" w:rsidRPr="00587987" w14:paraId="51844788" w14:textId="77777777" w:rsidTr="00587987">
        <w:tc>
          <w:tcPr>
            <w:tcW w:w="4962" w:type="dxa"/>
            <w:vAlign w:val="center"/>
          </w:tcPr>
          <w:p w14:paraId="70C8C816" w14:textId="7112119A"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WARNING</w:t>
            </w:r>
          </w:p>
        </w:tc>
        <w:tc>
          <w:tcPr>
            <w:tcW w:w="2840" w:type="dxa"/>
            <w:vAlign w:val="center"/>
          </w:tcPr>
          <w:p w14:paraId="61B0F325" w14:textId="40C76AE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0.977 (0.96–0.995)</w:t>
            </w:r>
          </w:p>
        </w:tc>
        <w:tc>
          <w:tcPr>
            <w:tcW w:w="2365" w:type="dxa"/>
          </w:tcPr>
          <w:p w14:paraId="5C6CB5B8" w14:textId="1734F4B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p=0.012</w:t>
            </w:r>
          </w:p>
        </w:tc>
      </w:tr>
      <w:tr w:rsidR="00587987" w:rsidRPr="00587987" w14:paraId="3FC141DF" w14:textId="77777777" w:rsidTr="00587987">
        <w:tc>
          <w:tcPr>
            <w:tcW w:w="4962" w:type="dxa"/>
            <w:vAlign w:val="center"/>
          </w:tcPr>
          <w:p w14:paraId="5AB917A1" w14:textId="1BA0860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CRISIS</w:t>
            </w:r>
          </w:p>
        </w:tc>
        <w:tc>
          <w:tcPr>
            <w:tcW w:w="2840" w:type="dxa"/>
            <w:vAlign w:val="center"/>
          </w:tcPr>
          <w:p w14:paraId="09CC528F" w14:textId="226E6FD2"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 (0.972–1.029)</w:t>
            </w:r>
          </w:p>
        </w:tc>
        <w:tc>
          <w:tcPr>
            <w:tcW w:w="2365" w:type="dxa"/>
          </w:tcPr>
          <w:p w14:paraId="7E87EDF8" w14:textId="53E746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p=0.988</w:t>
            </w:r>
          </w:p>
        </w:tc>
      </w:tr>
      <w:tr w:rsidR="00587987" w:rsidRPr="00587987" w14:paraId="20BFD7BC" w14:textId="77777777" w:rsidTr="00587987">
        <w:tc>
          <w:tcPr>
            <w:tcW w:w="4962" w:type="dxa"/>
            <w:vAlign w:val="center"/>
          </w:tcPr>
          <w:p w14:paraId="7408EEBC" w14:textId="575BC06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Lagged alarm burden (1–2 hours prior)</w:t>
            </w:r>
          </w:p>
        </w:tc>
        <w:tc>
          <w:tcPr>
            <w:tcW w:w="2840" w:type="dxa"/>
            <w:vAlign w:val="center"/>
          </w:tcPr>
          <w:p w14:paraId="15BBA3A0" w14:textId="75F21FFD"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5A80F83B"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61E52910" w14:textId="77777777" w:rsidTr="00587987">
        <w:tc>
          <w:tcPr>
            <w:tcW w:w="4962" w:type="dxa"/>
            <w:vAlign w:val="center"/>
          </w:tcPr>
          <w:p w14:paraId="7AC41B23" w14:textId="64C2198E"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lagged (ADVISORY)</w:t>
            </w:r>
          </w:p>
        </w:tc>
        <w:tc>
          <w:tcPr>
            <w:tcW w:w="2840" w:type="dxa"/>
            <w:vAlign w:val="center"/>
          </w:tcPr>
          <w:p w14:paraId="505217BB" w14:textId="16ACB294"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0.997 (0.996–0.999)</w:t>
            </w:r>
          </w:p>
        </w:tc>
        <w:tc>
          <w:tcPr>
            <w:tcW w:w="2365" w:type="dxa"/>
          </w:tcPr>
          <w:p w14:paraId="78655119" w14:textId="1919364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29DAA86E" w14:textId="77777777" w:rsidTr="00587987">
        <w:tc>
          <w:tcPr>
            <w:tcW w:w="4962" w:type="dxa"/>
            <w:vAlign w:val="center"/>
          </w:tcPr>
          <w:p w14:paraId="2F6523C1" w14:textId="19716C2F"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Covariates</w:t>
            </w:r>
          </w:p>
        </w:tc>
        <w:tc>
          <w:tcPr>
            <w:tcW w:w="2840" w:type="dxa"/>
            <w:vAlign w:val="center"/>
          </w:tcPr>
          <w:p w14:paraId="56196DE4" w14:textId="2F50003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2899A84F" w14:textId="77777777" w:rsidR="00587987" w:rsidRPr="00587987" w:rsidRDefault="00587987" w:rsidP="00587987">
            <w:pPr>
              <w:widowControl/>
              <w:jc w:val="center"/>
              <w:rPr>
                <w:rFonts w:ascii="Times New Roman" w:hAnsi="Times New Roman" w:cs="Times New Roman"/>
                <w:sz w:val="22"/>
                <w:szCs w:val="22"/>
              </w:rPr>
            </w:pPr>
          </w:p>
        </w:tc>
      </w:tr>
      <w:tr w:rsidR="00587987" w:rsidRPr="00587987" w14:paraId="014F9D1B" w14:textId="77777777" w:rsidTr="00587987">
        <w:tc>
          <w:tcPr>
            <w:tcW w:w="4962" w:type="dxa"/>
            <w:vAlign w:val="center"/>
          </w:tcPr>
          <w:p w14:paraId="447C539C" w14:textId="2B263B11"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Zone: </w:t>
            </w:r>
            <w:proofErr w:type="gramStart"/>
            <w:r w:rsidRPr="00587987">
              <w:rPr>
                <w:rFonts w:ascii="Times New Roman" w:eastAsia="Yu Gothic" w:hAnsi="Times New Roman" w:cs="Times New Roman"/>
                <w:color w:val="000000"/>
                <w:sz w:val="22"/>
                <w:szCs w:val="22"/>
              </w:rPr>
              <w:t>high-acuity</w:t>
            </w:r>
            <w:proofErr w:type="gramEnd"/>
            <w:r w:rsidRPr="00587987">
              <w:rPr>
                <w:rFonts w:ascii="Times New Roman" w:eastAsia="Yu Gothic" w:hAnsi="Times New Roman" w:cs="Times New Roman"/>
                <w:color w:val="000000"/>
                <w:sz w:val="22"/>
                <w:szCs w:val="22"/>
              </w:rPr>
              <w:t xml:space="preserve"> (ref: general)</w:t>
            </w:r>
          </w:p>
        </w:tc>
        <w:tc>
          <w:tcPr>
            <w:tcW w:w="2840" w:type="dxa"/>
            <w:vAlign w:val="center"/>
          </w:tcPr>
          <w:p w14:paraId="70A064BB" w14:textId="3589EAB1"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1.468 (0.981–2.197)</w:t>
            </w:r>
          </w:p>
        </w:tc>
        <w:tc>
          <w:tcPr>
            <w:tcW w:w="2365" w:type="dxa"/>
          </w:tcPr>
          <w:p w14:paraId="54454AB3" w14:textId="3B692129"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p=0.062</w:t>
            </w:r>
          </w:p>
        </w:tc>
      </w:tr>
      <w:tr w:rsidR="00587987" w:rsidRPr="00587987" w14:paraId="3C9AE843" w14:textId="77777777" w:rsidTr="00587987">
        <w:tc>
          <w:tcPr>
            <w:tcW w:w="4962" w:type="dxa"/>
            <w:vAlign w:val="center"/>
          </w:tcPr>
          <w:p w14:paraId="664AD3BF" w14:textId="575A17C3"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evening (ref: day)</w:t>
            </w:r>
          </w:p>
        </w:tc>
        <w:tc>
          <w:tcPr>
            <w:tcW w:w="2840" w:type="dxa"/>
            <w:vAlign w:val="center"/>
          </w:tcPr>
          <w:p w14:paraId="5FAA3667" w14:textId="06FD5D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0.773 (0.7–0.854)</w:t>
            </w:r>
          </w:p>
        </w:tc>
        <w:tc>
          <w:tcPr>
            <w:tcW w:w="2365" w:type="dxa"/>
          </w:tcPr>
          <w:p w14:paraId="1FF607EE" w14:textId="6A17901A"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48DD7850" w14:textId="77777777" w:rsidTr="00587987">
        <w:tc>
          <w:tcPr>
            <w:tcW w:w="4962" w:type="dxa"/>
            <w:vAlign w:val="center"/>
          </w:tcPr>
          <w:p w14:paraId="1DCD3207" w14:textId="7D98526D"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night (ref: day)</w:t>
            </w:r>
          </w:p>
        </w:tc>
        <w:tc>
          <w:tcPr>
            <w:tcW w:w="2840" w:type="dxa"/>
            <w:vAlign w:val="center"/>
          </w:tcPr>
          <w:p w14:paraId="6404E84B" w14:textId="4109D7FE"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1.439 (1.346–1.539)</w:t>
            </w:r>
          </w:p>
        </w:tc>
        <w:tc>
          <w:tcPr>
            <w:tcW w:w="2365" w:type="dxa"/>
          </w:tcPr>
          <w:p w14:paraId="2B507677" w14:textId="1DA6191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587987" w:rsidRPr="00587987" w14:paraId="702DAF2E" w14:textId="77777777" w:rsidTr="00587987">
        <w:tc>
          <w:tcPr>
            <w:tcW w:w="4962" w:type="dxa"/>
            <w:vAlign w:val="center"/>
          </w:tcPr>
          <w:p w14:paraId="735D8108" w14:textId="0DF89435"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Weekend (ref: weekday)</w:t>
            </w:r>
          </w:p>
        </w:tc>
        <w:tc>
          <w:tcPr>
            <w:tcW w:w="2840" w:type="dxa"/>
            <w:vAlign w:val="center"/>
          </w:tcPr>
          <w:p w14:paraId="652C064A" w14:textId="31B0054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1.137 (1.061–1.218)</w:t>
            </w:r>
          </w:p>
        </w:tc>
        <w:tc>
          <w:tcPr>
            <w:tcW w:w="2365" w:type="dxa"/>
          </w:tcPr>
          <w:p w14:paraId="64FA44C9" w14:textId="01051910"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 &lt;0.001</w:t>
            </w:r>
          </w:p>
        </w:tc>
      </w:tr>
      <w:tr w:rsidR="00587987" w:rsidRPr="00587987" w14:paraId="7B6B70A2" w14:textId="77777777" w:rsidTr="00587987">
        <w:tc>
          <w:tcPr>
            <w:tcW w:w="4962" w:type="dxa"/>
            <w:vAlign w:val="center"/>
          </w:tcPr>
          <w:p w14:paraId="23A66196" w14:textId="6B45818B"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Ward: West 11 (ref: West 10)</w:t>
            </w:r>
          </w:p>
        </w:tc>
        <w:tc>
          <w:tcPr>
            <w:tcW w:w="2840" w:type="dxa"/>
            <w:vAlign w:val="center"/>
          </w:tcPr>
          <w:p w14:paraId="40FA844B" w14:textId="48C6BAF3"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1.474 (1.005–2.163)</w:t>
            </w:r>
          </w:p>
        </w:tc>
        <w:tc>
          <w:tcPr>
            <w:tcW w:w="2365" w:type="dxa"/>
          </w:tcPr>
          <w:p w14:paraId="65B2120D" w14:textId="04696FBF"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p=0.047</w:t>
            </w:r>
          </w:p>
        </w:tc>
      </w:tr>
      <w:tr w:rsidR="00587987" w:rsidRPr="00587987" w14:paraId="2F6EAEAC" w14:textId="77777777" w:rsidTr="00587987">
        <w:tc>
          <w:tcPr>
            <w:tcW w:w="4962" w:type="dxa"/>
            <w:vAlign w:val="center"/>
          </w:tcPr>
          <w:p w14:paraId="63CCF6FA" w14:textId="426BAC36" w:rsidR="00587987" w:rsidRPr="00587987" w:rsidRDefault="00587987" w:rsidP="00587987">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AIC</w:t>
            </w:r>
          </w:p>
        </w:tc>
        <w:tc>
          <w:tcPr>
            <w:tcW w:w="2840" w:type="dxa"/>
            <w:vAlign w:val="center"/>
          </w:tcPr>
          <w:p w14:paraId="492BC5E3" w14:textId="37BA6DD5" w:rsidR="00587987" w:rsidRPr="00587987" w:rsidRDefault="00587987" w:rsidP="00587987">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31640.3</w:t>
            </w:r>
          </w:p>
        </w:tc>
        <w:tc>
          <w:tcPr>
            <w:tcW w:w="2365" w:type="dxa"/>
          </w:tcPr>
          <w:p w14:paraId="2F5372FA" w14:textId="77777777" w:rsidR="00587987" w:rsidRPr="00587987" w:rsidRDefault="00587987" w:rsidP="00587987">
            <w:pPr>
              <w:widowControl/>
              <w:jc w:val="center"/>
              <w:rPr>
                <w:rFonts w:ascii="Times New Roman" w:hAnsi="Times New Roman" w:cs="Times New Roman"/>
                <w:sz w:val="22"/>
                <w:szCs w:val="22"/>
              </w:rPr>
            </w:pPr>
          </w:p>
        </w:tc>
      </w:tr>
    </w:tbl>
    <w:p w14:paraId="30B6E9F6" w14:textId="0E525F4B" w:rsidR="00587987" w:rsidRPr="006E750B" w:rsidRDefault="00587987" w:rsidP="00587987">
      <w:pPr>
        <w:widowControl/>
        <w:jc w:val="left"/>
        <w:rPr>
          <w:rFonts w:ascii="Times New Roman" w:hAnsi="Times New Roman" w:cs="Times New Roman"/>
          <w:sz w:val="22"/>
          <w:szCs w:val="22"/>
        </w:rPr>
      </w:pPr>
      <w:r w:rsidRPr="00587987">
        <w:rPr>
          <w:rFonts w:ascii="Times New Roman" w:hAnsi="Times New Roman" w:cs="Times New Roman"/>
          <w:sz w:val="22"/>
          <w:szCs w:val="22"/>
        </w:rPr>
        <w:t xml:space="preserve">This model extends the primary analysis (Table 3) by adding alarm burden measured 1–2 hours prior to each alarm event as an additional covariate, to examine cumulative fatigue effects distinct from immediate alarm load. Immediate burden × priority interactions and all covariates from the primary model were retained. </w:t>
      </w:r>
      <w:r>
        <w:rPr>
          <w:rFonts w:ascii="Times New Roman" w:hAnsi="Times New Roman" w:cs="Times New Roman"/>
          <w:sz w:val="22"/>
          <w:szCs w:val="22"/>
        </w:rPr>
        <w:br/>
      </w:r>
      <w:r w:rsidRPr="00587987">
        <w:rPr>
          <w:rFonts w:ascii="Times New Roman" w:hAnsi="Times New Roman" w:cs="Times New Roman"/>
          <w:sz w:val="22"/>
          <w:szCs w:val="22"/>
        </w:rPr>
        <w:t>OR = odds ratio; CI = confidence interval. Random intercepts were specified at the bed level. AIC = Akaike Information Criterion.</w:t>
      </w:r>
    </w:p>
    <w:sectPr w:rsidR="00587987" w:rsidRPr="006E750B"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D6031"/>
    <w:rsid w:val="000F62E7"/>
    <w:rsid w:val="0010351D"/>
    <w:rsid w:val="00176C57"/>
    <w:rsid w:val="00177447"/>
    <w:rsid w:val="0019632E"/>
    <w:rsid w:val="001C2220"/>
    <w:rsid w:val="001D3F68"/>
    <w:rsid w:val="001E3BD0"/>
    <w:rsid w:val="00202195"/>
    <w:rsid w:val="00253B93"/>
    <w:rsid w:val="00287A03"/>
    <w:rsid w:val="002A5A14"/>
    <w:rsid w:val="002D7068"/>
    <w:rsid w:val="00302883"/>
    <w:rsid w:val="00312D1C"/>
    <w:rsid w:val="00323139"/>
    <w:rsid w:val="00340148"/>
    <w:rsid w:val="00357DC8"/>
    <w:rsid w:val="00366F68"/>
    <w:rsid w:val="00393042"/>
    <w:rsid w:val="003F2DF3"/>
    <w:rsid w:val="00403444"/>
    <w:rsid w:val="00434360"/>
    <w:rsid w:val="00440FCD"/>
    <w:rsid w:val="00455BB0"/>
    <w:rsid w:val="004B2F1E"/>
    <w:rsid w:val="004D4255"/>
    <w:rsid w:val="00560854"/>
    <w:rsid w:val="005869B0"/>
    <w:rsid w:val="00587987"/>
    <w:rsid w:val="0060551A"/>
    <w:rsid w:val="00657277"/>
    <w:rsid w:val="0069413C"/>
    <w:rsid w:val="006A56D3"/>
    <w:rsid w:val="006C61C7"/>
    <w:rsid w:val="006C6C46"/>
    <w:rsid w:val="006E750B"/>
    <w:rsid w:val="007910D2"/>
    <w:rsid w:val="007A024B"/>
    <w:rsid w:val="007E1532"/>
    <w:rsid w:val="008666CE"/>
    <w:rsid w:val="00892E5C"/>
    <w:rsid w:val="00895BD2"/>
    <w:rsid w:val="008E2EE2"/>
    <w:rsid w:val="00994E6D"/>
    <w:rsid w:val="009E6423"/>
    <w:rsid w:val="00A177E7"/>
    <w:rsid w:val="00A8149F"/>
    <w:rsid w:val="00AC11AE"/>
    <w:rsid w:val="00AC50BF"/>
    <w:rsid w:val="00AD493A"/>
    <w:rsid w:val="00AE0838"/>
    <w:rsid w:val="00B448F6"/>
    <w:rsid w:val="00BC1C4A"/>
    <w:rsid w:val="00CF5842"/>
    <w:rsid w:val="00D004AD"/>
    <w:rsid w:val="00D223A6"/>
    <w:rsid w:val="00D53FF9"/>
    <w:rsid w:val="00D7329B"/>
    <w:rsid w:val="00DA1EE8"/>
    <w:rsid w:val="00DC245A"/>
    <w:rsid w:val="00DE6985"/>
    <w:rsid w:val="00E03E8D"/>
    <w:rsid w:val="00E338B6"/>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7A089-B083-FB45-BCA9-1FD03D334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2528</Words>
  <Characters>14410</Characters>
  <Application>Microsoft Office Word</Application>
  <DocSecurity>0</DocSecurity>
  <Lines>120</Lines>
  <Paragraphs>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3</cp:revision>
  <cp:lastPrinted>2026-04-02T12:01:00Z</cp:lastPrinted>
  <dcterms:created xsi:type="dcterms:W3CDTF">2026-04-02T12:01:00Z</dcterms:created>
  <dcterms:modified xsi:type="dcterms:W3CDTF">2026-04-02T13:14:00Z</dcterms:modified>
</cp:coreProperties>
</file>