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77777777"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176C57" w:rsidRPr="008E2EE2">
        <w:rPr>
          <w:rFonts w:ascii="Times New Roman" w:hAnsi="Times New Roman" w:cs="Times New Roman"/>
          <w:sz w:val="22"/>
          <w:szCs w:val="22"/>
        </w:rPr>
        <w:t>Temporal distribution of clinical alarms by hour of day and day of week</w:t>
      </w:r>
    </w:p>
    <w:p w14:paraId="7FAC54E1" w14:textId="190A0B88" w:rsidR="009E6423" w:rsidRDefault="00892E5C"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62B672CB" wp14:editId="1723D93B">
            <wp:simplePos x="0" y="0"/>
            <wp:positionH relativeFrom="column">
              <wp:posOffset>66040</wp:posOffset>
            </wp:positionH>
            <wp:positionV relativeFrom="paragraph">
              <wp:posOffset>334484</wp:posOffset>
            </wp:positionV>
            <wp:extent cx="3073400" cy="2273300"/>
            <wp:effectExtent l="0" t="0" r="0" b="0"/>
            <wp:wrapSquare wrapText="bothSides"/>
            <wp:docPr id="17235348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4813" name="図 17235348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73400" cy="2273300"/>
                    </a:xfrm>
                    <a:prstGeom prst="rect">
                      <a:avLst/>
                    </a:prstGeom>
                  </pic:spPr>
                </pic:pic>
              </a:graphicData>
            </a:graphic>
            <wp14:sizeRelH relativeFrom="page">
              <wp14:pctWidth>0</wp14:pctWidth>
            </wp14:sizeRelH>
            <wp14:sizeRelV relativeFrom="page">
              <wp14:pctHeight>0</wp14:pctHeight>
            </wp14:sizeRelV>
          </wp:anchor>
        </w:drawing>
      </w:r>
      <w:r w:rsidR="00D53FF9">
        <w:rPr>
          <w:rFonts w:ascii="Times New Roman" w:hAnsi="Times New Roman" w:cs="Times New Roman"/>
          <w:sz w:val="22"/>
          <w:szCs w:val="22"/>
        </w:rPr>
        <w:t xml:space="preserve">(A)                                           </w:t>
      </w:r>
      <w:proofErr w:type="gramStart"/>
      <w:r w:rsidR="00D53FF9">
        <w:rPr>
          <w:rFonts w:ascii="Times New Roman" w:hAnsi="Times New Roman" w:cs="Times New Roman"/>
          <w:sz w:val="22"/>
          <w:szCs w:val="22"/>
        </w:rPr>
        <w:t xml:space="preserve">   (</w:t>
      </w:r>
      <w:proofErr w:type="gramEnd"/>
      <w:r w:rsidR="00D53FF9">
        <w:rPr>
          <w:rFonts w:ascii="Times New Roman" w:hAnsi="Times New Roman" w:cs="Times New Roman"/>
          <w:sz w:val="22"/>
          <w:szCs w:val="22"/>
        </w:rPr>
        <w:t>B)</w:t>
      </w:r>
    </w:p>
    <w:p w14:paraId="4C777FEB" w14:textId="21B788DB" w:rsidR="00176C57" w:rsidRDefault="00D53FF9"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3B3B0E8" wp14:editId="136FDE1F">
            <wp:simplePos x="0" y="0"/>
            <wp:positionH relativeFrom="column">
              <wp:posOffset>3450175</wp:posOffset>
            </wp:positionH>
            <wp:positionV relativeFrom="paragraph">
              <wp:posOffset>106360</wp:posOffset>
            </wp:positionV>
            <wp:extent cx="2959100" cy="3886200"/>
            <wp:effectExtent l="0" t="0" r="0" b="0"/>
            <wp:wrapSquare wrapText="bothSides"/>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14:sizeRelH relativeFrom="page">
              <wp14:pctWidth>0</wp14:pctWidth>
            </wp14:sizeRelH>
            <wp14:sizeRelV relativeFrom="page">
              <wp14:pctHeight>0</wp14:pctHeight>
            </wp14:sizeRelV>
          </wp:anchor>
        </w:drawing>
      </w:r>
      <w:r w:rsidR="00176C57">
        <w:rPr>
          <w:rFonts w:ascii="Times New Roman" w:hAnsi="Times New Roman" w:cs="Times New Roman"/>
          <w:sz w:val="22"/>
          <w:szCs w:val="22"/>
        </w:rPr>
        <w:t xml:space="preserve"> </w:t>
      </w:r>
    </w:p>
    <w:p w14:paraId="1F73418D" w14:textId="49FB9798" w:rsidR="00176C57" w:rsidRDefault="00176C57" w:rsidP="00176C57">
      <w:pPr>
        <w:tabs>
          <w:tab w:val="left" w:pos="1196"/>
        </w:tabs>
        <w:rPr>
          <w:rFonts w:ascii="Times New Roman" w:hAnsi="Times New Roman" w:cs="Times New Roman"/>
          <w:sz w:val="22"/>
          <w:szCs w:val="22"/>
        </w:rPr>
      </w:pPr>
      <w:r w:rsidRPr="008E2EE2">
        <w:rPr>
          <w:rFonts w:ascii="Times New Roman" w:hAnsi="Times New Roman" w:cs="Times New Roman"/>
          <w:sz w:val="22"/>
          <w:szCs w:val="22"/>
        </w:rPr>
        <w:t>Heatmap showing the distribution of clinical alarms across hours of the day (x-axis, 0–23h)</w:t>
      </w:r>
      <w:r>
        <w:rPr>
          <w:rFonts w:ascii="Times New Roman" w:hAnsi="Times New Roman" w:cs="Times New Roman"/>
          <w:sz w:val="22"/>
          <w:szCs w:val="22"/>
        </w:rPr>
        <w:t xml:space="preserve"> </w:t>
      </w:r>
      <w:r w:rsidRPr="008E2EE2">
        <w:rPr>
          <w:rFonts w:ascii="Times New Roman" w:hAnsi="Times New Roman" w:cs="Times New Roman"/>
          <w:sz w:val="22"/>
          <w:szCs w:val="22"/>
        </w:rPr>
        <w:t>and days of the week (y-axis, Monday to Sunday), stratified by priority level (ADVISORY,</w:t>
      </w:r>
      <w:r>
        <w:rPr>
          <w:rFonts w:ascii="Times New Roman" w:hAnsi="Times New Roman" w:cs="Times New Roman"/>
          <w:sz w:val="22"/>
          <w:szCs w:val="22"/>
        </w:rPr>
        <w:t xml:space="preserve"> </w:t>
      </w:r>
      <w:r w:rsidRPr="008E2EE2">
        <w:rPr>
          <w:rFonts w:ascii="Times New Roman" w:hAnsi="Times New Roman" w:cs="Times New Roman"/>
          <w:sz w:val="22"/>
          <w:szCs w:val="22"/>
        </w:rPr>
        <w:t>WARNING, CRISIS). Each cell represents the total alarm count for that hour–day combination</w:t>
      </w:r>
      <w:r>
        <w:rPr>
          <w:rFonts w:ascii="Times New Roman" w:hAnsi="Times New Roman" w:cs="Times New Roman"/>
          <w:sz w:val="22"/>
          <w:szCs w:val="22"/>
        </w:rPr>
        <w:t xml:space="preserve"> </w:t>
      </w:r>
      <w:r w:rsidRPr="008E2EE2">
        <w:rPr>
          <w:rFonts w:ascii="Times New Roman" w:hAnsi="Times New Roman" w:cs="Times New Roman"/>
          <w:sz w:val="22"/>
          <w:szCs w:val="22"/>
        </w:rPr>
        <w:t>over the 57-day observation period (July 15 – September 9, 2025). Color intensity reflects</w:t>
      </w:r>
      <w:r>
        <w:rPr>
          <w:rFonts w:ascii="Times New Roman" w:hAnsi="Times New Roman" w:cs="Times New Roman"/>
          <w:sz w:val="22"/>
          <w:szCs w:val="22"/>
        </w:rPr>
        <w:t xml:space="preserve"> </w:t>
      </w:r>
      <w:r w:rsidRPr="008E2EE2">
        <w:rPr>
          <w:rFonts w:ascii="Times New Roman" w:hAnsi="Times New Roman" w:cs="Times New Roman"/>
          <w:sz w:val="22"/>
          <w:szCs w:val="22"/>
        </w:rPr>
        <w:t>alarm frequency; higher counts appear in darker shades. Only clinical alarms are included</w:t>
      </w:r>
      <w:r>
        <w:rPr>
          <w:rFonts w:ascii="Times New Roman" w:hAnsi="Times New Roman" w:cs="Times New Roman"/>
          <w:sz w:val="22"/>
          <w:szCs w:val="22"/>
        </w:rPr>
        <w:t xml:space="preserve"> </w:t>
      </w:r>
      <w:r w:rsidRPr="008E2EE2">
        <w:rPr>
          <w:rFonts w:ascii="Times New Roman" w:hAnsi="Times New Roman" w:cs="Times New Roman"/>
          <w:sz w:val="22"/>
          <w:szCs w:val="22"/>
        </w:rPr>
        <w:t>(N = 59,113). Daytime clustering (approximately 08:00–20:00) is apparent across all priority</w:t>
      </w:r>
      <w:r>
        <w:rPr>
          <w:rFonts w:ascii="Times New Roman" w:hAnsi="Times New Roman" w:cs="Times New Roman"/>
          <w:sz w:val="22"/>
          <w:szCs w:val="22"/>
        </w:rPr>
        <w:t xml:space="preserve"> </w:t>
      </w:r>
      <w:r w:rsidRPr="008E2EE2">
        <w:rPr>
          <w:rFonts w:ascii="Times New Roman" w:hAnsi="Times New Roman" w:cs="Times New Roman"/>
          <w:sz w:val="22"/>
          <w:szCs w:val="22"/>
        </w:rPr>
        <w:t>levels, consistent with patient care activity patterns.</w:t>
      </w:r>
    </w:p>
    <w:p w14:paraId="1F297858" w14:textId="14FA9D04" w:rsidR="00176C57" w:rsidRDefault="00176C57">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7926F54" w14:textId="4FE4A7E8" w:rsidR="00302883"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7A024B" w:rsidRPr="007A024B">
        <w:rPr>
          <w:rFonts w:ascii="Times New Roman" w:hAnsi="Times New Roman" w:cs="Times New Roman"/>
          <w:sz w:val="22"/>
          <w:szCs w:val="22"/>
        </w:rPr>
        <w:t>Alarm silencing rate and time-to-silence by alarm priority level</w:t>
      </w:r>
    </w:p>
    <w:p w14:paraId="3D01E1EF" w14:textId="43E62692" w:rsidR="007A024B"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F628F78" wp14:editId="2980DF06">
            <wp:extent cx="3035300" cy="3327400"/>
            <wp:effectExtent l="0" t="0" r="0" b="0"/>
            <wp:docPr id="457503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3244" name="図 4575032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5300" cy="3327400"/>
                    </a:xfrm>
                    <a:prstGeom prst="rect">
                      <a:avLst/>
                    </a:prstGeom>
                  </pic:spPr>
                </pic:pic>
              </a:graphicData>
            </a:graphic>
          </wp:inline>
        </w:drawing>
      </w:r>
    </w:p>
    <w:p w14:paraId="2ED64BC4"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(A) Observed silencing rates (%) with 95% Wilson confidence intervals by alarm priority</w:t>
      </w:r>
    </w:p>
    <w:p w14:paraId="6E25768B"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level (ADVISORY, WARNING, CRISIS). (B) Median time-to-silence (seconds) with</w:t>
      </w:r>
    </w:p>
    <w:p w14:paraId="2E419241"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interquartile range (IQR) among silenced alarms, by priority level.</w:t>
      </w:r>
    </w:p>
    <w:p w14:paraId="2494A6B3"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59,113 clinical alarms (Panel A</w:t>
      </w:r>
      <w:proofErr w:type="gramStart"/>
      <w:r w:rsidRPr="007A024B">
        <w:rPr>
          <w:rFonts w:ascii="Times New Roman" w:hAnsi="Times New Roman" w:cs="Times New Roman"/>
          <w:sz w:val="22"/>
          <w:szCs w:val="22"/>
        </w:rPr>
        <w:t>);</w:t>
      </w:r>
      <w:proofErr w:type="gramEnd"/>
    </w:p>
    <w:p w14:paraId="5BC98BE5" w14:textId="75CBE7C2" w:rsid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4,845 silenced alarms (Panel B).</w:t>
      </w:r>
    </w:p>
    <w:p w14:paraId="36983BD8" w14:textId="77777777" w:rsidR="00302883" w:rsidRDefault="0030288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59F2118D"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Alarm</w:t>
      </w:r>
      <w:r w:rsidRPr="00EA367C">
        <w:rPr>
          <w:rFonts w:ascii="Times New Roman" w:hAnsi="Times New Roman" w:cs="Times New Roman"/>
          <w:sz w:val="22"/>
          <w:szCs w:val="22"/>
        </w:rPr>
        <w:t xml:space="preserve"> silencing rate by alarm burden and priority level: evidence for resilient priority discrimination</w:t>
      </w:r>
    </w:p>
    <w:p w14:paraId="719C155D" w14:textId="7A03F2F1" w:rsidR="006A56D3"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48BFDB7" wp14:editId="775F9916">
            <wp:extent cx="3086100" cy="3022600"/>
            <wp:effectExtent l="0" t="0" r="0" b="0"/>
            <wp:docPr id="8952035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515" name="図 8952035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100" cy="3022600"/>
                    </a:xfrm>
                    <a:prstGeom prst="rect">
                      <a:avLst/>
                    </a:prstGeom>
                  </pic:spPr>
                </pic:pic>
              </a:graphicData>
            </a:graphic>
          </wp:inline>
        </w:drawing>
      </w:r>
      <w:r w:rsidR="006A56D3">
        <w:rPr>
          <w:rFonts w:ascii="Times New Roman" w:hAnsi="Times New Roman" w:cs="Times New Roman"/>
          <w:sz w:val="22"/>
          <w:szCs w:val="22"/>
        </w:rPr>
        <w:br w:type="textWrapping" w:clear="all"/>
      </w:r>
      <w:r w:rsidR="006A56D3"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sidR="006A56D3">
        <w:rPr>
          <w:rFonts w:ascii="Times New Roman" w:hAnsi="Times New Roman" w:cs="Times New Roman"/>
          <w:sz w:val="22"/>
          <w:szCs w:val="22"/>
        </w:rPr>
        <w:t xml:space="preserve"> </w:t>
      </w:r>
      <w:r w:rsidR="006A56D3"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6461E38" w14:textId="0181A7B6"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0490" w:type="dxa"/>
        <w:tblInd w:w="-3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377"/>
        <w:gridCol w:w="2378"/>
        <w:gridCol w:w="2378"/>
      </w:tblGrid>
      <w:tr w:rsidR="00EB22BD" w:rsidRPr="00EB22BD" w14:paraId="0FBBDFA8" w14:textId="77777777" w:rsidTr="00EB22BD">
        <w:tc>
          <w:tcPr>
            <w:tcW w:w="3357" w:type="dxa"/>
            <w:tcBorders>
              <w:top w:val="single" w:sz="4" w:space="0" w:color="auto"/>
              <w:bottom w:val="single" w:sz="4" w:space="0" w:color="auto"/>
            </w:tcBorders>
            <w:vAlign w:val="center"/>
          </w:tcPr>
          <w:p w14:paraId="5EFA7FE4" w14:textId="45007D1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Variable</w:t>
            </w:r>
          </w:p>
        </w:tc>
        <w:tc>
          <w:tcPr>
            <w:tcW w:w="2377" w:type="dxa"/>
            <w:tcBorders>
              <w:top w:val="single" w:sz="4" w:space="0" w:color="auto"/>
              <w:bottom w:val="single" w:sz="4" w:space="0" w:color="auto"/>
            </w:tcBorders>
            <w:vAlign w:val="center"/>
          </w:tcPr>
          <w:p w14:paraId="4B09359A" w14:textId="3ECCCA5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5-min window</w:t>
            </w:r>
          </w:p>
        </w:tc>
        <w:tc>
          <w:tcPr>
            <w:tcW w:w="2378" w:type="dxa"/>
            <w:tcBorders>
              <w:top w:val="single" w:sz="4" w:space="0" w:color="auto"/>
              <w:bottom w:val="single" w:sz="4" w:space="0" w:color="auto"/>
            </w:tcBorders>
            <w:vAlign w:val="center"/>
          </w:tcPr>
          <w:p w14:paraId="3B5A44BD" w14:textId="517BD2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10-min window</w:t>
            </w:r>
          </w:p>
        </w:tc>
        <w:tc>
          <w:tcPr>
            <w:tcW w:w="2378" w:type="dxa"/>
            <w:tcBorders>
              <w:top w:val="single" w:sz="4" w:space="0" w:color="auto"/>
              <w:bottom w:val="single" w:sz="4" w:space="0" w:color="auto"/>
            </w:tcBorders>
            <w:vAlign w:val="center"/>
          </w:tcPr>
          <w:p w14:paraId="110BE0CD" w14:textId="1645C4B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30-min window</w:t>
            </w:r>
          </w:p>
        </w:tc>
      </w:tr>
      <w:tr w:rsidR="00EB22BD" w:rsidRPr="00EB22BD" w14:paraId="0B36F55E" w14:textId="77777777" w:rsidTr="00EB22BD">
        <w:tc>
          <w:tcPr>
            <w:tcW w:w="3357" w:type="dxa"/>
            <w:tcBorders>
              <w:top w:val="single" w:sz="4" w:space="0" w:color="auto"/>
            </w:tcBorders>
            <w:vAlign w:val="center"/>
          </w:tcPr>
          <w:p w14:paraId="357FF8F0" w14:textId="0D97B39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priority (ref: ADVISORY)</w:t>
            </w:r>
          </w:p>
        </w:tc>
        <w:tc>
          <w:tcPr>
            <w:tcW w:w="2377" w:type="dxa"/>
            <w:tcBorders>
              <w:top w:val="single" w:sz="4" w:space="0" w:color="auto"/>
            </w:tcBorders>
            <w:vAlign w:val="center"/>
          </w:tcPr>
          <w:p w14:paraId="097DDEEA" w14:textId="0FD2447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3CDD74AD" w14:textId="10982B3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16D1D722" w14:textId="38BED57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264A0B1F" w14:textId="77777777" w:rsidTr="00EB22BD">
        <w:tc>
          <w:tcPr>
            <w:tcW w:w="3357" w:type="dxa"/>
            <w:vAlign w:val="center"/>
          </w:tcPr>
          <w:p w14:paraId="566FCB99" w14:textId="0C1013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WARNING</w:t>
            </w:r>
          </w:p>
        </w:tc>
        <w:tc>
          <w:tcPr>
            <w:tcW w:w="2377" w:type="dxa"/>
            <w:vAlign w:val="center"/>
          </w:tcPr>
          <w:p w14:paraId="19E28C1E" w14:textId="5FB84F0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4.494 (3.189–6.333); p&lt;0.001</w:t>
            </w:r>
          </w:p>
        </w:tc>
        <w:tc>
          <w:tcPr>
            <w:tcW w:w="2378" w:type="dxa"/>
            <w:vAlign w:val="center"/>
          </w:tcPr>
          <w:p w14:paraId="23262514" w14:textId="3CBD00A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4.707 (3.295–6.725); p&lt;0.001</w:t>
            </w:r>
          </w:p>
        </w:tc>
        <w:tc>
          <w:tcPr>
            <w:tcW w:w="2378" w:type="dxa"/>
            <w:vAlign w:val="center"/>
          </w:tcPr>
          <w:p w14:paraId="0969435D" w14:textId="39CE241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4.94 (3.357–7.271); p&lt;0.001</w:t>
            </w:r>
          </w:p>
        </w:tc>
      </w:tr>
      <w:tr w:rsidR="00EB22BD" w:rsidRPr="00EB22BD" w14:paraId="63C47331" w14:textId="77777777" w:rsidTr="00EB22BD">
        <w:tc>
          <w:tcPr>
            <w:tcW w:w="3357" w:type="dxa"/>
            <w:vAlign w:val="center"/>
          </w:tcPr>
          <w:p w14:paraId="019970EB" w14:textId="344A522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CRISIS</w:t>
            </w:r>
          </w:p>
        </w:tc>
        <w:tc>
          <w:tcPr>
            <w:tcW w:w="2377" w:type="dxa"/>
            <w:vAlign w:val="center"/>
          </w:tcPr>
          <w:p w14:paraId="768D93E0" w14:textId="223E81E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95.476 (53.072–171.76); p&lt;0.001</w:t>
            </w:r>
          </w:p>
        </w:tc>
        <w:tc>
          <w:tcPr>
            <w:tcW w:w="2378" w:type="dxa"/>
            <w:vAlign w:val="center"/>
          </w:tcPr>
          <w:p w14:paraId="306EF489" w14:textId="530B402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88.793 (48.683–161.95); p&lt;0.001</w:t>
            </w:r>
          </w:p>
        </w:tc>
        <w:tc>
          <w:tcPr>
            <w:tcW w:w="2378" w:type="dxa"/>
            <w:vAlign w:val="center"/>
          </w:tcPr>
          <w:p w14:paraId="2BA7E9E3" w14:textId="71AA11C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74.842 (40.409–138.617); p&lt;0.001</w:t>
            </w:r>
          </w:p>
        </w:tc>
      </w:tr>
      <w:tr w:rsidR="00EB22BD" w:rsidRPr="00EB22BD" w14:paraId="4D4B13B4" w14:textId="77777777" w:rsidTr="00EB22BD">
        <w:tc>
          <w:tcPr>
            <w:tcW w:w="3357" w:type="dxa"/>
            <w:vAlign w:val="center"/>
          </w:tcPr>
          <w:p w14:paraId="028414D1" w14:textId="2479F7A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burden × priority interaction</w:t>
            </w:r>
          </w:p>
        </w:tc>
        <w:tc>
          <w:tcPr>
            <w:tcW w:w="2377" w:type="dxa"/>
            <w:vAlign w:val="center"/>
          </w:tcPr>
          <w:p w14:paraId="201F4CA0" w14:textId="761ED08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6BCB6087" w14:textId="1733C05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74431A0B" w14:textId="37667A8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5F9F935" w14:textId="77777777" w:rsidTr="00EB22BD">
        <w:tc>
          <w:tcPr>
            <w:tcW w:w="3357" w:type="dxa"/>
            <w:vAlign w:val="center"/>
          </w:tcPr>
          <w:p w14:paraId="543FB608" w14:textId="7177A4B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(ADVISORY)</w:t>
            </w:r>
          </w:p>
        </w:tc>
        <w:tc>
          <w:tcPr>
            <w:tcW w:w="2377" w:type="dxa"/>
            <w:vAlign w:val="center"/>
          </w:tcPr>
          <w:p w14:paraId="2B374259" w14:textId="15F6331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1.036 (0.962–1.115); p=0.354</w:t>
            </w:r>
          </w:p>
        </w:tc>
        <w:tc>
          <w:tcPr>
            <w:tcW w:w="2378" w:type="dxa"/>
            <w:vAlign w:val="center"/>
          </w:tcPr>
          <w:p w14:paraId="01F92A53" w14:textId="21126E3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1.026 (0.984–1.07); p=0.227</w:t>
            </w:r>
          </w:p>
        </w:tc>
        <w:tc>
          <w:tcPr>
            <w:tcW w:w="2378" w:type="dxa"/>
            <w:vAlign w:val="center"/>
          </w:tcPr>
          <w:p w14:paraId="4ED96B66" w14:textId="5B1A25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1.011 (0.993–1.029); p=0.236</w:t>
            </w:r>
          </w:p>
        </w:tc>
      </w:tr>
      <w:tr w:rsidR="00EB22BD" w:rsidRPr="00EB22BD" w14:paraId="1265D725" w14:textId="77777777" w:rsidTr="00EB22BD">
        <w:tc>
          <w:tcPr>
            <w:tcW w:w="3357" w:type="dxa"/>
            <w:vAlign w:val="center"/>
          </w:tcPr>
          <w:p w14:paraId="61DA25DE" w14:textId="1510B48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WARNING</w:t>
            </w:r>
          </w:p>
        </w:tc>
        <w:tc>
          <w:tcPr>
            <w:tcW w:w="2377" w:type="dxa"/>
            <w:vAlign w:val="center"/>
          </w:tcPr>
          <w:p w14:paraId="08EB97A9" w14:textId="3CEA1A4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0.92 (0.854–0.991); p=0.029</w:t>
            </w:r>
          </w:p>
        </w:tc>
        <w:tc>
          <w:tcPr>
            <w:tcW w:w="2378" w:type="dxa"/>
            <w:vAlign w:val="center"/>
          </w:tcPr>
          <w:p w14:paraId="5125D1FC" w14:textId="7BFDCB1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0.949 (0.909–0.989); p=0.014</w:t>
            </w:r>
          </w:p>
        </w:tc>
        <w:tc>
          <w:tcPr>
            <w:tcW w:w="2378" w:type="dxa"/>
            <w:vAlign w:val="center"/>
          </w:tcPr>
          <w:p w14:paraId="32F5951A" w14:textId="5265E46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0.978 (0.96–0.996); p=0.015</w:t>
            </w:r>
          </w:p>
        </w:tc>
      </w:tr>
      <w:tr w:rsidR="00EB22BD" w:rsidRPr="00EB22BD" w14:paraId="30445214" w14:textId="77777777" w:rsidTr="00EB22BD">
        <w:tc>
          <w:tcPr>
            <w:tcW w:w="3357" w:type="dxa"/>
            <w:vAlign w:val="center"/>
          </w:tcPr>
          <w:p w14:paraId="67FB71F8" w14:textId="29F877E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CRISIS</w:t>
            </w:r>
          </w:p>
        </w:tc>
        <w:tc>
          <w:tcPr>
            <w:tcW w:w="2377" w:type="dxa"/>
            <w:vAlign w:val="center"/>
          </w:tcPr>
          <w:p w14:paraId="34501488" w14:textId="3C1D62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0.935 (0.825–1.059); p=0.29</w:t>
            </w:r>
          </w:p>
        </w:tc>
        <w:tc>
          <w:tcPr>
            <w:tcW w:w="2378" w:type="dxa"/>
            <w:vAlign w:val="center"/>
          </w:tcPr>
          <w:p w14:paraId="7F306C49" w14:textId="4E4BBF6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0.974 (0.906–1.047); p=0.472</w:t>
            </w:r>
          </w:p>
        </w:tc>
        <w:tc>
          <w:tcPr>
            <w:tcW w:w="2378" w:type="dxa"/>
            <w:vAlign w:val="center"/>
          </w:tcPr>
          <w:p w14:paraId="7FB72646" w14:textId="4AFA733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 (0.972–1.029); p=0.999</w:t>
            </w:r>
          </w:p>
        </w:tc>
      </w:tr>
      <w:tr w:rsidR="00EB22BD" w:rsidRPr="00EB22BD" w14:paraId="1738434F" w14:textId="77777777" w:rsidTr="00EB22BD">
        <w:tc>
          <w:tcPr>
            <w:tcW w:w="3357" w:type="dxa"/>
            <w:vAlign w:val="center"/>
          </w:tcPr>
          <w:p w14:paraId="480D8C7A" w14:textId="0523B4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Covariates</w:t>
            </w:r>
          </w:p>
        </w:tc>
        <w:tc>
          <w:tcPr>
            <w:tcW w:w="2377" w:type="dxa"/>
            <w:vAlign w:val="center"/>
          </w:tcPr>
          <w:p w14:paraId="4AD2FB89" w14:textId="45BFBFE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1B08A118" w14:textId="6831BE9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3518E5E5" w14:textId="576946C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1BCC94A" w14:textId="77777777" w:rsidTr="00EB22BD">
        <w:tc>
          <w:tcPr>
            <w:tcW w:w="3357" w:type="dxa"/>
            <w:vAlign w:val="center"/>
          </w:tcPr>
          <w:p w14:paraId="647ADB41" w14:textId="7CCD024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Zone: </w:t>
            </w:r>
            <w:proofErr w:type="gramStart"/>
            <w:r w:rsidRPr="00EB22BD">
              <w:rPr>
                <w:rFonts w:ascii="Times New Roman" w:eastAsia="Yu Gothic" w:hAnsi="Times New Roman" w:cs="Times New Roman"/>
                <w:color w:val="000000"/>
                <w:szCs w:val="21"/>
              </w:rPr>
              <w:t>high-acuity</w:t>
            </w:r>
            <w:proofErr w:type="gramEnd"/>
            <w:r w:rsidRPr="00EB22BD">
              <w:rPr>
                <w:rFonts w:ascii="Times New Roman" w:eastAsia="Yu Gothic" w:hAnsi="Times New Roman" w:cs="Times New Roman"/>
                <w:color w:val="000000"/>
                <w:szCs w:val="21"/>
              </w:rPr>
              <w:t xml:space="preserve"> (ref: general)</w:t>
            </w:r>
          </w:p>
        </w:tc>
        <w:tc>
          <w:tcPr>
            <w:tcW w:w="2377" w:type="dxa"/>
            <w:vAlign w:val="center"/>
          </w:tcPr>
          <w:p w14:paraId="583A373C" w14:textId="5FDE452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1.435 (0.953–2.16); p=0.084</w:t>
            </w:r>
          </w:p>
        </w:tc>
        <w:tc>
          <w:tcPr>
            <w:tcW w:w="2378" w:type="dxa"/>
            <w:vAlign w:val="center"/>
          </w:tcPr>
          <w:p w14:paraId="4C65E4D8" w14:textId="6D0FA25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1.447 (0.962–2.176); p=0.076</w:t>
            </w:r>
          </w:p>
        </w:tc>
        <w:tc>
          <w:tcPr>
            <w:tcW w:w="2378" w:type="dxa"/>
            <w:vAlign w:val="center"/>
          </w:tcPr>
          <w:p w14:paraId="7C090975" w14:textId="0BD3ADC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1.461 (0.971–2.198); p=0.069</w:t>
            </w:r>
          </w:p>
        </w:tc>
      </w:tr>
      <w:tr w:rsidR="00EB22BD" w:rsidRPr="00EB22BD" w14:paraId="751CE286" w14:textId="77777777" w:rsidTr="00EB22BD">
        <w:tc>
          <w:tcPr>
            <w:tcW w:w="3357" w:type="dxa"/>
            <w:vAlign w:val="center"/>
          </w:tcPr>
          <w:p w14:paraId="4282D20E" w14:textId="52BECB1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evening (ref: day)</w:t>
            </w:r>
          </w:p>
        </w:tc>
        <w:tc>
          <w:tcPr>
            <w:tcW w:w="2377" w:type="dxa"/>
            <w:vAlign w:val="center"/>
          </w:tcPr>
          <w:p w14:paraId="2FC14971" w14:textId="7C83023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(0.708–0.863); p&lt;0.001</w:t>
            </w:r>
          </w:p>
        </w:tc>
        <w:tc>
          <w:tcPr>
            <w:tcW w:w="2378" w:type="dxa"/>
            <w:vAlign w:val="center"/>
          </w:tcPr>
          <w:p w14:paraId="252B432D" w14:textId="48F9847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(0.708–0.864); p&lt;0.001</w:t>
            </w:r>
          </w:p>
        </w:tc>
        <w:tc>
          <w:tcPr>
            <w:tcW w:w="2378" w:type="dxa"/>
            <w:vAlign w:val="center"/>
          </w:tcPr>
          <w:p w14:paraId="07BCE7FF" w14:textId="275B02B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 (0.706–0.861); p&lt;0.001</w:t>
            </w:r>
          </w:p>
        </w:tc>
      </w:tr>
      <w:tr w:rsidR="00EB22BD" w:rsidRPr="00EB22BD" w14:paraId="3D580F33" w14:textId="77777777" w:rsidTr="00EB22BD">
        <w:tc>
          <w:tcPr>
            <w:tcW w:w="3357" w:type="dxa"/>
            <w:vAlign w:val="center"/>
          </w:tcPr>
          <w:p w14:paraId="702B140E" w14:textId="69844FF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night (ref: day)</w:t>
            </w:r>
          </w:p>
        </w:tc>
        <w:tc>
          <w:tcPr>
            <w:tcW w:w="2377" w:type="dxa"/>
            <w:vAlign w:val="center"/>
          </w:tcPr>
          <w:p w14:paraId="3FAD5426" w14:textId="13FCB1F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1.469 (1.374–1.57); p&lt;0.001</w:t>
            </w:r>
          </w:p>
        </w:tc>
        <w:tc>
          <w:tcPr>
            <w:tcW w:w="2378" w:type="dxa"/>
            <w:vAlign w:val="center"/>
          </w:tcPr>
          <w:p w14:paraId="77820167" w14:textId="6045090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1.468 (1.374–1.57); p&lt;0.001</w:t>
            </w:r>
          </w:p>
        </w:tc>
        <w:tc>
          <w:tcPr>
            <w:tcW w:w="2378" w:type="dxa"/>
            <w:vAlign w:val="center"/>
          </w:tcPr>
          <w:p w14:paraId="517CD72F" w14:textId="537854B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1.459 (1.365–1.56); p&lt;0.001</w:t>
            </w:r>
          </w:p>
        </w:tc>
      </w:tr>
      <w:tr w:rsidR="00EB22BD" w:rsidRPr="00EB22BD" w14:paraId="42937371" w14:textId="77777777" w:rsidTr="00EB22BD">
        <w:tc>
          <w:tcPr>
            <w:tcW w:w="3357" w:type="dxa"/>
            <w:vAlign w:val="center"/>
          </w:tcPr>
          <w:p w14:paraId="764BEB4B" w14:textId="4A57D8E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Weekend (ref: weekday)</w:t>
            </w:r>
          </w:p>
        </w:tc>
        <w:tc>
          <w:tcPr>
            <w:tcW w:w="2377" w:type="dxa"/>
            <w:vAlign w:val="center"/>
          </w:tcPr>
          <w:p w14:paraId="598E9F4B" w14:textId="27284A7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(1.069–1.228); p&lt;0.001</w:t>
            </w:r>
          </w:p>
        </w:tc>
        <w:tc>
          <w:tcPr>
            <w:tcW w:w="2378" w:type="dxa"/>
            <w:vAlign w:val="center"/>
          </w:tcPr>
          <w:p w14:paraId="4F81F49C" w14:textId="4FBD9471"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(1.07–1.228); p&lt;0.001</w:t>
            </w:r>
          </w:p>
        </w:tc>
        <w:tc>
          <w:tcPr>
            <w:tcW w:w="2378" w:type="dxa"/>
            <w:vAlign w:val="center"/>
          </w:tcPr>
          <w:p w14:paraId="4791E1E2" w14:textId="36F48B6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1.141 (1.065–1.222); p&lt;0.001</w:t>
            </w:r>
          </w:p>
        </w:tc>
      </w:tr>
      <w:tr w:rsidR="00EB22BD" w:rsidRPr="00EB22BD" w14:paraId="4E90F9FD" w14:textId="77777777" w:rsidTr="00EB22BD">
        <w:tc>
          <w:tcPr>
            <w:tcW w:w="3357" w:type="dxa"/>
            <w:vAlign w:val="center"/>
          </w:tcPr>
          <w:p w14:paraId="2DC095D0" w14:textId="5E945B1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Ward: West 11 (ref: West 10)</w:t>
            </w:r>
          </w:p>
        </w:tc>
        <w:tc>
          <w:tcPr>
            <w:tcW w:w="2377" w:type="dxa"/>
            <w:vAlign w:val="center"/>
          </w:tcPr>
          <w:p w14:paraId="50400548" w14:textId="7C773A1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1.519 (1.03–2.241); p=0.035</w:t>
            </w:r>
          </w:p>
        </w:tc>
        <w:tc>
          <w:tcPr>
            <w:tcW w:w="2378" w:type="dxa"/>
            <w:vAlign w:val="center"/>
          </w:tcPr>
          <w:p w14:paraId="43178841" w14:textId="04FBD80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1.512 (1.026–2.228); p=0.037</w:t>
            </w:r>
          </w:p>
        </w:tc>
        <w:tc>
          <w:tcPr>
            <w:tcW w:w="2378" w:type="dxa"/>
            <w:vAlign w:val="center"/>
          </w:tcPr>
          <w:p w14:paraId="78D2EB12" w14:textId="4C9A3D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1.489 (1.01–2.195); p=0.044</w:t>
            </w:r>
          </w:p>
        </w:tc>
      </w:tr>
      <w:tr w:rsidR="00EB22BD" w:rsidRPr="00EB22BD" w14:paraId="49341090" w14:textId="77777777" w:rsidTr="00EB22BD">
        <w:tc>
          <w:tcPr>
            <w:tcW w:w="3357" w:type="dxa"/>
            <w:vAlign w:val="center"/>
          </w:tcPr>
          <w:p w14:paraId="2AD340B1" w14:textId="543499F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AIC</w:t>
            </w:r>
          </w:p>
        </w:tc>
        <w:tc>
          <w:tcPr>
            <w:tcW w:w="2377" w:type="dxa"/>
            <w:vAlign w:val="center"/>
          </w:tcPr>
          <w:p w14:paraId="0565A1B8" w14:textId="0103076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31653.7</w:t>
            </w:r>
          </w:p>
        </w:tc>
        <w:tc>
          <w:tcPr>
            <w:tcW w:w="2378" w:type="dxa"/>
            <w:vAlign w:val="center"/>
          </w:tcPr>
          <w:p w14:paraId="26F9B409" w14:textId="6C4095A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31662.1</w:t>
            </w:r>
          </w:p>
        </w:tc>
        <w:tc>
          <w:tcPr>
            <w:tcW w:w="2378" w:type="dxa"/>
            <w:vAlign w:val="center"/>
          </w:tcPr>
          <w:p w14:paraId="547C8CD8" w14:textId="04B9CBD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31653.3</w:t>
            </w:r>
          </w:p>
        </w:tc>
      </w:tr>
    </w:tbl>
    <w:p w14:paraId="5DDEB6BE" w14:textId="37948259"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Results of mixed-effects logistic regression models with bed-level random intercepts, estimated</w:t>
      </w:r>
      <w:r>
        <w:rPr>
          <w:rFonts w:ascii="Times New Roman" w:hAnsi="Times New Roman" w:cs="Times New Roman"/>
          <w:sz w:val="22"/>
          <w:szCs w:val="22"/>
        </w:rPr>
        <w:t xml:space="preserve"> </w:t>
      </w:r>
      <w:r w:rsidRPr="0019632E">
        <w:rPr>
          <w:rFonts w:ascii="Times New Roman" w:hAnsi="Times New Roman" w:cs="Times New Roman"/>
          <w:sz w:val="22"/>
          <w:szCs w:val="22"/>
        </w:rPr>
        <w:t>using three definitions of alarm burden: the number of clinical alarms in the same ward in the</w:t>
      </w:r>
      <w:r>
        <w:rPr>
          <w:rFonts w:ascii="Times New Roman" w:hAnsi="Times New Roman" w:cs="Times New Roman"/>
          <w:sz w:val="22"/>
          <w:szCs w:val="22"/>
        </w:rPr>
        <w:t xml:space="preserve"> </w:t>
      </w:r>
      <w:r w:rsidRPr="0019632E">
        <w:rPr>
          <w:rFonts w:ascii="Times New Roman" w:hAnsi="Times New Roman" w:cs="Times New Roman"/>
          <w:sz w:val="22"/>
          <w:szCs w:val="22"/>
        </w:rPr>
        <w:t>preceding 5, 10, or 30 minutes (excluding the index alarm). The outcome is nurse-initiated alarm</w:t>
      </w:r>
      <w:r>
        <w:rPr>
          <w:rFonts w:ascii="Times New Roman" w:hAnsi="Times New Roman" w:cs="Times New Roman"/>
          <w:sz w:val="22"/>
          <w:szCs w:val="22"/>
        </w:rPr>
        <w:t xml:space="preserve"> </w:t>
      </w:r>
      <w:r w:rsidRPr="0019632E">
        <w:rPr>
          <w:rFonts w:ascii="Times New Roman" w:hAnsi="Times New Roman" w:cs="Times New Roman"/>
          <w:sz w:val="22"/>
          <w:szCs w:val="22"/>
        </w:rPr>
        <w:t>silencing (yes/no). Interaction terms test whether the effect of alarm burden on silencing</w:t>
      </w:r>
      <w:r>
        <w:rPr>
          <w:rFonts w:ascii="Times New Roman" w:hAnsi="Times New Roman" w:cs="Times New Roman"/>
          <w:sz w:val="22"/>
          <w:szCs w:val="22"/>
        </w:rPr>
        <w:t xml:space="preserve"> </w:t>
      </w:r>
      <w:r w:rsidRPr="0019632E">
        <w:rPr>
          <w:rFonts w:ascii="Times New Roman" w:hAnsi="Times New Roman" w:cs="Times New Roman"/>
          <w:sz w:val="22"/>
          <w:szCs w:val="22"/>
        </w:rPr>
        <w:t>probability differs by priority level. The 30-minute window was selected as the primary analysis window based on the lowest AIC (31,653.3) and clinical plausibility (30 minutes approximates atypical nursing care cycle). Results were consistent across all time windows: CRISIS alarms showed</w:t>
      </w:r>
      <w:r>
        <w:rPr>
          <w:rFonts w:ascii="Times New Roman" w:hAnsi="Times New Roman" w:cs="Times New Roman"/>
          <w:sz w:val="22"/>
          <w:szCs w:val="22"/>
        </w:rPr>
        <w:t xml:space="preserve"> </w:t>
      </w:r>
      <w:r w:rsidRPr="0019632E">
        <w:rPr>
          <w:rFonts w:ascii="Times New Roman" w:hAnsi="Times New Roman" w:cs="Times New Roman"/>
          <w:sz w:val="22"/>
          <w:szCs w:val="22"/>
        </w:rPr>
        <w:t>no significant attenuation of silencing response with increasing burden (p = 0.290–0.999), whereas</w:t>
      </w:r>
      <w:r>
        <w:rPr>
          <w:rFonts w:ascii="Times New Roman" w:hAnsi="Times New Roman" w:cs="Times New Roman"/>
          <w:sz w:val="22"/>
          <w:szCs w:val="22"/>
        </w:rPr>
        <w:t xml:space="preserve"> </w:t>
      </w:r>
      <w:r w:rsidRPr="0019632E">
        <w:rPr>
          <w:rFonts w:ascii="Times New Roman" w:hAnsi="Times New Roman" w:cs="Times New Roman"/>
          <w:sz w:val="22"/>
          <w:szCs w:val="22"/>
        </w:rPr>
        <w:t>WARNING alarms showed a significant negative association in all windows (p = 0.014–0.029),</w:t>
      </w:r>
      <w:r>
        <w:rPr>
          <w:rFonts w:ascii="Times New Roman" w:hAnsi="Times New Roman" w:cs="Times New Roman"/>
          <w:sz w:val="22"/>
          <w:szCs w:val="22"/>
        </w:rPr>
        <w:t xml:space="preserve"> </w:t>
      </w:r>
      <w:r w:rsidRPr="0019632E">
        <w:rPr>
          <w:rFonts w:ascii="Times New Roman" w:hAnsi="Times New Roman" w:cs="Times New Roman"/>
          <w:sz w:val="22"/>
          <w:szCs w:val="22"/>
        </w:rPr>
        <w:t>supporting the robustness of the primary findings.</w:t>
      </w:r>
    </w:p>
    <w:p w14:paraId="441581DF" w14:textId="1D02E362"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OR = odds ratio; CI = confidence interval; AIC = Akaike information criterion.</w:t>
      </w:r>
    </w:p>
    <w:p w14:paraId="2D8191DF" w14:textId="4B36BB70" w:rsidR="00EB22BD"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N = 59,113 clinical alarms (July 15 – September 9, 2025).</w:t>
      </w:r>
    </w:p>
    <w:p w14:paraId="4DF32AE3" w14:textId="4A22088B" w:rsidR="006A56D3" w:rsidRDefault="006A56D3">
      <w:pPr>
        <w:widowControl/>
        <w:jc w:val="left"/>
        <w:rPr>
          <w:rFonts w:ascii="Times New Roman" w:hAnsi="Times New Roman" w:cs="Times New Roman"/>
          <w:sz w:val="22"/>
          <w:szCs w:val="22"/>
        </w:rPr>
      </w:pPr>
      <w:r>
        <w:rPr>
          <w:rFonts w:ascii="Times New Roman" w:hAnsi="Times New Roman" w:cs="Times New Roman" w:hint="eastAsia"/>
          <w:sz w:val="22"/>
          <w:szCs w:val="22"/>
        </w:rPr>
        <w:br w:type="page"/>
      </w:r>
    </w:p>
    <w:p w14:paraId="0173F154" w14:textId="5D8AB983"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 xml:space="preserve">Table S2.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3E4775A9"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Figure S</w:t>
      </w:r>
      <w:r w:rsidR="00176C57">
        <w:rPr>
          <w:rFonts w:ascii="Times New Roman" w:hAnsi="Times New Roman" w:cs="Times New Roman"/>
          <w:sz w:val="22"/>
          <w:szCs w:val="22"/>
        </w:rPr>
        <w:t>1</w:t>
      </w:r>
      <w:r>
        <w:rPr>
          <w:rFonts w:ascii="Times New Roman" w:hAnsi="Times New Roman" w:cs="Times New Roman"/>
          <w:sz w:val="22"/>
          <w:szCs w:val="22"/>
        </w:rPr>
        <w:t xml:space="preserve">. </w:t>
      </w:r>
      <w:r w:rsidR="00F673FA" w:rsidRPr="00F673FA">
        <w:rPr>
          <w:rFonts w:ascii="Times New Roman" w:hAnsi="Times New Roman" w:cs="Times New Roman"/>
          <w:sz w:val="22"/>
          <w:szCs w:val="22"/>
        </w:rPr>
        <w:t>Clinical alarm distribution by ward zone, hour of day, and day of week</w:t>
      </w:r>
    </w:p>
    <w:p w14:paraId="4EB1C74F" w14:textId="75F8AAA6"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FB7A919" wp14:editId="3378A182">
            <wp:extent cx="6188710" cy="5304790"/>
            <wp:effectExtent l="0" t="0" r="0" b="3810"/>
            <wp:docPr id="850472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2731" name="図 850472731"/>
                    <pic:cNvPicPr/>
                  </pic:nvPicPr>
                  <pic:blipFill>
                    <a:blip r:embed="rId8"/>
                    <a:stretch>
                      <a:fillRect/>
                    </a:stretch>
                  </pic:blipFill>
                  <pic:spPr>
                    <a:xfrm>
                      <a:off x="0" y="0"/>
                      <a:ext cx="6188710" cy="5304790"/>
                    </a:xfrm>
                    <a:prstGeom prst="rect">
                      <a:avLst/>
                    </a:prstGeom>
                  </pic:spPr>
                </pic:pic>
              </a:graphicData>
            </a:graphic>
          </wp:inline>
        </w:drawing>
      </w:r>
    </w:p>
    <w:p w14:paraId="55DDD770" w14:textId="136F2E7B" w:rsidR="002A5A14" w:rsidRPr="0069413C" w:rsidRDefault="00F673FA" w:rsidP="00F673FA">
      <w:pPr>
        <w:tabs>
          <w:tab w:val="left" w:pos="1196"/>
        </w:tabs>
        <w:rPr>
          <w:rFonts w:ascii="Times New Roman" w:hAnsi="Times New Roman" w:cs="Times New Roman"/>
          <w:sz w:val="22"/>
          <w:szCs w:val="22"/>
        </w:rPr>
      </w:pPr>
      <w:r w:rsidRPr="00F673FA">
        <w:rPr>
          <w:rFonts w:ascii="Times New Roman" w:hAnsi="Times New Roman" w:cs="Times New Roman"/>
          <w:sz w:val="22"/>
          <w:szCs w:val="22"/>
        </w:rPr>
        <w:t>Six-panel heatmap comparing the temporal distribution of clinical alarms between the</w:t>
      </w:r>
      <w:r>
        <w:rPr>
          <w:rFonts w:ascii="Times New Roman" w:hAnsi="Times New Roman" w:cs="Times New Roman"/>
          <w:sz w:val="22"/>
          <w:szCs w:val="22"/>
        </w:rPr>
        <w:t xml:space="preserve"> </w:t>
      </w:r>
      <w:r w:rsidRPr="00F673FA">
        <w:rPr>
          <w:rFonts w:ascii="Times New Roman" w:hAnsi="Times New Roman" w:cs="Times New Roman"/>
          <w:sz w:val="22"/>
          <w:szCs w:val="22"/>
        </w:rPr>
        <w:t>high-acuity zone (12 beds) and the general zone</w:t>
      </w:r>
      <w:r>
        <w:rPr>
          <w:rFonts w:ascii="Times New Roman" w:hAnsi="Times New Roman" w:cs="Times New Roman"/>
          <w:sz w:val="22"/>
          <w:szCs w:val="22"/>
        </w:rPr>
        <w:t xml:space="preserve"> </w:t>
      </w:r>
      <w:r w:rsidRPr="00F673FA">
        <w:rPr>
          <w:rFonts w:ascii="Times New Roman" w:hAnsi="Times New Roman" w:cs="Times New Roman"/>
          <w:sz w:val="22"/>
          <w:szCs w:val="22"/>
        </w:rPr>
        <w:t>(29 beds), stratified by priority level (rows: ADVISORY, WARNING, CRISIS) and ward zone (columns: high-acuity, general). Each cell represents the total alarm count for a given</w:t>
      </w:r>
      <w:r>
        <w:rPr>
          <w:rFonts w:ascii="Times New Roman" w:hAnsi="Times New Roman" w:cs="Times New Roman"/>
          <w:sz w:val="22"/>
          <w:szCs w:val="22"/>
        </w:rPr>
        <w:t xml:space="preserve"> </w:t>
      </w:r>
      <w:r w:rsidRPr="00F673FA">
        <w:rPr>
          <w:rFonts w:ascii="Times New Roman" w:hAnsi="Times New Roman" w:cs="Times New Roman"/>
          <w:sz w:val="22"/>
          <w:szCs w:val="22"/>
        </w:rPr>
        <w:t>hour–day combination over the 57-day observation period. Color scales are unified within</w:t>
      </w:r>
      <w:r>
        <w:rPr>
          <w:rFonts w:ascii="Times New Roman" w:hAnsi="Times New Roman" w:cs="Times New Roman"/>
          <w:sz w:val="22"/>
          <w:szCs w:val="22"/>
        </w:rPr>
        <w:t xml:space="preserve"> </w:t>
      </w:r>
      <w:r w:rsidRPr="00F673FA">
        <w:rPr>
          <w:rFonts w:ascii="Times New Roman" w:hAnsi="Times New Roman" w:cs="Times New Roman"/>
          <w:sz w:val="22"/>
          <w:szCs w:val="22"/>
        </w:rPr>
        <w:t>each priority row to allow direct zone comparison. The high-acuity zone shows markedly</w:t>
      </w:r>
      <w:r>
        <w:rPr>
          <w:rFonts w:ascii="Times New Roman" w:hAnsi="Times New Roman" w:cs="Times New Roman"/>
          <w:sz w:val="22"/>
          <w:szCs w:val="22"/>
        </w:rPr>
        <w:t xml:space="preserve"> </w:t>
      </w:r>
      <w:r w:rsidRPr="00F673FA">
        <w:rPr>
          <w:rFonts w:ascii="Times New Roman" w:hAnsi="Times New Roman" w:cs="Times New Roman"/>
          <w:sz w:val="22"/>
          <w:szCs w:val="22"/>
        </w:rPr>
        <w:t>higher ADVISORY and CRISIS alarm density relative to bed count, reflecting the greater</w:t>
      </w:r>
      <w:r>
        <w:rPr>
          <w:rFonts w:ascii="Times New Roman" w:hAnsi="Times New Roman" w:cs="Times New Roman"/>
          <w:sz w:val="22"/>
          <w:szCs w:val="22"/>
        </w:rPr>
        <w:t xml:space="preserve"> </w:t>
      </w:r>
      <w:r w:rsidRPr="00F673FA">
        <w:rPr>
          <w:rFonts w:ascii="Times New Roman" w:hAnsi="Times New Roman" w:cs="Times New Roman"/>
          <w:sz w:val="22"/>
          <w:szCs w:val="22"/>
        </w:rPr>
        <w:t>clinical complexity of patients in that area.</w:t>
      </w:r>
    </w:p>
    <w:p w14:paraId="2025CDDF" w14:textId="03ADE2AF" w:rsidR="002A5A14" w:rsidRDefault="002A5A14" w:rsidP="00393042">
      <w:pPr>
        <w:widowControl/>
        <w:jc w:val="left"/>
        <w:rPr>
          <w:rFonts w:ascii="Times New Roman" w:hAnsi="Times New Roman" w:cs="Times New Roman"/>
          <w:sz w:val="22"/>
          <w:szCs w:val="22"/>
        </w:rPr>
      </w:pPr>
      <w:r>
        <w:rPr>
          <w:rFonts w:ascii="Times New Roman" w:hAnsi="Times New Roman" w:cs="Times New Roman"/>
          <w:sz w:val="22"/>
          <w:szCs w:val="22"/>
        </w:rPr>
        <w:br w:type="page"/>
      </w:r>
      <w:r w:rsidR="00066A11">
        <w:rPr>
          <w:rFonts w:ascii="Times New Roman" w:hAnsi="Times New Roman" w:cs="Times New Roman"/>
          <w:sz w:val="22"/>
          <w:szCs w:val="22"/>
        </w:rPr>
        <w:lastRenderedPageBreak/>
        <w:t>Table S3.</w:t>
      </w:r>
      <w:r w:rsidR="00895BD2">
        <w:rPr>
          <w:rFonts w:ascii="Times New Roman" w:hAnsi="Times New Roman" w:cs="Times New Roman"/>
          <w:sz w:val="22"/>
          <w:szCs w:val="22"/>
        </w:rPr>
        <w:t xml:space="preserve"> </w:t>
      </w:r>
      <w:r w:rsidR="00895BD2" w:rsidRPr="00895BD2">
        <w:rPr>
          <w:rFonts w:ascii="Times New Roman" w:hAnsi="Times New Roman" w:cs="Times New Roman"/>
          <w:sz w:val="22"/>
          <w:szCs w:val="22"/>
        </w:rPr>
        <w:t>Distribution of clinical alarm events by parameter and priority level</w:t>
      </w:r>
    </w:p>
    <w:tbl>
      <w:tblPr>
        <w:tblStyle w:val="aa"/>
        <w:tblW w:w="11341"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2546"/>
        <w:gridCol w:w="1737"/>
        <w:gridCol w:w="1738"/>
        <w:gridCol w:w="1738"/>
        <w:gridCol w:w="1738"/>
      </w:tblGrid>
      <w:tr w:rsidR="00066A11" w:rsidRPr="00066A11" w14:paraId="598426C1" w14:textId="77777777" w:rsidTr="00895BD2">
        <w:tc>
          <w:tcPr>
            <w:tcW w:w="1844" w:type="dxa"/>
            <w:tcBorders>
              <w:top w:val="single" w:sz="4" w:space="0" w:color="auto"/>
              <w:bottom w:val="single" w:sz="4" w:space="0" w:color="auto"/>
            </w:tcBorders>
            <w:vAlign w:val="center"/>
          </w:tcPr>
          <w:p w14:paraId="49CA32AC" w14:textId="722386E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Category</w:t>
            </w:r>
          </w:p>
        </w:tc>
        <w:tc>
          <w:tcPr>
            <w:tcW w:w="2546" w:type="dxa"/>
            <w:tcBorders>
              <w:top w:val="single" w:sz="4" w:space="0" w:color="auto"/>
              <w:bottom w:val="single" w:sz="4" w:space="0" w:color="auto"/>
            </w:tcBorders>
            <w:vAlign w:val="center"/>
          </w:tcPr>
          <w:p w14:paraId="6D06BFFB" w14:textId="57FA226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Parameter</w:t>
            </w:r>
          </w:p>
        </w:tc>
        <w:tc>
          <w:tcPr>
            <w:tcW w:w="1737" w:type="dxa"/>
            <w:tcBorders>
              <w:top w:val="single" w:sz="4" w:space="0" w:color="auto"/>
              <w:bottom w:val="single" w:sz="4" w:space="0" w:color="auto"/>
            </w:tcBorders>
            <w:vAlign w:val="center"/>
          </w:tcPr>
          <w:p w14:paraId="36FFF5AC" w14:textId="3207B4B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ADVISORY</w:t>
            </w:r>
          </w:p>
        </w:tc>
        <w:tc>
          <w:tcPr>
            <w:tcW w:w="1738" w:type="dxa"/>
            <w:tcBorders>
              <w:top w:val="single" w:sz="4" w:space="0" w:color="auto"/>
              <w:bottom w:val="single" w:sz="4" w:space="0" w:color="auto"/>
            </w:tcBorders>
            <w:vAlign w:val="center"/>
          </w:tcPr>
          <w:p w14:paraId="14809A22" w14:textId="6CADD49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WARNING</w:t>
            </w:r>
          </w:p>
        </w:tc>
        <w:tc>
          <w:tcPr>
            <w:tcW w:w="1738" w:type="dxa"/>
            <w:tcBorders>
              <w:top w:val="single" w:sz="4" w:space="0" w:color="auto"/>
              <w:bottom w:val="single" w:sz="4" w:space="0" w:color="auto"/>
            </w:tcBorders>
            <w:vAlign w:val="center"/>
          </w:tcPr>
          <w:p w14:paraId="24A5CB3E" w14:textId="63C23A9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CRISIS</w:t>
            </w:r>
          </w:p>
        </w:tc>
        <w:tc>
          <w:tcPr>
            <w:tcW w:w="1738" w:type="dxa"/>
            <w:tcBorders>
              <w:top w:val="single" w:sz="4" w:space="0" w:color="auto"/>
              <w:bottom w:val="single" w:sz="4" w:space="0" w:color="auto"/>
            </w:tcBorders>
            <w:vAlign w:val="center"/>
          </w:tcPr>
          <w:p w14:paraId="0772C88B" w14:textId="2D4F801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Total</w:t>
            </w:r>
          </w:p>
        </w:tc>
      </w:tr>
      <w:tr w:rsidR="00066A11" w:rsidRPr="00066A11" w14:paraId="498DDE4A" w14:textId="77777777" w:rsidTr="00895BD2">
        <w:tc>
          <w:tcPr>
            <w:tcW w:w="1844" w:type="dxa"/>
            <w:tcBorders>
              <w:top w:val="single" w:sz="4" w:space="0" w:color="auto"/>
            </w:tcBorders>
            <w:vAlign w:val="center"/>
          </w:tcPr>
          <w:p w14:paraId="3DCFA509" w14:textId="5DF0B649"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tcBorders>
              <w:top w:val="single" w:sz="4" w:space="0" w:color="auto"/>
            </w:tcBorders>
            <w:vAlign w:val="center"/>
          </w:tcPr>
          <w:p w14:paraId="61FB2BD3" w14:textId="768DEB81"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Ventricular fibrillation</w:t>
            </w:r>
          </w:p>
        </w:tc>
        <w:tc>
          <w:tcPr>
            <w:tcW w:w="1737" w:type="dxa"/>
            <w:tcBorders>
              <w:top w:val="single" w:sz="4" w:space="0" w:color="auto"/>
            </w:tcBorders>
            <w:vAlign w:val="center"/>
          </w:tcPr>
          <w:p w14:paraId="7BCD2A85" w14:textId="3D909DA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tcBorders>
              <w:top w:val="single" w:sz="4" w:space="0" w:color="auto"/>
            </w:tcBorders>
            <w:vAlign w:val="center"/>
          </w:tcPr>
          <w:p w14:paraId="08E52D9A" w14:textId="6FFD488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tcBorders>
              <w:top w:val="single" w:sz="4" w:space="0" w:color="auto"/>
            </w:tcBorders>
            <w:vAlign w:val="center"/>
          </w:tcPr>
          <w:p w14:paraId="5B131508" w14:textId="62D3CDE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109 (49.1%)</w:t>
            </w:r>
          </w:p>
        </w:tc>
        <w:tc>
          <w:tcPr>
            <w:tcW w:w="1738" w:type="dxa"/>
            <w:tcBorders>
              <w:top w:val="single" w:sz="4" w:space="0" w:color="auto"/>
            </w:tcBorders>
            <w:vAlign w:val="center"/>
          </w:tcPr>
          <w:p w14:paraId="061AB491" w14:textId="728F5B4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109 (0.2%)</w:t>
            </w:r>
          </w:p>
        </w:tc>
      </w:tr>
      <w:tr w:rsidR="00066A11" w:rsidRPr="00066A11" w14:paraId="78D7E125" w14:textId="77777777" w:rsidTr="00895BD2">
        <w:tc>
          <w:tcPr>
            <w:tcW w:w="1844" w:type="dxa"/>
            <w:vAlign w:val="center"/>
          </w:tcPr>
          <w:p w14:paraId="62959EE3" w14:textId="00AE9C4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20FD5AC9" w14:textId="45ACFFB8"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Ventricular tachycardia</w:t>
            </w:r>
          </w:p>
        </w:tc>
        <w:tc>
          <w:tcPr>
            <w:tcW w:w="1737" w:type="dxa"/>
            <w:vAlign w:val="center"/>
          </w:tcPr>
          <w:p w14:paraId="32908F36" w14:textId="18DAFFB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ED2DB50" w14:textId="24914542"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A347DF5" w14:textId="741AC1C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69 (31.1%)</w:t>
            </w:r>
          </w:p>
        </w:tc>
        <w:tc>
          <w:tcPr>
            <w:tcW w:w="1738" w:type="dxa"/>
            <w:vAlign w:val="center"/>
          </w:tcPr>
          <w:p w14:paraId="3AD0D714" w14:textId="4188D01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69 (0.1%)</w:t>
            </w:r>
          </w:p>
        </w:tc>
      </w:tr>
      <w:tr w:rsidR="00066A11" w:rsidRPr="00066A11" w14:paraId="6263E5FB" w14:textId="77777777" w:rsidTr="00895BD2">
        <w:tc>
          <w:tcPr>
            <w:tcW w:w="1844" w:type="dxa"/>
            <w:vAlign w:val="center"/>
          </w:tcPr>
          <w:p w14:paraId="0CE54234" w14:textId="38A442F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52297ECF" w14:textId="10AB0A67"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Asystole</w:t>
            </w:r>
          </w:p>
        </w:tc>
        <w:tc>
          <w:tcPr>
            <w:tcW w:w="1737" w:type="dxa"/>
            <w:vAlign w:val="center"/>
          </w:tcPr>
          <w:p w14:paraId="1CF2B4B3" w14:textId="0CBADC2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60B0747" w14:textId="779B6EC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1022F6E1" w14:textId="20F56FC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 (19.8%)</w:t>
            </w:r>
          </w:p>
        </w:tc>
        <w:tc>
          <w:tcPr>
            <w:tcW w:w="1738" w:type="dxa"/>
            <w:vAlign w:val="center"/>
          </w:tcPr>
          <w:p w14:paraId="2865BF2D" w14:textId="02CE1B02"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 (0.1%)</w:t>
            </w:r>
          </w:p>
        </w:tc>
      </w:tr>
      <w:tr w:rsidR="00066A11" w:rsidRPr="00066A11" w14:paraId="160B3B52" w14:textId="77777777" w:rsidTr="00895BD2">
        <w:tc>
          <w:tcPr>
            <w:tcW w:w="1844" w:type="dxa"/>
            <w:vAlign w:val="center"/>
          </w:tcPr>
          <w:p w14:paraId="2D7AB6B6" w14:textId="37EEDCE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57C02681" w14:textId="619DD7E5"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VPC Run</w:t>
            </w:r>
          </w:p>
        </w:tc>
        <w:tc>
          <w:tcPr>
            <w:tcW w:w="1737" w:type="dxa"/>
            <w:vAlign w:val="center"/>
          </w:tcPr>
          <w:p w14:paraId="0191FA29" w14:textId="7F7069B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1574 (95.5%)</w:t>
            </w:r>
          </w:p>
        </w:tc>
        <w:tc>
          <w:tcPr>
            <w:tcW w:w="1738" w:type="dxa"/>
            <w:vAlign w:val="center"/>
          </w:tcPr>
          <w:p w14:paraId="58369B75" w14:textId="1693B50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1F6C9EC" w14:textId="3B94551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3AD2FB0" w14:textId="4491FA4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1574 (2.7%)</w:t>
            </w:r>
          </w:p>
        </w:tc>
      </w:tr>
      <w:tr w:rsidR="00066A11" w:rsidRPr="00066A11" w14:paraId="16CA7FA6" w14:textId="77777777" w:rsidTr="00895BD2">
        <w:tc>
          <w:tcPr>
            <w:tcW w:w="1844" w:type="dxa"/>
            <w:vAlign w:val="center"/>
          </w:tcPr>
          <w:p w14:paraId="47EF7E19" w14:textId="2F3B26D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49C55F98" w14:textId="0B4F11E1"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Tachycardia</w:t>
            </w:r>
          </w:p>
        </w:tc>
        <w:tc>
          <w:tcPr>
            <w:tcW w:w="1737" w:type="dxa"/>
            <w:vAlign w:val="center"/>
          </w:tcPr>
          <w:p w14:paraId="33F1343E" w14:textId="736DA88C"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76E0930" w14:textId="50E7EB7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8022 (14.0%)</w:t>
            </w:r>
          </w:p>
        </w:tc>
        <w:tc>
          <w:tcPr>
            <w:tcW w:w="1738" w:type="dxa"/>
            <w:vAlign w:val="center"/>
          </w:tcPr>
          <w:p w14:paraId="63634808" w14:textId="6C40D73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2CF53B0" w14:textId="0E8D78E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8022 (13.6%)</w:t>
            </w:r>
          </w:p>
        </w:tc>
      </w:tr>
      <w:tr w:rsidR="00066A11" w:rsidRPr="00066A11" w14:paraId="37397326" w14:textId="77777777" w:rsidTr="00895BD2">
        <w:tc>
          <w:tcPr>
            <w:tcW w:w="1844" w:type="dxa"/>
            <w:vAlign w:val="center"/>
          </w:tcPr>
          <w:p w14:paraId="718FCEC1" w14:textId="64631B0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34FBBEF2" w14:textId="49113D87" w:rsidR="00066A11" w:rsidRPr="00066A11" w:rsidRDefault="00066A11" w:rsidP="00066A11">
            <w:pPr>
              <w:widowControl/>
              <w:jc w:val="left"/>
              <w:rPr>
                <w:rFonts w:ascii="Times New Roman" w:hAnsi="Times New Roman" w:cs="Times New Roman" w:hint="eastAsia"/>
                <w:sz w:val="22"/>
                <w:szCs w:val="22"/>
              </w:rPr>
            </w:pPr>
            <w:r w:rsidRPr="00066A11">
              <w:rPr>
                <w:rFonts w:ascii="Times New Roman" w:eastAsia="Yu Gothic" w:hAnsi="Times New Roman" w:cs="Times New Roman"/>
                <w:color w:val="000000"/>
                <w:sz w:val="22"/>
                <w:szCs w:val="22"/>
              </w:rPr>
              <w:t>Bradycardia</w:t>
            </w:r>
          </w:p>
        </w:tc>
        <w:tc>
          <w:tcPr>
            <w:tcW w:w="1737" w:type="dxa"/>
            <w:vAlign w:val="center"/>
          </w:tcPr>
          <w:p w14:paraId="38D914EB" w14:textId="3572374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B044E63" w14:textId="79BFE42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979 (1.7%)</w:t>
            </w:r>
          </w:p>
        </w:tc>
        <w:tc>
          <w:tcPr>
            <w:tcW w:w="1738" w:type="dxa"/>
            <w:vAlign w:val="center"/>
          </w:tcPr>
          <w:p w14:paraId="6F40360E" w14:textId="51A096F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0D66AE4D" w14:textId="18CB6F4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979 (1.7%)</w:t>
            </w:r>
          </w:p>
        </w:tc>
      </w:tr>
      <w:tr w:rsidR="00066A11" w:rsidRPr="00066A11" w14:paraId="14886F26" w14:textId="77777777" w:rsidTr="00895BD2">
        <w:tc>
          <w:tcPr>
            <w:tcW w:w="1844" w:type="dxa"/>
            <w:vAlign w:val="center"/>
          </w:tcPr>
          <w:p w14:paraId="320354F8" w14:textId="4F77999B"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44DF719B" w14:textId="3A4CA15B"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Pulse rate (via SpO2)</w:t>
            </w:r>
          </w:p>
        </w:tc>
        <w:tc>
          <w:tcPr>
            <w:tcW w:w="1737" w:type="dxa"/>
            <w:vAlign w:val="center"/>
          </w:tcPr>
          <w:p w14:paraId="4B161409" w14:textId="28D6F5E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90B771C" w14:textId="59A5651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1900 (3.3%)</w:t>
            </w:r>
          </w:p>
        </w:tc>
        <w:tc>
          <w:tcPr>
            <w:tcW w:w="1738" w:type="dxa"/>
            <w:vAlign w:val="center"/>
          </w:tcPr>
          <w:p w14:paraId="37E53ED8" w14:textId="3923A44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0A8BDDB" w14:textId="276132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1900 (3.2%)</w:t>
            </w:r>
          </w:p>
        </w:tc>
      </w:tr>
      <w:tr w:rsidR="00066A11" w:rsidRPr="00066A11" w14:paraId="5106B952" w14:textId="77777777" w:rsidTr="00895BD2">
        <w:tc>
          <w:tcPr>
            <w:tcW w:w="1844" w:type="dxa"/>
            <w:vAlign w:val="center"/>
          </w:tcPr>
          <w:p w14:paraId="511CD08E" w14:textId="56D546E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Oxygenation</w:t>
            </w:r>
          </w:p>
        </w:tc>
        <w:tc>
          <w:tcPr>
            <w:tcW w:w="2546" w:type="dxa"/>
            <w:vAlign w:val="center"/>
          </w:tcPr>
          <w:p w14:paraId="5979C9ED" w14:textId="4F0E5CE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SpO2</w:t>
            </w:r>
          </w:p>
        </w:tc>
        <w:tc>
          <w:tcPr>
            <w:tcW w:w="1737" w:type="dxa"/>
            <w:vAlign w:val="center"/>
          </w:tcPr>
          <w:p w14:paraId="304469FB" w14:textId="750E878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23 (1.4%)</w:t>
            </w:r>
          </w:p>
        </w:tc>
        <w:tc>
          <w:tcPr>
            <w:tcW w:w="1738" w:type="dxa"/>
            <w:vAlign w:val="center"/>
          </w:tcPr>
          <w:p w14:paraId="4BA296B4" w14:textId="4971DA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44413 (77.6%)</w:t>
            </w:r>
          </w:p>
        </w:tc>
        <w:tc>
          <w:tcPr>
            <w:tcW w:w="1738" w:type="dxa"/>
            <w:vAlign w:val="center"/>
          </w:tcPr>
          <w:p w14:paraId="377C4D09" w14:textId="2FD26AD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6A41D59" w14:textId="365A74A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44436 (75.2%)</w:t>
            </w:r>
          </w:p>
        </w:tc>
      </w:tr>
      <w:tr w:rsidR="00066A11" w:rsidRPr="00066A11" w14:paraId="4AC14BDC" w14:textId="77777777" w:rsidTr="00895BD2">
        <w:tc>
          <w:tcPr>
            <w:tcW w:w="1844" w:type="dxa"/>
            <w:vAlign w:val="center"/>
          </w:tcPr>
          <w:p w14:paraId="0A005E67" w14:textId="473A18BD"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w:t>
            </w:r>
          </w:p>
        </w:tc>
        <w:tc>
          <w:tcPr>
            <w:tcW w:w="2546" w:type="dxa"/>
            <w:vAlign w:val="center"/>
          </w:tcPr>
          <w:p w14:paraId="4B324034" w14:textId="1AD3DDF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 rate / Apnea</w:t>
            </w:r>
          </w:p>
        </w:tc>
        <w:tc>
          <w:tcPr>
            <w:tcW w:w="1737" w:type="dxa"/>
            <w:vAlign w:val="center"/>
          </w:tcPr>
          <w:p w14:paraId="61D5D9DD" w14:textId="4CF7BF6C"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413DE5B" w14:textId="577778E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1496 (2.6%)</w:t>
            </w:r>
          </w:p>
        </w:tc>
        <w:tc>
          <w:tcPr>
            <w:tcW w:w="1738" w:type="dxa"/>
            <w:vAlign w:val="center"/>
          </w:tcPr>
          <w:p w14:paraId="6946388D" w14:textId="1D65707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5F45DDA" w14:textId="57982A1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1496 (2.5%)</w:t>
            </w:r>
          </w:p>
        </w:tc>
      </w:tr>
      <w:tr w:rsidR="00066A11" w:rsidRPr="00066A11" w14:paraId="1799C460" w14:textId="77777777" w:rsidTr="00895BD2">
        <w:tc>
          <w:tcPr>
            <w:tcW w:w="1844" w:type="dxa"/>
            <w:vAlign w:val="center"/>
          </w:tcPr>
          <w:p w14:paraId="748824B0" w14:textId="0393C2A6"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w:t>
            </w:r>
          </w:p>
        </w:tc>
        <w:tc>
          <w:tcPr>
            <w:tcW w:w="2546" w:type="dxa"/>
            <w:vAlign w:val="center"/>
          </w:tcPr>
          <w:p w14:paraId="25F4781D" w14:textId="569F0B4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EtCO2</w:t>
            </w:r>
          </w:p>
        </w:tc>
        <w:tc>
          <w:tcPr>
            <w:tcW w:w="1737" w:type="dxa"/>
            <w:vAlign w:val="center"/>
          </w:tcPr>
          <w:p w14:paraId="2EB0B3E6" w14:textId="2E81A79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4BF23D58" w14:textId="3F07608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c>
          <w:tcPr>
            <w:tcW w:w="1738" w:type="dxa"/>
            <w:vAlign w:val="center"/>
          </w:tcPr>
          <w:p w14:paraId="27283B0D" w14:textId="190E69D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D6E32A5" w14:textId="58FE43C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(0.0%)</w:t>
            </w:r>
          </w:p>
        </w:tc>
      </w:tr>
      <w:tr w:rsidR="00066A11" w:rsidRPr="00066A11" w14:paraId="6D1CD711" w14:textId="77777777" w:rsidTr="00895BD2">
        <w:tc>
          <w:tcPr>
            <w:tcW w:w="1844" w:type="dxa"/>
            <w:vAlign w:val="center"/>
          </w:tcPr>
          <w:p w14:paraId="010F67F4" w14:textId="2D7BF74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47139D49" w14:textId="07C91BA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NIBP</w:t>
            </w:r>
          </w:p>
        </w:tc>
        <w:tc>
          <w:tcPr>
            <w:tcW w:w="1737" w:type="dxa"/>
            <w:vAlign w:val="center"/>
          </w:tcPr>
          <w:p w14:paraId="5685C25A" w14:textId="4937BC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46 (2.8%)</w:t>
            </w:r>
          </w:p>
        </w:tc>
        <w:tc>
          <w:tcPr>
            <w:tcW w:w="1738" w:type="dxa"/>
            <w:vAlign w:val="center"/>
          </w:tcPr>
          <w:p w14:paraId="647DCAEA" w14:textId="7A418FE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 (0.0%)</w:t>
            </w:r>
          </w:p>
        </w:tc>
        <w:tc>
          <w:tcPr>
            <w:tcW w:w="1738" w:type="dxa"/>
            <w:vAlign w:val="center"/>
          </w:tcPr>
          <w:p w14:paraId="48DE5324" w14:textId="403973A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142867A5" w14:textId="771650B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51 (0.1%)</w:t>
            </w:r>
          </w:p>
        </w:tc>
      </w:tr>
      <w:tr w:rsidR="00066A11" w:rsidRPr="00066A11" w14:paraId="457CCA91" w14:textId="77777777" w:rsidTr="00895BD2">
        <w:tc>
          <w:tcPr>
            <w:tcW w:w="1844" w:type="dxa"/>
            <w:vAlign w:val="center"/>
          </w:tcPr>
          <w:p w14:paraId="067394E0" w14:textId="2E244DA9"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1B2305DB" w14:textId="41C40E8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NIBP (systolic)</w:t>
            </w:r>
          </w:p>
        </w:tc>
        <w:tc>
          <w:tcPr>
            <w:tcW w:w="1737" w:type="dxa"/>
            <w:vAlign w:val="center"/>
          </w:tcPr>
          <w:p w14:paraId="29A46A0B" w14:textId="196F465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384E66A" w14:textId="5CEA288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426 (0.7%)</w:t>
            </w:r>
          </w:p>
        </w:tc>
        <w:tc>
          <w:tcPr>
            <w:tcW w:w="1738" w:type="dxa"/>
            <w:vAlign w:val="center"/>
          </w:tcPr>
          <w:p w14:paraId="3C882FBF" w14:textId="1E21DAB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F9C97EA" w14:textId="13CFD11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426 (0.7%)</w:t>
            </w:r>
          </w:p>
        </w:tc>
      </w:tr>
      <w:tr w:rsidR="00066A11" w:rsidRPr="00066A11" w14:paraId="1AA53577" w14:textId="77777777" w:rsidTr="00895BD2">
        <w:tc>
          <w:tcPr>
            <w:tcW w:w="1844" w:type="dxa"/>
            <w:vAlign w:val="center"/>
          </w:tcPr>
          <w:p w14:paraId="5F73FF5B" w14:textId="2694D41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0018285E" w14:textId="369A534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Arterial pressure</w:t>
            </w:r>
          </w:p>
        </w:tc>
        <w:tc>
          <w:tcPr>
            <w:tcW w:w="1737" w:type="dxa"/>
            <w:vAlign w:val="center"/>
          </w:tcPr>
          <w:p w14:paraId="39D15D9D" w14:textId="597A60A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3001241B" w14:textId="46D9C80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6D2FFA5" w14:textId="2BDC39B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57A61CA1" w14:textId="3AA00F8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5C21290F" w14:textId="77777777" w:rsidTr="00895BD2">
        <w:tc>
          <w:tcPr>
            <w:tcW w:w="1844" w:type="dxa"/>
            <w:vAlign w:val="center"/>
          </w:tcPr>
          <w:p w14:paraId="4F00DC10" w14:textId="297FADC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6F0736BD" w14:textId="223A133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 (T1)</w:t>
            </w:r>
          </w:p>
        </w:tc>
        <w:tc>
          <w:tcPr>
            <w:tcW w:w="1737" w:type="dxa"/>
            <w:vAlign w:val="center"/>
          </w:tcPr>
          <w:p w14:paraId="02CBE434" w14:textId="2900FF9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(0.1%)</w:t>
            </w:r>
          </w:p>
        </w:tc>
        <w:tc>
          <w:tcPr>
            <w:tcW w:w="1738" w:type="dxa"/>
            <w:vAlign w:val="center"/>
          </w:tcPr>
          <w:p w14:paraId="62FE55D0" w14:textId="265A74C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522EEBDF" w14:textId="773E310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D1BBCA6" w14:textId="27ECEC9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(0.0%)</w:t>
            </w:r>
          </w:p>
        </w:tc>
      </w:tr>
      <w:tr w:rsidR="00066A11" w:rsidRPr="00066A11" w14:paraId="36A89FC3" w14:textId="77777777" w:rsidTr="00895BD2">
        <w:tc>
          <w:tcPr>
            <w:tcW w:w="1844" w:type="dxa"/>
            <w:vAlign w:val="center"/>
          </w:tcPr>
          <w:p w14:paraId="7F310EEB" w14:textId="473CEBC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181651D9" w14:textId="072D9DA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 (T2)</w:t>
            </w:r>
          </w:p>
        </w:tc>
        <w:tc>
          <w:tcPr>
            <w:tcW w:w="1737" w:type="dxa"/>
            <w:vAlign w:val="center"/>
          </w:tcPr>
          <w:p w14:paraId="2B4EAAB4" w14:textId="7C0645F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03F79010" w14:textId="17B7125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B5E7307" w14:textId="65464B0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016FBCBF" w14:textId="54B8F55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7C25804B" w14:textId="77777777" w:rsidTr="00895BD2">
        <w:tc>
          <w:tcPr>
            <w:tcW w:w="1844" w:type="dxa"/>
            <w:vAlign w:val="center"/>
          </w:tcPr>
          <w:p w14:paraId="7E05D467" w14:textId="56A9652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40B2738C" w14:textId="3B9B1CE8"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Body temperature (Tb)</w:t>
            </w:r>
          </w:p>
        </w:tc>
        <w:tc>
          <w:tcPr>
            <w:tcW w:w="1737" w:type="dxa"/>
            <w:vAlign w:val="center"/>
          </w:tcPr>
          <w:p w14:paraId="19078C91" w14:textId="48B0B48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51A84DD2" w14:textId="3E0AFE2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0BE6581" w14:textId="46C601B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348D523" w14:textId="353C2BC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0208C336" w14:textId="77777777" w:rsidTr="00895BD2">
        <w:tc>
          <w:tcPr>
            <w:tcW w:w="1844" w:type="dxa"/>
            <w:vAlign w:val="center"/>
          </w:tcPr>
          <w:p w14:paraId="45B7C29E" w14:textId="77777777" w:rsidR="00066A11" w:rsidRPr="00066A11" w:rsidRDefault="00066A11" w:rsidP="00066A11">
            <w:pPr>
              <w:widowControl/>
              <w:jc w:val="left"/>
              <w:rPr>
                <w:rFonts w:ascii="Times New Roman" w:hAnsi="Times New Roman" w:cs="Times New Roman"/>
                <w:sz w:val="22"/>
                <w:szCs w:val="22"/>
              </w:rPr>
            </w:pPr>
          </w:p>
        </w:tc>
        <w:tc>
          <w:tcPr>
            <w:tcW w:w="2546" w:type="dxa"/>
            <w:vAlign w:val="center"/>
          </w:tcPr>
          <w:p w14:paraId="35B20D87" w14:textId="606980B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Total</w:t>
            </w:r>
          </w:p>
        </w:tc>
        <w:tc>
          <w:tcPr>
            <w:tcW w:w="1737" w:type="dxa"/>
            <w:vAlign w:val="center"/>
          </w:tcPr>
          <w:p w14:paraId="0ABDBDA0" w14:textId="4A7C92A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1649 (100.0%)</w:t>
            </w:r>
          </w:p>
        </w:tc>
        <w:tc>
          <w:tcPr>
            <w:tcW w:w="1738" w:type="dxa"/>
            <w:vAlign w:val="center"/>
          </w:tcPr>
          <w:p w14:paraId="2C2064D7" w14:textId="2812C8C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57242 (100.0%)</w:t>
            </w:r>
          </w:p>
        </w:tc>
        <w:tc>
          <w:tcPr>
            <w:tcW w:w="1738" w:type="dxa"/>
            <w:vAlign w:val="center"/>
          </w:tcPr>
          <w:p w14:paraId="71C94B0B" w14:textId="73ADC91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222 (100.0%)</w:t>
            </w:r>
          </w:p>
        </w:tc>
        <w:tc>
          <w:tcPr>
            <w:tcW w:w="1738" w:type="dxa"/>
            <w:vAlign w:val="center"/>
          </w:tcPr>
          <w:p w14:paraId="5250D503" w14:textId="6D08842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59113 (100.0%)</w:t>
            </w:r>
          </w:p>
        </w:tc>
      </w:tr>
    </w:tbl>
    <w:p w14:paraId="1C838BF2" w14:textId="77777777" w:rsidR="002D7068"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Values are n (%) of clinical alarms within each priority level. Percentages for the Total column represent proportions of all clinical alarms (N = 59,113). "—" indicates no alarms of this parameter were recorded</w:t>
      </w:r>
      <w:r>
        <w:rPr>
          <w:rFonts w:ascii="Times New Roman" w:hAnsi="Times New Roman" w:cs="Times New Roman"/>
          <w:sz w:val="22"/>
          <w:szCs w:val="22"/>
        </w:rPr>
        <w:t xml:space="preserve"> </w:t>
      </w:r>
      <w:r w:rsidRPr="00895BD2">
        <w:rPr>
          <w:rFonts w:ascii="Times New Roman" w:hAnsi="Times New Roman" w:cs="Times New Roman"/>
          <w:sz w:val="22"/>
          <w:szCs w:val="22"/>
        </w:rPr>
        <w:t>at this priority level during the observation period.                                                                                                                                                            CRISIS-level alarms exclusively comprised life-threatening arrhythmias (ventricular fibrillation, ventricular tachycardia, and asystole), consistent with the bedside monitoring system's priority classification scheme, in which CRISIS is reserved for conditions requiring immediate intervention. The predominance of SpO2-related alarms within the WARNING category (44,413/57,242; 77.6%) and VPC Run within the ADVISOR</w:t>
      </w:r>
      <w:r>
        <w:rPr>
          <w:rFonts w:ascii="Times New Roman" w:hAnsi="Times New Roman" w:cs="Times New Roman"/>
          <w:sz w:val="22"/>
          <w:szCs w:val="22"/>
        </w:rPr>
        <w:t xml:space="preserve">Y </w:t>
      </w:r>
      <w:r w:rsidRPr="00895BD2">
        <w:rPr>
          <w:rFonts w:ascii="Times New Roman" w:hAnsi="Times New Roman" w:cs="Times New Roman"/>
          <w:sz w:val="22"/>
          <w:szCs w:val="22"/>
        </w:rPr>
        <w:t>category (1,574/1,649; 95.5%) reflects the physiological monitoring profile of a post-surgical ward. Alarm parameters were recorded as displayed on the central monitoring system and were not modified by the</w:t>
      </w:r>
      <w:r>
        <w:rPr>
          <w:rFonts w:ascii="Times New Roman" w:hAnsi="Times New Roman" w:cs="Times New Roman"/>
          <w:sz w:val="22"/>
          <w:szCs w:val="22"/>
        </w:rPr>
        <w:t xml:space="preserve"> </w:t>
      </w:r>
      <w:r w:rsidRPr="00895BD2">
        <w:rPr>
          <w:rFonts w:ascii="Times New Roman" w:hAnsi="Times New Roman" w:cs="Times New Roman"/>
          <w:sz w:val="22"/>
          <w:szCs w:val="22"/>
        </w:rPr>
        <w:t xml:space="preserve">investigators. </w:t>
      </w:r>
    </w:p>
    <w:p w14:paraId="77C13D20" w14:textId="77777777" w:rsidR="002D7068" w:rsidRDefault="002D7068">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hint="eastAsia"/>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67BD3B88" w:rsidR="00066A11" w:rsidRPr="006E750B"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sectPr w:rsidR="00066A11"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F62E7"/>
    <w:rsid w:val="00176C57"/>
    <w:rsid w:val="0019632E"/>
    <w:rsid w:val="001C2220"/>
    <w:rsid w:val="001D3F68"/>
    <w:rsid w:val="001E3BD0"/>
    <w:rsid w:val="00202195"/>
    <w:rsid w:val="002A5A14"/>
    <w:rsid w:val="002D7068"/>
    <w:rsid w:val="00302883"/>
    <w:rsid w:val="00312D1C"/>
    <w:rsid w:val="00323139"/>
    <w:rsid w:val="00357DC8"/>
    <w:rsid w:val="00393042"/>
    <w:rsid w:val="00434360"/>
    <w:rsid w:val="00440FCD"/>
    <w:rsid w:val="004B2F1E"/>
    <w:rsid w:val="00657277"/>
    <w:rsid w:val="0069413C"/>
    <w:rsid w:val="006A56D3"/>
    <w:rsid w:val="006E750B"/>
    <w:rsid w:val="007A024B"/>
    <w:rsid w:val="00892E5C"/>
    <w:rsid w:val="00895BD2"/>
    <w:rsid w:val="008E2EE2"/>
    <w:rsid w:val="00994E6D"/>
    <w:rsid w:val="009E6423"/>
    <w:rsid w:val="00A177E7"/>
    <w:rsid w:val="00AC11AE"/>
    <w:rsid w:val="00CF5842"/>
    <w:rsid w:val="00D223A6"/>
    <w:rsid w:val="00D53FF9"/>
    <w:rsid w:val="00DA1EE8"/>
    <w:rsid w:val="00DC245A"/>
    <w:rsid w:val="00DE6985"/>
    <w:rsid w:val="00E03E8D"/>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2090</Words>
  <Characters>12022</Characters>
  <Application>Microsoft Office Word</Application>
  <DocSecurity>0</DocSecurity>
  <Lines>522</Lines>
  <Paragraphs>403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3</cp:revision>
  <cp:lastPrinted>2026-03-18T05:47:00Z</cp:lastPrinted>
  <dcterms:created xsi:type="dcterms:W3CDTF">2026-03-18T05:47:00Z</dcterms:created>
  <dcterms:modified xsi:type="dcterms:W3CDTF">2026-03-18T05:57:00Z</dcterms:modified>
</cp:coreProperties>
</file>