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Approved management update</w:t>
      </w:r>
    </w:p>
    <w:p>
      <w:pPr>
        <w:spacing w:after="240"/>
      </w:pPr>
      <w:r>
        <w:rPr>
          <w:color w:val="3F5962"/>
          <w:sz w:val="20"/>
        </w:rPr>
        <w:t>M01-M02 | Decision date: 24 September 2026 | Effective: 28 September 2026 | Level 4 only</w:t>
      </w:r>
    </w:p>
    <w:p>
      <w:r>
        <w:t>Apply this approved change after the earlier levels. The questions in Levels 1-3 do not test the changed rule, so their expected answers remain valid after this update. The original 30 order rows must also remain intact apart from the new field in M02.</w:t>
      </w:r>
    </w:p>
    <w:p>
      <w:pPr>
        <w:pStyle w:val="Heading1"/>
      </w:pPr>
      <w:r>
        <w:t>M01 | A new option for routine progress updates</w:t>
      </w:r>
    </w:p>
    <w:p>
      <w:r>
        <w:t>APPROVED DECISION. Customer Service Management met on 24 September 2026. This decision replaces only P10 of Company Service Policy version 1.0. It takes effect on 28 September 2026. No other policy section is changed.</w:t>
      </w:r>
    </w:p>
    <w:p>
      <w:r>
        <w:t>From the effective date, customers may receive a routine non-urgent order-progress follow-up by Email or Phone. Use the value in PreferredUpdateChannel for that order. Where the value is Phone, Customer Information arranges a callback for the next working day between 10:00 and 12:00, Finnish local time. The assistant explains or drafts the request; it does not book or place the call.</w:t>
      </w:r>
    </w:p>
    <w:p>
      <w:r>
        <w:t>If the preference is blank or not recorded, staff must ask the customer which channel they prefer before arranging a follow-up. Blank does not mean Email, Phone or permission to guess. This rule applies to routine progress updates only, not refunds, emergency response or permission to alter delivery data.</w:t>
      </w:r>
    </w:p>
    <w:p>
      <w:r>
        <w:t>Update your maintained copy of the policy to version 2.0 and mark P10 as replaced by M01. Keep P01-P09 unchanged. Check whether your FAQ repeats the old email-only rule. Do not leave a contradictory old policy active in the Gem. This management note is the original authority for the new rule; the edited policy is the maintained working source.</w:t>
      </w:r>
    </w:p>
    <w:p>
      <w:pPr>
        <w:pStyle w:val="Heading1"/>
      </w:pPr>
      <w:r>
        <w:t>M02 | Record the missing customer preference</w:t>
      </w:r>
    </w:p>
    <w:p>
      <w:r>
        <w:t>The order register has no dedicated field for the update-channel preference. Add one new column at the right-hand end of the Orders sheet. Name it exactly PreferredUpdateChannel. Allowed recorded values for this exercise are Email or Phone. An empty cell means Not recorded.</w:t>
      </w:r>
    </w:p>
    <w:p>
      <w:r>
        <w:t>Enter the five approved values in the table below. Do not infer preferences from a customer name, order status or whether a past contact was a phone call. Leave the other original rows blank. Do not edit the original order status, dates or DeliveryNote as part of this change.</w:t>
      </w:r>
    </w:p>
    <w:p>
      <w:r>
        <w:t>The new column and these values are the only required structural update. Update the data dictionary with the definition above. Save or wait for the Google Sheets save indicator, then test whether the Gem can use the new field. Record automatic, delayed, manual or unsuccessful refresh honestly.</w:t>
      </w:r>
    </w:p>
    <w:tbl>
      <w:tblPr>
        <w:tblW w:type="auto" w:w="0"/>
        <w:jc w:val="center"/>
        <w:tblLayout w:type="fixed"/>
        <w:tblLook w:firstColumn="1" w:firstRow="1" w:lastColumn="0" w:lastRow="0" w:noHBand="0" w:noVBand="1" w:val="04A0"/>
      </w:tblPr>
      <w:tblGrid>
        <w:gridCol w:w="4535"/>
        <w:gridCol w:w="5329"/>
      </w:tblGrid>
      <w:tr>
        <w:trPr>
          <w:tblHeader/>
          <w:cantSplit/>
        </w:trPr>
        <w:tc>
          <w:tcPr>
            <w:tcW w:type="dxa" w:w="4535"/>
            <w:shd w:fill="EEF4F5"/>
            <w:vAlign w:val="center"/>
            <w:tcMar>
              <w:top w:w="85" w:type="dxa"/>
              <w:left w:w="85" w:type="dxa"/>
              <w:bottom w:w="85" w:type="dxa"/>
              <w:right w:w="85" w:type="dxa"/>
            </w:tcMar>
          </w:tcPr>
          <w:p>
            <w:pPr>
              <w:spacing w:after="60" w:before="60" w:line="240" w:lineRule="auto"/>
            </w:pPr>
            <w:r>
              <w:rPr>
                <w:b/>
                <w:color w:val="3F5962"/>
                <w:sz w:val="22"/>
              </w:rPr>
              <w:t>OrderID</w:t>
            </w:r>
          </w:p>
        </w:tc>
        <w:tc>
          <w:tcPr>
            <w:tcW w:type="dxa" w:w="5329"/>
            <w:shd w:fill="EEF4F5"/>
            <w:vAlign w:val="center"/>
            <w:tcMar>
              <w:top w:w="85" w:type="dxa"/>
              <w:left w:w="85" w:type="dxa"/>
              <w:bottom w:w="85" w:type="dxa"/>
              <w:right w:w="85" w:type="dxa"/>
            </w:tcMar>
          </w:tcPr>
          <w:p>
            <w:pPr>
              <w:spacing w:after="60" w:before="60" w:line="240" w:lineRule="auto"/>
            </w:pPr>
            <w:r>
              <w:rPr>
                <w:b/>
                <w:color w:val="3F5962"/>
                <w:sz w:val="22"/>
              </w:rPr>
              <w:t>PreferredUpdateChannel</w:t>
            </w:r>
          </w:p>
        </w:tc>
      </w:tr>
      <w:tr>
        <w:trPr>
          <w:cantSplit/>
        </w:trPr>
        <w:tc>
          <w:tcPr>
            <w:tcW w:type="dxa" w:w="4535"/>
            <w:vAlign w:val="center"/>
            <w:tcMar>
              <w:top w:w="85" w:type="dxa"/>
              <w:left w:w="85" w:type="dxa"/>
              <w:bottom w:w="85" w:type="dxa"/>
              <w:right w:w="85" w:type="dxa"/>
            </w:tcMar>
          </w:tcPr>
          <w:p>
            <w:pPr>
              <w:spacing w:after="60" w:before="60" w:line="240" w:lineRule="auto"/>
            </w:pPr>
            <w:r>
              <w:rPr>
                <w:sz w:val="22"/>
              </w:rPr>
              <w:t>ORD-1042</w:t>
            </w:r>
          </w:p>
        </w:tc>
        <w:tc>
          <w:tcPr>
            <w:tcW w:type="dxa" w:w="5329"/>
            <w:vAlign w:val="center"/>
            <w:tcMar>
              <w:top w:w="85" w:type="dxa"/>
              <w:left w:w="85" w:type="dxa"/>
              <w:bottom w:w="85" w:type="dxa"/>
              <w:right w:w="85" w:type="dxa"/>
            </w:tcMar>
          </w:tcPr>
          <w:p>
            <w:pPr>
              <w:spacing w:after="60" w:before="60" w:line="240" w:lineRule="auto"/>
            </w:pPr>
            <w:r>
              <w:rPr>
                <w:sz w:val="22"/>
              </w:rPr>
              <w:t>Email</w:t>
            </w:r>
          </w:p>
        </w:tc>
      </w:tr>
      <w:tr>
        <w:trPr>
          <w:cantSplit/>
        </w:trPr>
        <w:tc>
          <w:tcPr>
            <w:tcW w:type="dxa" w:w="4535"/>
            <w:vAlign w:val="center"/>
            <w:tcMar>
              <w:top w:w="85" w:type="dxa"/>
              <w:left w:w="85" w:type="dxa"/>
              <w:bottom w:w="85" w:type="dxa"/>
              <w:right w:w="85" w:type="dxa"/>
            </w:tcMar>
          </w:tcPr>
          <w:p>
            <w:pPr>
              <w:spacing w:after="60" w:before="60" w:line="240" w:lineRule="auto"/>
            </w:pPr>
            <w:r>
              <w:rPr>
                <w:sz w:val="22"/>
              </w:rPr>
              <w:t>ORD-1047</w:t>
            </w:r>
          </w:p>
        </w:tc>
        <w:tc>
          <w:tcPr>
            <w:tcW w:type="dxa" w:w="5329"/>
            <w:vAlign w:val="center"/>
            <w:tcMar>
              <w:top w:w="85" w:type="dxa"/>
              <w:left w:w="85" w:type="dxa"/>
              <w:bottom w:w="85" w:type="dxa"/>
              <w:right w:w="85" w:type="dxa"/>
            </w:tcMar>
          </w:tcPr>
          <w:p>
            <w:pPr>
              <w:spacing w:after="60" w:before="60" w:line="240" w:lineRule="auto"/>
            </w:pPr>
            <w:r>
              <w:rPr>
                <w:sz w:val="22"/>
              </w:rPr>
              <w:t>Phone</w:t>
            </w:r>
          </w:p>
        </w:tc>
      </w:tr>
      <w:tr>
        <w:trPr>
          <w:cantSplit/>
        </w:trPr>
        <w:tc>
          <w:tcPr>
            <w:tcW w:type="dxa" w:w="4535"/>
            <w:vAlign w:val="center"/>
            <w:tcMar>
              <w:top w:w="85" w:type="dxa"/>
              <w:left w:w="85" w:type="dxa"/>
              <w:bottom w:w="85" w:type="dxa"/>
              <w:right w:w="85" w:type="dxa"/>
            </w:tcMar>
          </w:tcPr>
          <w:p>
            <w:pPr>
              <w:spacing w:after="60" w:before="60" w:line="240" w:lineRule="auto"/>
            </w:pPr>
            <w:r>
              <w:rPr>
                <w:sz w:val="22"/>
              </w:rPr>
              <w:t>ORD-1053</w:t>
            </w:r>
          </w:p>
        </w:tc>
        <w:tc>
          <w:tcPr>
            <w:tcW w:type="dxa" w:w="5329"/>
            <w:vAlign w:val="center"/>
            <w:tcMar>
              <w:top w:w="85" w:type="dxa"/>
              <w:left w:w="85" w:type="dxa"/>
              <w:bottom w:w="85" w:type="dxa"/>
              <w:right w:w="85" w:type="dxa"/>
            </w:tcMar>
          </w:tcPr>
          <w:p>
            <w:pPr>
              <w:spacing w:after="60" w:before="60" w:line="240" w:lineRule="auto"/>
            </w:pPr>
            <w:r>
              <w:rPr>
                <w:sz w:val="22"/>
              </w:rPr>
              <w:t>Phone</w:t>
            </w:r>
          </w:p>
        </w:tc>
      </w:tr>
      <w:tr>
        <w:trPr>
          <w:cantSplit/>
        </w:trPr>
        <w:tc>
          <w:tcPr>
            <w:tcW w:type="dxa" w:w="4535"/>
            <w:vAlign w:val="center"/>
            <w:tcMar>
              <w:top w:w="85" w:type="dxa"/>
              <w:left w:w="85" w:type="dxa"/>
              <w:bottom w:w="85" w:type="dxa"/>
              <w:right w:w="85" w:type="dxa"/>
            </w:tcMar>
          </w:tcPr>
          <w:p>
            <w:pPr>
              <w:spacing w:after="60" w:before="60" w:line="240" w:lineRule="auto"/>
            </w:pPr>
            <w:r>
              <w:rPr>
                <w:sz w:val="22"/>
              </w:rPr>
              <w:t>ORD-1058</w:t>
            </w:r>
          </w:p>
        </w:tc>
        <w:tc>
          <w:tcPr>
            <w:tcW w:type="dxa" w:w="5329"/>
            <w:vAlign w:val="center"/>
            <w:tcMar>
              <w:top w:w="85" w:type="dxa"/>
              <w:left w:w="85" w:type="dxa"/>
              <w:bottom w:w="85" w:type="dxa"/>
              <w:right w:w="85" w:type="dxa"/>
            </w:tcMar>
          </w:tcPr>
          <w:p>
            <w:pPr>
              <w:spacing w:after="60" w:before="60" w:line="240" w:lineRule="auto"/>
            </w:pPr>
            <w:r>
              <w:rPr>
                <w:sz w:val="22"/>
              </w:rPr>
              <w:t>Email</w:t>
            </w:r>
          </w:p>
        </w:tc>
      </w:tr>
      <w:tr>
        <w:trPr>
          <w:cantSplit/>
        </w:trPr>
        <w:tc>
          <w:tcPr>
            <w:tcW w:type="dxa" w:w="4535"/>
            <w:vAlign w:val="center"/>
            <w:tcMar>
              <w:top w:w="85" w:type="dxa"/>
              <w:left w:w="85" w:type="dxa"/>
              <w:bottom w:w="85" w:type="dxa"/>
              <w:right w:w="85" w:type="dxa"/>
            </w:tcMar>
          </w:tcPr>
          <w:p>
            <w:pPr>
              <w:spacing w:after="60" w:before="60" w:line="240" w:lineRule="auto"/>
            </w:pPr>
            <w:r>
              <w:rPr>
                <w:sz w:val="22"/>
              </w:rPr>
              <w:t>ORD-1065</w:t>
            </w:r>
          </w:p>
        </w:tc>
        <w:tc>
          <w:tcPr>
            <w:tcW w:type="dxa" w:w="5329"/>
            <w:vAlign w:val="center"/>
            <w:tcMar>
              <w:top w:w="85" w:type="dxa"/>
              <w:left w:w="85" w:type="dxa"/>
              <w:bottom w:w="85" w:type="dxa"/>
              <w:right w:w="85" w:type="dxa"/>
            </w:tcMar>
          </w:tcPr>
          <w:p>
            <w:pPr>
              <w:spacing w:after="60" w:before="60" w:line="240" w:lineRule="auto"/>
            </w:pPr>
            <w:r>
              <w:rPr>
                <w:sz w:val="22"/>
              </w:rPr>
              <w:t>Phone</w:t>
            </w:r>
          </w:p>
        </w:tc>
      </w:tr>
    </w:tbl>
    <w:p>
      <w:r>
        <w:rPr>
          <w:b/>
        </w:rPr>
        <w:t xml:space="preserve">Scope: </w:t>
      </w:r>
      <w:r>
        <w:t>Other orders: leave the new column blank. Do not use the table as a reason to change Status, ExpectedDate or other original data. Add the new definition to your working data dictionary.</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F5962"/>
        <w:sz w:val="16"/>
      </w:rPr>
      <w:t xml:space="preserve">AI for Business | Fictional course material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4" w:color="8DAEB6"/>
      </w:pBdr>
    </w:pPr>
    <w:r>
      <w:rPr>
        <w:color w:val="3F5962"/>
        <w:sz w:val="16"/>
      </w:rPr>
      <w:t>CUSTOMER SERVICE / FICTIONAL TRAINING COMPANY   |   CS-D-1.0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9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3F596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F59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val="0"/>
      <w:color w:val="3F59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management update</dc:title>
  <dc:subject>AI for Business - Theme D individual work</dc:subject>
  <dc:creator>AI for Business</dc:creator>
  <cp:keywords>CS-D-1.0</cp:keywords>
  <dc:description>generated by python-docx</dc:description>
  <cp:lastModifiedBy/>
  <cp:revision>1</cp:revision>
  <dcterms:created xsi:type="dcterms:W3CDTF">2013-12-23T23:15:00Z</dcterms:created>
  <dcterms:modified xsi:type="dcterms:W3CDTF">2013-12-23T23:15:00Z</dcterms:modified>
  <cp:category/>
</cp:coreProperties>
</file>