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Packing Desk Guide</w:t>
      </w:r>
    </w:p>
    <w:p>
      <w:r>
        <w:rPr>
          <w:rFonts w:ascii="Lato" w:hAnsi="Lato"/>
          <w:b w:val="0"/>
          <w:color w:val="3F5962"/>
          <w:sz w:val="18"/>
        </w:rPr>
        <w:t>Source G | Printed reference | Owner: Service Coordinator | Revalidated: 12 June 2026</w:t>
      </w:r>
    </w:p>
    <w:p>
      <w:r>
        <w:t>This is the desk copy for the domestic standard-parcel service in this fictional case. The Service Coordinator has checked that it is still current. It is a source to reorganise into useful knowledge, not an additional test answer key.</w:t>
      </w:r>
    </w:p>
    <w:p>
      <w:pPr>
        <w:pStyle w:val="Heading1"/>
      </w:pPr>
      <w:r>
        <w:t>G01  Reusing a box</w:t>
      </w:r>
    </w:p>
    <w:p>
      <w:r>
        <w:t>Use a strong, clean and undamaged outer box. Remove or fully cover old address labels and old barcodes. A reused box is acceptable only when it still protects the contents and shows no damage that weakens it. Never leave two visible delivery addresses or two competing tracking labels.</w:t>
      </w:r>
    </w:p>
    <w:p>
      <w:pPr>
        <w:pStyle w:val="Heading1"/>
      </w:pPr>
      <w:r>
        <w:t>G02  Several parcels in one shipment</w:t>
      </w:r>
    </w:p>
    <w:p>
      <w:r>
        <w:t>Give each physical parcel its own approved parcel label. All parcel labels for the shipment show the shared ShipmentID and a distinct parcel position, for example 1 of 2 and 2 of 2. Do not use one loose label for two separate boxes. Customer Service supplies the correct label set when needed.</w:t>
      </w:r>
    </w:p>
    <w:p>
      <w:r>
        <w:t>Desk reminder: count the physical parcels before supplying the label set. A shared shipment reference does not remove the need to identify each separate parcel.</w:t>
      </w:r>
    </w:p>
    <w:p>
      <w:pPr>
        <w:pStyle w:val="Heading1"/>
      </w:pPr>
      <w:r>
        <w:t>G03  Fragile contents</w:t>
      </w:r>
    </w:p>
    <w:p>
      <w:r>
        <w:t>Wrap fragile items separately, cushion them on all sides and fill empty spaces so items cannot move inside the box. A Fragile sticker alone is not sufficient packing. It does not create a special handling guarantee or replace protective packaging.</w:t>
      </w:r>
    </w:p>
    <w:p>
      <w:r>
        <w:t>Desk reminder: ask about the packed contents, not only whether the customer wrote Fragile on the box. Do not make a safety or delivery guarantee.</w:t>
      </w:r>
    </w:p>
    <w:p>
      <w:r>
        <w:br w:type="page"/>
      </w:r>
    </w:p>
    <w:p>
      <w:pPr>
        <w:pStyle w:val="Heading1"/>
      </w:pPr>
      <w:r>
        <w:t>G04  Standard parcel acceptance</w:t>
      </w:r>
    </w:p>
    <w:p>
      <w:r>
        <w:t>For this fictional standard parcel service, each packed parcel may weigh at most 20 kg, and its longest side may be at most 100 cm. Both limits must be met. Weigh and measure the packed parcel, not the empty box. An item outside either limit needs Service Coordinator approval for a different arrangement; do not invent an extra fee or confirm acceptance.</w:t>
      </w:r>
    </w:p>
    <w:p>
      <w:pPr>
        <w:pStyle w:val="Heading1"/>
      </w:pPr>
      <w:r>
        <w:t>G05  When the desk must stop and ask</w:t>
      </w:r>
    </w:p>
    <w:p>
      <w:r>
        <w:t>Liquids, loose batteries and goods described as dangerous are not accepted through the ordinary standard-parcel procedure in this training case. Refer the enquiry to the Service Coordinator before accepting it. This guide is not a dangerous-goods manual. Do not give packing instructions for dangerous goods or assume that a warning label makes them acceptable.</w:t>
      </w:r>
    </w:p>
    <w:p>
      <w:r>
        <w:t>Escalation note: record the requested service and what is known about the item. The coordinator decides whether an alternative service can be offered. There is no approved surcharge table in this case.</w:t>
      </w:r>
    </w:p>
    <w:sectPr w:rsidR="00FC693F" w:rsidRPr="0006063C" w:rsidSect="00034616">
      <w:headerReference w:type="default" r:id="rId9"/>
      <w:footerReference w:type="default" r:id="rId10"/>
      <w:pgSz w:w="11906" w:h="16838"/>
      <w:pgMar w:top="935" w:right="1134" w:bottom="964"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b w:val="0"/>
        <w:color w:val="3F5962"/>
        <w:sz w:val="16"/>
      </w:rPr>
      <w:t xml:space="preserve">Fictional learning case  |  NF-D-1.0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ato" w:hAnsi="Lato"/>
        <w:b/>
        <w:color w:val="3F5962"/>
        <w:sz w:val="16"/>
      </w:rPr>
      <w:t>NORDIC FREIGHT  /  CUSTOMER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ato" w:hAnsi="Lato"/>
      <w:color w:val="29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3F596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b/>
      <w:bCs/>
      <w:color w:val="3F59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Lato" w:hAnsi="Lato"/>
      <w:b/>
      <w:color w:val="3F596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Lato" w:hAnsi="Lato"/>
      <w:color w:val="29313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Packing Desk Guide</dc:title>
  <dc:subject>AI for Business - Theme D</dc:subject>
  <dc:creator>AI for Business</dc:creator>
  <cp:keywords>Nordic Freight, fictional training case, knowledge verification</cp:keywords>
  <dc:description>generated by python-docx</dc:description>
  <cp:lastModifiedBy/>
  <cp:revision>1</cp:revision>
  <dcterms:created xsi:type="dcterms:W3CDTF">2013-12-23T23:15:00Z</dcterms:created>
  <dcterms:modified xsi:type="dcterms:W3CDTF">2013-12-23T23:15:00Z</dcterms:modified>
  <cp:category/>
</cp:coreProperties>
</file>