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F71E3">
      <w:pPr>
        <w:jc w:val="center"/>
        <w:rPr>
          <w:rFonts w:hint="default"/>
          <w:sz w:val="28"/>
          <w:szCs w:val="28"/>
          <w:lang w:val="mk-MK"/>
        </w:rPr>
      </w:pPr>
      <w:r>
        <w:rPr>
          <w:rFonts w:hint="default"/>
          <w:sz w:val="28"/>
          <w:szCs w:val="28"/>
          <w:lang w:val="mk-MK"/>
        </w:rPr>
        <w:t xml:space="preserve">Градење на насочени графови на земјотреси со помош на </w:t>
      </w:r>
      <w:r>
        <w:rPr>
          <w:rFonts w:hint="default"/>
          <w:sz w:val="28"/>
          <w:szCs w:val="28"/>
          <w:lang w:val="en-US"/>
        </w:rPr>
        <w:t>ETAS</w:t>
      </w:r>
      <w:r>
        <w:rPr>
          <w:rFonts w:hint="default"/>
          <w:sz w:val="28"/>
          <w:szCs w:val="28"/>
          <w:lang w:val="mk-MK"/>
        </w:rPr>
        <w:t xml:space="preserve"> модели и </w:t>
      </w:r>
      <w:r>
        <w:rPr>
          <w:rFonts w:hint="default"/>
          <w:sz w:val="28"/>
          <w:szCs w:val="28"/>
          <w:lang w:val="en-US"/>
        </w:rPr>
        <w:t>MISD</w:t>
      </w:r>
      <w:r>
        <w:rPr>
          <w:rFonts w:hint="default"/>
          <w:sz w:val="28"/>
          <w:szCs w:val="28"/>
          <w:lang w:val="mk-MK"/>
        </w:rPr>
        <w:t xml:space="preserve"> алгоритмот</w:t>
      </w:r>
    </w:p>
    <w:p w14:paraId="3EC242A3">
      <w:pPr>
        <w:jc w:val="left"/>
        <w:rPr>
          <w:rFonts w:hint="default"/>
          <w:lang w:val="mk-MK"/>
        </w:rPr>
      </w:pPr>
    </w:p>
    <w:p w14:paraId="187E084D">
      <w:pPr>
        <w:jc w:val="left"/>
        <w:rPr>
          <w:rFonts w:hint="default"/>
          <w:lang w:val="mk-MK"/>
        </w:rPr>
      </w:pPr>
    </w:p>
    <w:p w14:paraId="3FA0D918">
      <w:pPr>
        <w:numPr>
          <w:ilvl w:val="0"/>
          <w:numId w:val="1"/>
        </w:numPr>
        <w:jc w:val="left"/>
        <w:rPr>
          <w:rFonts w:hint="default"/>
          <w:sz w:val="24"/>
          <w:szCs w:val="24"/>
          <w:lang w:val="mk-MK"/>
        </w:rPr>
      </w:pPr>
      <w:r>
        <w:rPr>
          <w:rFonts w:hint="default"/>
          <w:sz w:val="24"/>
          <w:szCs w:val="24"/>
          <w:lang w:val="mk-MK"/>
        </w:rPr>
        <w:t>Податочно Множество</w:t>
      </w:r>
    </w:p>
    <w:p w14:paraId="39E64546">
      <w:pPr>
        <w:numPr>
          <w:ilvl w:val="0"/>
          <w:numId w:val="0"/>
        </w:numPr>
        <w:jc w:val="left"/>
        <w:rPr>
          <w:rFonts w:hint="default"/>
          <w:lang w:val="en-US"/>
        </w:rPr>
      </w:pPr>
      <w:r>
        <w:rPr>
          <w:rFonts w:hint="default"/>
          <w:lang w:val="mk-MK"/>
        </w:rPr>
        <w:t>-Податочното множество се состои од три главни извори</w:t>
      </w:r>
      <w:r>
        <w:rPr>
          <w:rFonts w:hint="default"/>
          <w:lang w:val="en-US"/>
        </w:rPr>
        <w:t>:</w:t>
      </w:r>
    </w:p>
    <w:p w14:paraId="0C83B5C8">
      <w:pPr>
        <w:numPr>
          <w:ilvl w:val="0"/>
          <w:numId w:val="2"/>
        </w:numPr>
        <w:ind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USGC</w:t>
      </w:r>
    </w:p>
    <w:p w14:paraId="7648B517">
      <w:pPr>
        <w:numPr>
          <w:ilvl w:val="0"/>
          <w:numId w:val="2"/>
        </w:numPr>
        <w:ind w:firstLine="720" w:firstLineChars="0"/>
        <w:jc w:val="left"/>
        <w:rPr>
          <w:rFonts w:hint="default"/>
          <w:lang w:val="mk-MK"/>
        </w:rPr>
      </w:pPr>
      <w:r>
        <w:rPr>
          <w:rFonts w:hint="default"/>
          <w:lang w:val="en-US"/>
        </w:rPr>
        <w:t>Kaggle</w:t>
      </w:r>
    </w:p>
    <w:p w14:paraId="2956934C">
      <w:pPr>
        <w:numPr>
          <w:ilvl w:val="0"/>
          <w:numId w:val="2"/>
        </w:numPr>
        <w:ind w:firstLine="720" w:firstLineChars="0"/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 xml:space="preserve">Хомоген </w:t>
      </w:r>
      <w:r>
        <w:rPr>
          <w:rFonts w:hint="default"/>
          <w:lang w:val="en-US"/>
        </w:rPr>
        <w:t xml:space="preserve">Mw </w:t>
      </w:r>
      <w:r>
        <w:rPr>
          <w:rFonts w:hint="default"/>
          <w:lang w:val="mk-MK"/>
        </w:rPr>
        <w:t>каталог</w:t>
      </w:r>
    </w:p>
    <w:p w14:paraId="481C31C4">
      <w:pPr>
        <w:numPr>
          <w:ilvl w:val="0"/>
          <w:numId w:val="0"/>
        </w:numPr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 xml:space="preserve">-Хомогениот </w:t>
      </w:r>
      <w:r>
        <w:rPr>
          <w:rFonts w:hint="default"/>
          <w:lang w:val="en-US"/>
        </w:rPr>
        <w:t>Mw</w:t>
      </w:r>
      <w:r>
        <w:rPr>
          <w:rFonts w:hint="default"/>
          <w:lang w:val="mk-MK"/>
        </w:rPr>
        <w:t xml:space="preserve"> каталог е добијан од следниот труд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"https://nhess.copernicus.org/articles/25/4021/2025/nhess-25-4021-2025-discussion.html"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https://nhess.copernicus.org/articles/25/4021/2025/nhess-25-4021-2025-discussion.html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mk-MK"/>
        </w:rPr>
        <w:t>.</w:t>
      </w:r>
    </w:p>
    <w:p w14:paraId="7E40DDF8">
      <w:pPr>
        <w:numPr>
          <w:ilvl w:val="0"/>
          <w:numId w:val="0"/>
        </w:numPr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>Во кој што анализираат земјотреси од повеќе региони во Азија, но јас ги исфиртрилав соодветните земјотреси од Јапонија.</w:t>
      </w:r>
    </w:p>
    <w:p w14:paraId="7DD31F84">
      <w:pPr>
        <w:numPr>
          <w:ilvl w:val="0"/>
          <w:numId w:val="0"/>
        </w:numPr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>Ги споив сите податочно множество во едно унифирано податочно множество, од кој што ми е план да се прават под-множества/каталози од унифираното податочно за соодветно тестирање на фрејмворкот.</w:t>
      </w:r>
    </w:p>
    <w:p w14:paraId="68242957">
      <w:pPr>
        <w:numPr>
          <w:ilvl w:val="0"/>
          <w:numId w:val="0"/>
        </w:numPr>
        <w:jc w:val="left"/>
        <w:rPr>
          <w:rFonts w:hint="default"/>
          <w:lang w:val="mk-MK"/>
        </w:rPr>
      </w:pPr>
    </w:p>
    <w:p w14:paraId="41E77CA3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4"/>
          <w:szCs w:val="24"/>
          <w:lang w:val="mk-MK"/>
        </w:rPr>
      </w:pPr>
      <w:r>
        <w:rPr>
          <w:rFonts w:hint="default"/>
          <w:sz w:val="24"/>
          <w:szCs w:val="24"/>
          <w:lang w:val="mk-MK"/>
        </w:rPr>
        <w:t>Опис на проблемот</w:t>
      </w:r>
    </w:p>
    <w:p w14:paraId="7D08105C">
      <w:pPr>
        <w:numPr>
          <w:ilvl w:val="0"/>
          <w:numId w:val="0"/>
        </w:numPr>
        <w:ind w:leftChars="0"/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>Во мојата проектна задача по Статистично Моделирање, правев  детерминистичко сеизмичко кластерирање според просторно-временски простор кој што прават бинарна класификација врс секој земјотрес. Ова е прилично ограничувачко т.ш се губи многу информација и самите информации околу земјотресите не се целосно искористени.</w:t>
      </w:r>
    </w:p>
    <w:p w14:paraId="1AF608FF">
      <w:pPr>
        <w:numPr>
          <w:ilvl w:val="0"/>
          <w:numId w:val="0"/>
        </w:numPr>
        <w:ind w:leftChars="0"/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>Јас сакав некако да можам да ги преставам земјотресите преку граф на знаење за да може максимално да се исцирпи информацијата и анализата врс некој каталог. Самите темиња не беа проблемот, туку главниот проблем беше како би се модерирале јазлите помеѓу темињата(земјотреси во овај случај), одговорот го добив преку стохастично кластерирање.</w:t>
      </w:r>
    </w:p>
    <w:p w14:paraId="6E9AE546">
      <w:pPr>
        <w:numPr>
          <w:ilvl w:val="0"/>
          <w:numId w:val="0"/>
        </w:numPr>
        <w:ind w:leftChars="0"/>
        <w:jc w:val="left"/>
        <w:rPr>
          <w:rFonts w:hint="default"/>
          <w:lang w:val="en-US"/>
        </w:rPr>
      </w:pPr>
      <w:r>
        <w:rPr>
          <w:rFonts w:hint="default"/>
          <w:lang w:val="mk-MK"/>
        </w:rPr>
        <w:t>Главната идеја за преставување на земјотресите во рамки на граф на знаење ја добив од</w:t>
      </w:r>
      <w:r>
        <w:rPr>
          <w:rFonts w:hint="default"/>
          <w:lang w:val="en-US"/>
        </w:rPr>
        <w:t>:</w:t>
      </w:r>
    </w:p>
    <w:p w14:paraId="5F1D7C05">
      <w:pPr>
        <w:numPr>
          <w:ilvl w:val="0"/>
          <w:numId w:val="0"/>
        </w:numPr>
        <w:ind w:leftChars="0"/>
        <w:jc w:val="left"/>
        <w:rPr>
          <w:rFonts w:hint="default"/>
          <w:lang w:val="mk-MK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"https://www.osti.gov/pages/biblio/1896917"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https://www.osti.gov/pages/biblio/1896917</w:t>
      </w:r>
      <w:r>
        <w:rPr>
          <w:rFonts w:hint="default"/>
          <w:lang w:val="en-US"/>
        </w:rPr>
        <w:fldChar w:fldCharType="end"/>
      </w:r>
    </w:p>
    <w:p w14:paraId="635A2AA4">
      <w:pPr>
        <w:numPr>
          <w:ilvl w:val="0"/>
          <w:numId w:val="0"/>
        </w:numPr>
        <w:ind w:leftChars="0"/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>Но, во тој труд графот на знаење е изграден од станиците што следат земјотрески активности, а не самите земјотреси.</w:t>
      </w:r>
    </w:p>
    <w:p w14:paraId="6D1642A4">
      <w:pPr>
        <w:numPr>
          <w:ilvl w:val="0"/>
          <w:numId w:val="0"/>
        </w:numPr>
        <w:ind w:leftChars="0"/>
        <w:jc w:val="left"/>
        <w:rPr>
          <w:rFonts w:hint="default"/>
          <w:lang w:val="en-US"/>
        </w:rPr>
      </w:pPr>
      <w:r>
        <w:rPr>
          <w:rFonts w:hint="default"/>
          <w:lang w:val="mk-MK"/>
        </w:rPr>
        <w:t xml:space="preserve">Новиот начин е преку стохастично кластерирање преку </w:t>
      </w:r>
      <w:r>
        <w:rPr>
          <w:rFonts w:hint="default"/>
          <w:lang w:val="en-US"/>
        </w:rPr>
        <w:t>ETAS</w:t>
      </w:r>
      <w:r>
        <w:rPr>
          <w:rFonts w:hint="default"/>
          <w:lang w:val="mk-MK"/>
        </w:rPr>
        <w:t xml:space="preserve"> модел според</w:t>
      </w:r>
      <w:r>
        <w:rPr>
          <w:rFonts w:hint="default"/>
          <w:lang w:val="en-US"/>
        </w:rPr>
        <w:t>:</w:t>
      </w:r>
      <w:r>
        <w:rPr>
          <w:rFonts w:hint="default"/>
          <w:lang w:val="mk-MK"/>
        </w:rPr>
        <w:t xml:space="preserve"> </w:t>
      </w:r>
      <w:r>
        <w:rPr>
          <w:rFonts w:hint="default"/>
          <w:lang w:val="mk-MK"/>
        </w:rPr>
        <w:fldChar w:fldCharType="begin"/>
      </w:r>
      <w:r>
        <w:rPr>
          <w:rFonts w:hint="default"/>
          <w:lang w:val="mk-MK"/>
        </w:rPr>
        <w:instrText xml:space="preserve"> HYPERLINK "https://www.researchgate.net/publication/248803169_Analyzing_earthquake_clustering_features_by_using_stochastic_reconstruction" </w:instrText>
      </w:r>
      <w:r>
        <w:rPr>
          <w:rFonts w:hint="default"/>
          <w:lang w:val="mk-MK"/>
        </w:rPr>
        <w:fldChar w:fldCharType="separate"/>
      </w:r>
      <w:r>
        <w:rPr>
          <w:rStyle w:val="5"/>
          <w:rFonts w:hint="default"/>
          <w:lang w:val="mk-MK"/>
        </w:rPr>
        <w:t>https://www.researchgate.net/publication/248803169_Analyzing_earthquake_clustering_features_by_using_stochastic_reconstruction</w:t>
      </w:r>
      <w:r>
        <w:rPr>
          <w:rFonts w:hint="default"/>
          <w:lang w:val="mk-MK"/>
        </w:rPr>
        <w:fldChar w:fldCharType="end"/>
      </w:r>
      <w:r>
        <w:rPr>
          <w:rFonts w:hint="default"/>
          <w:lang w:val="en-US"/>
        </w:rPr>
        <w:t>.</w:t>
      </w:r>
    </w:p>
    <w:p w14:paraId="5407B05E">
      <w:pPr>
        <w:numPr>
          <w:ilvl w:val="0"/>
          <w:numId w:val="0"/>
        </w:numPr>
        <w:ind w:leftChars="0"/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>Преку новиот метод, наместо бинарна класификација на секој земјотрес, добиваме веројатност која што ни кажува врската помеѓу земјотресите и ни ја објаснува врската помеѓу нив.</w:t>
      </w:r>
    </w:p>
    <w:p w14:paraId="4511EEC8">
      <w:pPr>
        <w:numPr>
          <w:ilvl w:val="0"/>
          <w:numId w:val="0"/>
        </w:numPr>
        <w:ind w:leftChars="0"/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 xml:space="preserve">Добијаните графови преставуваат </w:t>
      </w:r>
      <w:r>
        <w:rPr>
          <w:rFonts w:hint="default"/>
          <w:lang w:val="en-US"/>
        </w:rPr>
        <w:t xml:space="preserve">family tree </w:t>
      </w:r>
      <w:r>
        <w:rPr>
          <w:rFonts w:hint="default"/>
          <w:lang w:val="mk-MK"/>
        </w:rPr>
        <w:t>на земјотресите, каде што не секогаш најсилниот земјотрес е првобитниот настан(мејншок), ова се добива преку стохастична реконструкција.</w:t>
      </w:r>
    </w:p>
    <w:p w14:paraId="54936664">
      <w:pPr>
        <w:numPr>
          <w:ilvl w:val="0"/>
          <w:numId w:val="0"/>
        </w:numPr>
        <w:ind w:leftChars="0"/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>Откако ќе се изградат графовите, ќе се разликуваат со Тип А и Тип Б кластери, каде што Тип А кластерите се кластери со силни последователни настани, додека Тип Б е без силни последователни настани.</w:t>
      </w:r>
    </w:p>
    <w:p w14:paraId="6BE28E0B">
      <w:pPr>
        <w:numPr>
          <w:ilvl w:val="0"/>
          <w:numId w:val="0"/>
        </w:numPr>
        <w:ind w:leftChars="0"/>
        <w:jc w:val="left"/>
        <w:rPr>
          <w:rFonts w:hint="default"/>
          <w:lang w:val="en-US"/>
        </w:rPr>
      </w:pPr>
      <w:r>
        <w:rPr>
          <w:rFonts w:hint="default"/>
          <w:lang w:val="mk-MK"/>
        </w:rPr>
        <w:t>Главните проблеми што се целта на дипломската се следните</w:t>
      </w:r>
      <w:r>
        <w:rPr>
          <w:rFonts w:hint="default"/>
          <w:lang w:val="en-US"/>
        </w:rPr>
        <w:t>:</w:t>
      </w:r>
    </w:p>
    <w:p w14:paraId="09AA31C7">
      <w:pPr>
        <w:numPr>
          <w:ilvl w:val="0"/>
          <w:numId w:val="0"/>
        </w:numPr>
        <w:ind w:leftChars="0" w:firstLine="720" w:firstLineChars="0"/>
        <w:jc w:val="left"/>
        <w:rPr>
          <w:rFonts w:hint="default"/>
          <w:lang w:val="mk-MK"/>
        </w:rPr>
      </w:pPr>
      <w:r>
        <w:rPr>
          <w:rFonts w:hint="default"/>
          <w:lang w:val="en-US"/>
        </w:rPr>
        <w:t>1.</w:t>
      </w:r>
      <w:r>
        <w:rPr>
          <w:rFonts w:hint="default"/>
          <w:lang w:val="mk-MK"/>
        </w:rPr>
        <w:t xml:space="preserve">Дали може да се изгради граф на знаење според темињата и јазлите што претходно </w:t>
      </w:r>
      <w:r>
        <w:rPr>
          <w:rFonts w:hint="default"/>
          <w:lang w:val="mk-MK"/>
        </w:rPr>
        <w:tab/>
      </w:r>
      <w:r>
        <w:rPr>
          <w:rFonts w:hint="default"/>
          <w:lang w:val="mk-MK"/>
        </w:rPr>
        <w:t>ги објаснав, без претпоставена детерминистичка структура на кластерите?</w:t>
      </w:r>
    </w:p>
    <w:p w14:paraId="6AE99483">
      <w:pPr>
        <w:numPr>
          <w:ilvl w:val="0"/>
          <w:numId w:val="0"/>
        </w:numPr>
        <w:ind w:leftChars="0" w:firstLine="720" w:firstLineChars="0"/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 xml:space="preserve">2.Кој настани имаат највисок </w:t>
      </w:r>
      <w:r>
        <w:rPr>
          <w:rFonts w:hint="default"/>
          <w:lang w:val="en-US"/>
        </w:rPr>
        <w:t>“</w:t>
      </w:r>
      <w:r>
        <w:rPr>
          <w:rFonts w:hint="default"/>
          <w:lang w:val="mk-MK"/>
        </w:rPr>
        <w:t>каузален влез</w:t>
      </w:r>
      <w:r>
        <w:rPr>
          <w:rFonts w:hint="default"/>
          <w:lang w:val="en-US"/>
        </w:rPr>
        <w:t>”</w:t>
      </w:r>
      <w:r>
        <w:rPr>
          <w:rFonts w:hint="default"/>
          <w:lang w:val="mk-MK"/>
        </w:rPr>
        <w:t xml:space="preserve"> - тригерираат најмногу следни настани?</w:t>
      </w:r>
    </w:p>
    <w:p w14:paraId="1A6C759E">
      <w:pPr>
        <w:numPr>
          <w:ilvl w:val="0"/>
          <w:numId w:val="0"/>
        </w:numPr>
        <w:ind w:leftChars="0" w:firstLine="720" w:firstLineChars="0"/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 xml:space="preserve">3.Дали графот открива структури кои што не се видливи со класичните </w:t>
      </w:r>
      <w:r>
        <w:rPr>
          <w:rFonts w:hint="default"/>
          <w:lang w:val="mk-MK"/>
        </w:rPr>
        <w:tab/>
      </w:r>
      <w:bookmarkStart w:id="0" w:name="_GoBack"/>
      <w:bookmarkEnd w:id="0"/>
      <w:r>
        <w:rPr>
          <w:rFonts w:hint="default"/>
          <w:lang w:val="mk-MK"/>
        </w:rPr>
        <w:t>методи?(Gardner-Knopoff или Reasenberg)</w:t>
      </w:r>
    </w:p>
    <w:p w14:paraId="589EE093">
      <w:pPr>
        <w:numPr>
          <w:ilvl w:val="0"/>
          <w:numId w:val="0"/>
        </w:numPr>
        <w:ind w:leftChars="0" w:firstLine="720" w:firstLineChars="0"/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>4.Како можат добијаните графови тополошки да бидат анализирани?</w:t>
      </w:r>
    </w:p>
    <w:p w14:paraId="74E488C8">
      <w:pPr>
        <w:jc w:val="left"/>
        <w:rPr>
          <w:rFonts w:hint="default"/>
          <w:lang w:val="mk-MK"/>
        </w:rPr>
      </w:pPr>
      <w:r>
        <w:rPr>
          <w:rFonts w:hint="default"/>
          <w:sz w:val="24"/>
          <w:szCs w:val="24"/>
          <w:lang w:val="en-US"/>
        </w:rPr>
        <w:t>3.</w:t>
      </w:r>
      <w:r>
        <w:rPr>
          <w:rFonts w:hint="default"/>
          <w:sz w:val="24"/>
          <w:szCs w:val="24"/>
          <w:lang w:val="mk-MK"/>
        </w:rPr>
        <w:t>Теоретска основа</w:t>
      </w:r>
    </w:p>
    <w:p w14:paraId="59BD0508">
      <w:pPr>
        <w:jc w:val="left"/>
        <w:rPr>
          <w:rFonts w:hint="default"/>
          <w:lang w:val="mk-MK"/>
        </w:rPr>
      </w:pPr>
      <w:r>
        <w:rPr>
          <w:rFonts w:hint="default"/>
          <w:lang w:val="en-US"/>
        </w:rPr>
        <w:t>ETAS(Epidemic-Type Aftershock Sequence)</w:t>
      </w:r>
      <w:r>
        <w:rPr>
          <w:rFonts w:hint="default"/>
          <w:lang w:val="mk-MK"/>
        </w:rPr>
        <w:t xml:space="preserve"> моделот ги користи Omori-Utsu закон за временскиот опаѓање и изотропна просторна функција. Параметрите се фитираат со максимална веројатност.</w:t>
      </w:r>
    </w:p>
    <w:p w14:paraId="78D470DD">
      <w:pPr>
        <w:jc w:val="left"/>
        <w:rPr>
          <w:rFonts w:hint="default"/>
          <w:lang w:val="mk-MK"/>
        </w:rPr>
      </w:pPr>
      <w:r>
        <w:rPr>
          <w:rFonts w:hint="default"/>
          <w:lang w:val="mk-MK"/>
        </w:rPr>
        <w:t xml:space="preserve">Додека </w:t>
      </w:r>
      <w:r>
        <w:rPr>
          <w:rFonts w:hint="default"/>
          <w:lang w:val="en-US"/>
        </w:rPr>
        <w:t>MISD(Model-Independent Stochastic Declustering)</w:t>
      </w:r>
      <w:r>
        <w:rPr>
          <w:rFonts w:hint="default"/>
          <w:lang w:val="mk-MK"/>
        </w:rPr>
        <w:t xml:space="preserve"> нема функционална форма, тригерирачкото јадро се учи директно од податоците преку </w:t>
      </w:r>
      <w:r>
        <w:rPr>
          <w:rFonts w:hint="default"/>
          <w:lang w:val="en-US"/>
        </w:rPr>
        <w:t>EM</w:t>
      </w:r>
      <w:r>
        <w:rPr>
          <w:rFonts w:hint="default"/>
          <w:lang w:val="mk-MK"/>
        </w:rPr>
        <w:t xml:space="preserve"> алгоритмот.</w:t>
      </w:r>
    </w:p>
    <w:p w14:paraId="2FBC96B9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EM </w:t>
      </w:r>
      <w:r>
        <w:rPr>
          <w:rFonts w:hint="default"/>
          <w:lang w:val="mk-MK"/>
        </w:rPr>
        <w:t>алгоритмот работи на следниот начин</w:t>
      </w:r>
      <w:r>
        <w:rPr>
          <w:rFonts w:hint="default"/>
          <w:lang w:val="en-US"/>
        </w:rPr>
        <w:t>:</w:t>
      </w:r>
    </w:p>
    <w:p w14:paraId="797E6054">
      <w:pPr>
        <w:ind w:firstLine="720" w:firstLineChars="0"/>
        <w:jc w:val="left"/>
        <w:rPr>
          <w:rFonts w:hint="default"/>
          <w:lang w:val="mk-MK"/>
        </w:rPr>
      </w:pPr>
      <w:r>
        <w:rPr>
          <w:rFonts w:hint="default"/>
          <w:lang w:val="en-US"/>
        </w:rPr>
        <w:t>E-</w:t>
      </w:r>
      <w:r>
        <w:rPr>
          <w:rFonts w:hint="default"/>
          <w:lang w:val="mk-MK"/>
        </w:rPr>
        <w:t>чекор - За секој j, пресметај ги необработените тежини: α_j = μ_j (background придонес) и β_ij = ρ(m_i)·g(Δt, Δr) (придонес од i). Нормализирај за да добиеш w[i,j] и w_bg[j].</w:t>
      </w:r>
    </w:p>
    <w:p w14:paraId="74F2AF01">
      <w:pPr>
        <w:ind w:firstLine="720" w:firstLineChars="0"/>
        <w:jc w:val="left"/>
        <w:rPr>
          <w:rFonts w:hint="default"/>
          <w:lang w:val="mk-MK"/>
        </w:rPr>
      </w:pPr>
      <w:r>
        <w:rPr>
          <w:rFonts w:hint="default"/>
          <w:lang w:val="en-US"/>
        </w:rPr>
        <w:t>M-</w:t>
      </w:r>
      <w:r>
        <w:rPr>
          <w:rFonts w:hint="default"/>
          <w:lang w:val="mk-MK"/>
        </w:rPr>
        <w:t>чекор - Реестимирај ги параметрите: позадинскиот интензитет μ ∝ w_bg, а банд-ширините σ_t и σ_s со тежински RMS на временски/просторни разлики. Итерацијата продолжува сè додека |Δμ|/|μ| &lt; tol (конвергенција).</w:t>
      </w:r>
    </w:p>
    <w:p w14:paraId="27963A6E">
      <w:pPr>
        <w:jc w:val="left"/>
        <w:rPr>
          <w:rFonts w:hint="default"/>
          <w:sz w:val="24"/>
          <w:szCs w:val="24"/>
          <w:lang w:val="mk-MK"/>
        </w:rPr>
      </w:pPr>
      <w:r>
        <w:rPr>
          <w:rFonts w:hint="default"/>
          <w:sz w:val="24"/>
          <w:szCs w:val="24"/>
          <w:lang w:val="mk-MK"/>
        </w:rPr>
        <w:t>4.Користени методи</w:t>
      </w:r>
    </w:p>
    <w:p w14:paraId="253446BC">
      <w:pPr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mk-MK"/>
        </w:rPr>
        <w:t xml:space="preserve">Преку </w:t>
      </w:r>
      <w:r>
        <w:rPr>
          <w:rFonts w:hint="default"/>
          <w:sz w:val="20"/>
          <w:szCs w:val="20"/>
          <w:lang w:val="en-US"/>
        </w:rPr>
        <w:t>MISD</w:t>
      </w:r>
      <w:r>
        <w:rPr>
          <w:rFonts w:hint="default"/>
          <w:sz w:val="20"/>
          <w:szCs w:val="20"/>
          <w:lang w:val="mk-MK"/>
        </w:rPr>
        <w:t xml:space="preserve"> алгоримит, се филтрираат земјотресите со </w:t>
      </w:r>
      <w:r>
        <w:rPr>
          <w:rFonts w:hint="default"/>
          <w:sz w:val="20"/>
          <w:szCs w:val="20"/>
          <w:lang w:val="en-US"/>
        </w:rPr>
        <w:t>M &gt;=4.5</w:t>
      </w:r>
      <w:r>
        <w:rPr>
          <w:rFonts w:hint="default"/>
          <w:sz w:val="20"/>
          <w:szCs w:val="20"/>
          <w:lang w:val="mk-MK"/>
        </w:rPr>
        <w:t>, алгоримот е имплементиран на следниот начин</w:t>
      </w:r>
      <w:r>
        <w:rPr>
          <w:rFonts w:hint="default"/>
          <w:sz w:val="20"/>
          <w:szCs w:val="20"/>
          <w:lang w:val="en-US"/>
        </w:rPr>
        <w:t>:</w:t>
      </w:r>
    </w:p>
    <w:p w14:paraId="4913DB8A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Гаусово временско јадро: g_t(Δt) = exp(−0.5·(Δt/σ_t)²) / (σ_t·√(2π)).</w:t>
      </w:r>
    </w:p>
    <w:p w14:paraId="0B38DDBF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Изотропно Гаусово просторно јадро: g_s(Δr) = exp(−0.5·(Δr/σ_s)²) / (2π·σ_s²).</w:t>
      </w:r>
    </w:p>
    <w:p w14:paraId="16FCA3D1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Матрицата R[i,j] = ρ(m_i)·g_t·g_s се преизвадува по секоја M-чекор итерација со ажурираните σ_t, σ_s.</w:t>
      </w:r>
    </w:p>
    <w:p w14:paraId="05D0631E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Конвергенцијата се следи по релативната промена во μ.</w:t>
      </w:r>
    </w:p>
    <w:p w14:paraId="6BC8E5B3">
      <w:pPr>
        <w:spacing w:after="140"/>
        <w:jc w:val="both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>По конвергенцијата, графот се гради вака:</w:t>
      </w:r>
    </w:p>
    <w:p w14:paraId="4EB450F6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Јазли: секој земјотрес е јазол со атрибути time, lat, lon, depth, mag, event_id, is_background (= w_bg[j]).</w:t>
      </w:r>
    </w:p>
    <w:p w14:paraId="684EE1FF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Рабови: се додава раб i→j ако w[i,j] ≥ W_THRESHOLD (default 0.05). Тежина на работ е самото w[i,j].</w:t>
      </w:r>
    </w:p>
    <w:p w14:paraId="66B480A0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Директни vs. индиректни рабови: раб i→j е индиректен (каскаден) ако постои k такво что i→k и k→j постојат во графот. Тоа ги идентификува каскадно тригерираните настани.</w:t>
      </w:r>
    </w:p>
    <w:p w14:paraId="6CDA3743">
      <w:pPr>
        <w:jc w:val="left"/>
        <w:rPr>
          <w:rFonts w:hint="default"/>
          <w:sz w:val="20"/>
          <w:szCs w:val="20"/>
          <w:lang w:val="en-US"/>
        </w:rPr>
      </w:pPr>
    </w:p>
    <w:p w14:paraId="5F5385EC">
      <w:pPr>
        <w:jc w:val="left"/>
        <w:rPr>
          <w:rFonts w:hint="default"/>
          <w:sz w:val="24"/>
          <w:szCs w:val="24"/>
          <w:lang w:val="mk-MK"/>
        </w:rPr>
      </w:pPr>
      <w:r>
        <w:rPr>
          <w:rFonts w:hint="default"/>
          <w:sz w:val="24"/>
          <w:szCs w:val="24"/>
          <w:lang w:val="mk-MK"/>
        </w:rPr>
        <w:t>5.Резултати</w:t>
      </w:r>
    </w:p>
    <w:p w14:paraId="4C4B83F7">
      <w:pPr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>Кодот е целосно имплементиран — pipeline од суров CSV/XLSX/ZIP до GraphML и визуелизација е завршен.</w:t>
      </w:r>
    </w:p>
    <w:p w14:paraId="3B77EB1F">
      <w:pPr>
        <w:spacing w:after="140"/>
        <w:jc w:val="both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>Очекувани резултати базирани на методот:</w:t>
      </w:r>
    </w:p>
    <w:p w14:paraId="56F80D12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Голем дел (60–80%) од настаните со M≥4.5 треба да бидат класифицирани со висока w_bg — позадинска сеизмичност.</w:t>
      </w:r>
    </w:p>
    <w:p w14:paraId="4E32BF19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Топ-10 настани по out-degree во графот очекуваме да бидат главно M≥6.5+ мејншокови (Тохоку 2011 и слични).</w:t>
      </w:r>
    </w:p>
    <w:p w14:paraId="4DA272D2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σ_t (временска bandwidth) по конвергенција ≈ 10–30 дена; σ_s (просторна) ≈ 0.3–0.7°.</w:t>
      </w:r>
    </w:p>
    <w:p w14:paraId="63136FA9">
      <w:pPr>
        <w:jc w:val="left"/>
        <w:rPr>
          <w:rFonts w:hint="default" w:ascii="Arial" w:hAnsi="Arial" w:eastAsia="Arial" w:cs="Arial"/>
          <w:color w:val="000000"/>
          <w:sz w:val="20"/>
          <w:szCs w:val="20"/>
          <w:lang w:val="en-US"/>
        </w:rPr>
      </w:pPr>
      <w:r>
        <w:rPr>
          <w:rFonts w:hint="default" w:ascii="Arial" w:hAnsi="Arial" w:eastAsia="Arial" w:cs="Arial"/>
          <w:color w:val="000000"/>
          <w:sz w:val="20"/>
          <w:szCs w:val="20"/>
          <w:lang w:val="mk-MK"/>
        </w:rPr>
        <w:t>Моменталните ограничувања се следните</w:t>
      </w:r>
      <w:r>
        <w:rPr>
          <w:rFonts w:hint="default" w:ascii="Arial" w:hAnsi="Arial" w:eastAsia="Arial" w:cs="Arial"/>
          <w:color w:val="000000"/>
          <w:sz w:val="20"/>
          <w:szCs w:val="20"/>
          <w:lang w:val="en-US"/>
        </w:rPr>
        <w:t>:</w:t>
      </w:r>
    </w:p>
    <w:p w14:paraId="32323884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Гаусовото јадро е параметарска претпоставка — MISD може да работи и со непараметарска кернел естимација (хистограм), но тоа бара повеќе податоци и меморија.</w:t>
      </w:r>
    </w:p>
    <w:p w14:paraId="18AFE4C8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Квадратна сложеност O(N²) — за N=2000 тоа е прифатливо; за полн каталог (~100,000 настани) треба приближни методи (KD-tree, grid binning).</w:t>
      </w:r>
    </w:p>
    <w:p w14:paraId="3BD72592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Cutoff на 2000 настани — може да ги исклучи ретките но важни мали настани кои претходат на M≥6+ настани.</w:t>
      </w:r>
    </w:p>
    <w:p w14:paraId="5022A6E2">
      <w:pPr>
        <w:pStyle w:val="6"/>
        <w:numPr>
          <w:ilvl w:val="0"/>
          <w:numId w:val="3"/>
        </w:numPr>
        <w:spacing w:after="8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Гаусово наспроти Omori: вистинскиот временски закон за Јапонија е поблизок до степенски закон (Omori-Utsu); Гаусот може да ги потцени долгорочните aftershock врски.</w:t>
      </w:r>
    </w:p>
    <w:p w14:paraId="6FB8B144">
      <w:pPr>
        <w:numPr>
          <w:ilvl w:val="0"/>
          <w:numId w:val="4"/>
        </w:numPr>
        <w:jc w:val="left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hint="default" w:ascii="Arial" w:hAnsi="Arial" w:eastAsia="Arial" w:cs="Arial"/>
          <w:color w:val="000000"/>
          <w:sz w:val="24"/>
          <w:szCs w:val="24"/>
          <w:lang w:val="mk-MK"/>
        </w:rPr>
        <w:t>Релевантни трудови</w:t>
      </w:r>
    </w:p>
    <w:p w14:paraId="7DE86AB5">
      <w:pPr>
        <w:spacing w:after="80"/>
        <w:ind w:left="400" w:hanging="4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Marsan, D. &amp; Lengliné, O. (2008). Extending earthquakes' reach through cascading. Science, 319(5866), 1076–1079. — Оригиналниот MISD алгоритам.</w:t>
      </w:r>
    </w:p>
    <w:p w14:paraId="7DBB0C9C">
      <w:pPr>
        <w:spacing w:after="80"/>
        <w:ind w:left="400" w:hanging="4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Marsan, D. &amp; Lengliné, O. (2010). A new estimation of the decay of aftershock density with distance to the mainshock. J. Geophys. Res., 115, B09302. — Просторното опаѓање γ ≈ 1.7–2.1; основа за просторниот kernel.</w:t>
      </w:r>
    </w:p>
    <w:p w14:paraId="3CCCC60C">
      <w:pPr>
        <w:spacing w:after="80"/>
        <w:ind w:left="400" w:hanging="4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Zhuang, J., Ogata, Y. &amp; Vere-Jones, D. (2004). Analyzing earthquake clustering features by using stochastic reconstruction. J. Geophys. Res., 109, B05301. — ETAS-базирана стохастичка реконструкција и дефиниција на w[i,j]; директна паралела со MISD пристапот.</w:t>
      </w:r>
    </w:p>
    <w:p w14:paraId="1556CBA2">
      <w:pPr>
        <w:spacing w:after="80"/>
        <w:ind w:left="400" w:hanging="4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Zhang, X. et al. (2022). Spatiotemporal Graph Convolutional Networks for Earthquake Source Characterization. J. Geophys. Res. Solid Earth, 127, e2022JB024401. — GNN пристап за карактеризација на извори; инспирација за downstream GNN примена на изградениот граф.</w:t>
      </w:r>
    </w:p>
    <w:p w14:paraId="494856EB">
      <w:pPr>
        <w:spacing w:after="80"/>
        <w:ind w:left="400" w:hanging="4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Gentili, S. et al. (2024). Forecasting Strong Subsequent Earthquakes in Japan using an improved version of NESTORE Machine Learning Algorithm. arXiv: 2408.12956. — NESTORE на Јапонија; директна апликациска паралела.</w:t>
      </w:r>
    </w:p>
    <w:p w14:paraId="74DA2AFC">
      <w:pPr>
        <w:numPr>
          <w:ilvl w:val="0"/>
          <w:numId w:val="0"/>
        </w:numPr>
        <w:jc w:val="left"/>
        <w:rPr>
          <w:rFonts w:hint="default" w:ascii="Arial" w:hAnsi="Arial" w:eastAsia="Arial" w:cs="Arial"/>
          <w:color w:val="000000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B072B"/>
    <w:multiLevelType w:val="singleLevel"/>
    <w:tmpl w:val="95FB07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D03F0"/>
    <w:multiLevelType w:val="singleLevel"/>
    <w:tmpl w:val="A32D03F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29206AB"/>
    <w:multiLevelType w:val="singleLevel"/>
    <w:tmpl w:val="E29206AB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9F0A69"/>
    <w:rsid w:val="00C30909"/>
    <w:rsid w:val="028E13EB"/>
    <w:rsid w:val="039F0A69"/>
    <w:rsid w:val="0F8515F0"/>
    <w:rsid w:val="0FBA7927"/>
    <w:rsid w:val="193E726F"/>
    <w:rsid w:val="1B5E7755"/>
    <w:rsid w:val="22DD5403"/>
    <w:rsid w:val="39534219"/>
    <w:rsid w:val="3A781144"/>
    <w:rsid w:val="3C5928B0"/>
    <w:rsid w:val="410D4CAE"/>
    <w:rsid w:val="41EB61F0"/>
    <w:rsid w:val="453850E1"/>
    <w:rsid w:val="4E212877"/>
    <w:rsid w:val="4F127867"/>
    <w:rsid w:val="53DF0DAF"/>
    <w:rsid w:val="589324AE"/>
    <w:rsid w:val="5F5C2A59"/>
    <w:rsid w:val="62D72BDE"/>
    <w:rsid w:val="63081A0C"/>
    <w:rsid w:val="695D38BF"/>
    <w:rsid w:val="6D5842BF"/>
    <w:rsid w:val="6FCC6566"/>
    <w:rsid w:val="73D66E19"/>
    <w:rsid w:val="7FBF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List Paragraph"/>
    <w:qFormat/>
    <w:uiPriority w:val="0"/>
    <w:rPr>
      <w:rFonts w:ascii="Arial" w:hAnsi="Arial" w:eastAsia="Arial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835</Words>
  <Characters>5280</Characters>
  <Lines>0</Lines>
  <Paragraphs>0</Paragraphs>
  <TotalTime>4</TotalTime>
  <ScaleCrop>false</ScaleCrop>
  <LinksUpToDate>false</LinksUpToDate>
  <CharactersWithSpaces>6064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2026-05-10T06:37:00Z</dcterms:created>
  <dc:creator>ncvet</dc:creator>
  <cp:lastModifiedBy>Novica Cvetkoski</cp:lastModifiedBy>
  <dcterms:modified xsi:type="dcterms:W3CDTF">2026-05-10T22:17:15Z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B7C5A175FA804C538EF346944A35712A_11</vt:lpwstr>
  </property>
  <property fmtid="{D5CDD505-2E9C-101B-9397-08002B2CF9AE}" pid="4" name="KSOTemplateDocerSaveRecord">
    <vt:lpwstr>eyJoZGlkIjoiY2MxMWI4Y2NhZjQ2YmJlMmEwZGFlNzNlYWU5NDNiMzciLCJ1c2VySWQiOiIzNzI4MzA5Nzk0MzMyIn0=</vt:lpwstr>
  </property>
</Properties>
</file>