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DF0D1">
      <w:pPr>
        <w:spacing w:before="480" w:after="0"/>
      </w:pPr>
    </w:p>
    <w:p w14:paraId="42BE294C">
      <w:pPr>
        <w:spacing w:before="0" w:after="160"/>
        <w:jc w:val="center"/>
      </w:pPr>
      <w:r>
        <w:rPr>
          <w:rFonts w:ascii="Arial" w:hAnsi="Arial" w:eastAsia="Arial" w:cs="Arial"/>
          <w:b/>
          <w:bCs/>
          <w:color w:val="1F4E79"/>
          <w:sz w:val="52"/>
          <w:szCs w:val="52"/>
        </w:rPr>
        <w:t>Сеизмички Граф на Знаење</w:t>
      </w:r>
    </w:p>
    <w:p w14:paraId="3973619E">
      <w:pPr>
        <w:spacing w:after="80"/>
        <w:jc w:val="center"/>
      </w:pPr>
      <w:r>
        <w:rPr>
          <w:rFonts w:ascii="Arial" w:hAnsi="Arial" w:eastAsia="Arial" w:cs="Arial"/>
          <w:i/>
          <w:iCs/>
          <w:color w:val="595959"/>
          <w:sz w:val="28"/>
          <w:szCs w:val="28"/>
        </w:rPr>
        <w:t>Seismic Knowledge Graph via Model-Independent Stochastic Declustering</w:t>
      </w:r>
    </w:p>
    <w:p w14:paraId="34CC805F">
      <w:pPr>
        <w:spacing w:after="600"/>
        <w:jc w:val="center"/>
      </w:pPr>
      <w:r>
        <w:rPr>
          <w:rFonts w:ascii="Arial" w:hAnsi="Arial" w:eastAsia="Arial" w:cs="Arial"/>
          <w:color w:val="595959"/>
          <w:sz w:val="22"/>
          <w:szCs w:val="22"/>
        </w:rPr>
        <w:t>Јапонски каталог на земјотреси  ·  MISD алгоритам  ·  NetworkX граф</w:t>
      </w:r>
    </w:p>
    <w:p w14:paraId="0FE45F5A">
      <w:pPr>
        <w:pBdr>
          <w:bottom w:val="single" w:color="2E75B6" w:sz="6" w:space="1"/>
        </w:pBdr>
        <w:spacing w:before="80" w:after="200"/>
      </w:pPr>
    </w:p>
    <w:p w14:paraId="7D159DD7">
      <w:pPr>
        <w:pStyle w:val="2"/>
        <w:spacing w:before="360" w:after="160"/>
      </w:pPr>
      <w:r>
        <w:rPr>
          <w:rFonts w:ascii="Arial" w:hAnsi="Arial" w:eastAsia="Arial" w:cs="Arial"/>
          <w:b/>
          <w:bCs/>
          <w:color w:val="1F4E79"/>
          <w:sz w:val="32"/>
          <w:szCs w:val="32"/>
        </w:rPr>
        <w:t>1.  Опис на податочното множество</w:t>
      </w:r>
    </w:p>
    <w:p w14:paraId="1D5463D1">
      <w:pPr>
        <w:spacing w:after="140"/>
        <w:jc w:val="both"/>
      </w:pPr>
      <w:r>
        <w:rPr>
          <w:rFonts w:ascii="Arial" w:hAnsi="Arial" w:eastAsia="Arial" w:cs="Arial"/>
          <w:color w:val="000000"/>
          <w:sz w:val="22"/>
          <w:szCs w:val="22"/>
        </w:rPr>
        <w:t>Проектот работи со комбиниран каталог на земјотреси за Јапонија составен од три извори кои покриваат различни временски периоди и прецизности на магнитуда.</w:t>
      </w:r>
    </w:p>
    <w:p w14:paraId="33735878">
      <w:pPr>
        <w:pStyle w:val="3"/>
        <w:spacing w:before="280" w:after="120"/>
      </w:pPr>
      <w:r>
        <w:rPr>
          <w:rFonts w:ascii="Arial" w:hAnsi="Arial" w:eastAsia="Arial" w:cs="Arial"/>
          <w:b/>
          <w:bCs/>
          <w:color w:val="2E75B6"/>
          <w:sz w:val="26"/>
          <w:szCs w:val="26"/>
        </w:rPr>
        <w:t>1.1  Извори</w:t>
      </w:r>
    </w:p>
    <w:p w14:paraId="47D8E772">
      <w:pPr>
        <w:pStyle w:val="16"/>
        <w:numPr>
          <w:ilvl w:val="0"/>
          <w:numId w:val="1"/>
        </w:numPr>
        <w:spacing w:after="80"/>
      </w:pPr>
      <w:r>
        <w:rPr>
          <w:rFonts w:ascii="Arial" w:hAnsi="Arial" w:eastAsia="Arial" w:cs="Arial"/>
          <w:b/>
          <w:bCs/>
          <w:sz w:val="22"/>
          <w:szCs w:val="22"/>
        </w:rPr>
        <w:t>USGS standalone CSV</w:t>
      </w:r>
    </w:p>
    <w:p w14:paraId="57CB9104">
      <w:pPr>
        <w:pStyle w:val="16"/>
        <w:numPr>
          <w:ilvl w:val="0"/>
          <w:numId w:val="1"/>
        </w:numPr>
        <w:spacing w:after="80"/>
      </w:pPr>
      <w:r>
        <w:rPr>
          <w:rFonts w:ascii="Arial" w:hAnsi="Arial" w:eastAsia="Arial" w:cs="Arial"/>
          <w:b/>
          <w:bCs/>
          <w:sz w:val="22"/>
          <w:szCs w:val="22"/>
        </w:rPr>
        <w:t>Kaggle</w:t>
      </w:r>
    </w:p>
    <w:p w14:paraId="56F7072E">
      <w:pPr>
        <w:pStyle w:val="16"/>
        <w:numPr>
          <w:ilvl w:val="0"/>
          <w:numId w:val="1"/>
        </w:numPr>
        <w:spacing w:after="80"/>
      </w:pPr>
      <w:r>
        <w:rPr>
          <w:rFonts w:ascii="Arial" w:hAnsi="Arial" w:eastAsia="Arial" w:cs="Arial"/>
          <w:b/>
          <w:bCs/>
          <w:sz w:val="22"/>
          <w:szCs w:val="22"/>
        </w:rPr>
        <w:t>Хомоген Mw каталог (XLSX)</w:t>
      </w:r>
    </w:p>
    <w:p w14:paraId="1EF4277E">
      <w:pPr>
        <w:pStyle w:val="16"/>
        <w:numPr>
          <w:numId w:val="0"/>
        </w:numPr>
        <w:spacing w:after="80"/>
      </w:pPr>
      <w:r>
        <w:rPr>
          <w:rFonts w:ascii="Arial" w:hAnsi="Arial" w:eastAsia="Arial" w:cs="Arial"/>
          <w:b/>
          <w:bCs/>
          <w:color w:val="2E75B6"/>
          <w:sz w:val="26"/>
          <w:szCs w:val="26"/>
        </w:rPr>
        <w:t>1.</w:t>
      </w:r>
      <w:r>
        <w:rPr>
          <w:rFonts w:hint="default" w:cs="Arial"/>
          <w:b/>
          <w:bCs/>
          <w:color w:val="2E75B6"/>
          <w:sz w:val="26"/>
          <w:szCs w:val="26"/>
          <w:lang w:val="en-US"/>
        </w:rPr>
        <w:t>2</w:t>
      </w:r>
      <w:r>
        <w:rPr>
          <w:rFonts w:ascii="Arial" w:hAnsi="Arial" w:eastAsia="Arial" w:cs="Arial"/>
          <w:b/>
          <w:bCs/>
          <w:color w:val="2E75B6"/>
          <w:sz w:val="26"/>
          <w:szCs w:val="26"/>
        </w:rPr>
        <w:t xml:space="preserve">  Карактеристики на обединетиот каталог</w:t>
      </w:r>
    </w:p>
    <w:p w14:paraId="12EF18F3">
      <w:pPr>
        <w:pStyle w:val="16"/>
        <w:numPr>
          <w:ilvl w:val="0"/>
          <w:numId w:val="1"/>
        </w:numPr>
        <w:spacing w:after="80"/>
      </w:pPr>
      <w:r>
        <w:rPr>
          <w:rFonts w:ascii="Arial" w:hAnsi="Arial" w:eastAsia="Arial" w:cs="Arial"/>
          <w:sz w:val="22"/>
          <w:szCs w:val="22"/>
        </w:rPr>
        <w:t>Временски опсег: 2001–201</w:t>
      </w:r>
      <w:r>
        <w:rPr>
          <w:rFonts w:hint="default" w:cs="Arial"/>
          <w:sz w:val="22"/>
          <w:szCs w:val="22"/>
          <w:lang w:val="en-US"/>
        </w:rPr>
        <w:t>3</w:t>
      </w:r>
    </w:p>
    <w:p w14:paraId="6A192080">
      <w:pPr>
        <w:pStyle w:val="16"/>
        <w:numPr>
          <w:ilvl w:val="0"/>
          <w:numId w:val="1"/>
        </w:numPr>
        <w:spacing w:after="80"/>
      </w:pPr>
      <w:r>
        <w:rPr>
          <w:rFonts w:ascii="Arial" w:hAnsi="Arial" w:eastAsia="Arial" w:cs="Arial"/>
          <w:sz w:val="22"/>
          <w:szCs w:val="22"/>
        </w:rPr>
        <w:t>Просторно покривање: целосен Јапонски архипелаг и прилежни субдукциски зони.</w:t>
      </w:r>
    </w:p>
    <w:p w14:paraId="6783BF34">
      <w:pPr>
        <w:pStyle w:val="16"/>
        <w:numPr>
          <w:ilvl w:val="0"/>
          <w:numId w:val="1"/>
        </w:numPr>
        <w:spacing w:after="80"/>
      </w:pPr>
      <w:r>
        <w:rPr>
          <w:rFonts w:ascii="Arial" w:hAnsi="Arial" w:eastAsia="Arial" w:cs="Arial"/>
          <w:sz w:val="22"/>
          <w:szCs w:val="22"/>
        </w:rPr>
        <w:t>Посебна колона source_file за трасирање на потеклото на секој запис.</w:t>
      </w:r>
    </w:p>
    <w:p w14:paraId="38BD429E">
      <w:pPr>
        <w:pBdr>
          <w:bottom w:val="single" w:color="2E75B6" w:sz="6" w:space="1"/>
        </w:pBdr>
        <w:spacing w:before="80" w:after="200"/>
      </w:pPr>
    </w:p>
    <w:p w14:paraId="32D255FE">
      <w:pPr>
        <w:pStyle w:val="2"/>
        <w:spacing w:before="360" w:after="160"/>
      </w:pPr>
      <w:r>
        <w:rPr>
          <w:rFonts w:ascii="Arial" w:hAnsi="Arial" w:eastAsia="Arial" w:cs="Arial"/>
          <w:b/>
          <w:bCs/>
          <w:color w:val="1F4E79"/>
          <w:sz w:val="32"/>
          <w:szCs w:val="32"/>
        </w:rPr>
        <w:t>2.  Опис на проблемот</w:t>
      </w:r>
    </w:p>
    <w:p w14:paraId="595FC389">
      <w:pPr>
        <w:spacing w:after="140"/>
        <w:jc w:val="both"/>
      </w:pPr>
      <w:r>
        <w:rPr>
          <w:rFonts w:ascii="Arial" w:hAnsi="Arial" w:eastAsia="Arial" w:cs="Arial"/>
          <w:color w:val="000000"/>
          <w:sz w:val="22"/>
          <w:szCs w:val="22"/>
        </w:rPr>
        <w:t>Сеизмичноста на Јапонија е меѓу највисоките во светот, диктирана главно од субдукцијата на Пацифичката и Филипинската плоча под Евроазиската. Земјотресите не се случуваат изолирано — тие формираат кластери каде еден настан го зголемува ризикот за следниот.</w:t>
      </w:r>
    </w:p>
    <w:p w14:paraId="6A0971A9">
      <w:pPr>
        <w:spacing w:after="140"/>
        <w:jc w:val="both"/>
      </w:pPr>
      <w:r>
        <w:rPr>
          <w:rFonts w:ascii="Arial" w:hAnsi="Arial" w:eastAsia="Arial" w:cs="Arial"/>
          <w:color w:val="000000"/>
          <w:sz w:val="22"/>
          <w:szCs w:val="22"/>
        </w:rPr>
        <w:t>Клучниот проблем е: кој земјотрес го предизвикал кој? Традиционалните методи (Gardner &amp; Knopoff, 1974; Reasenberg, 1985) одговараат детерминистички — применуваат просторно-временски прозорец и категоризираат секој настан или како мејнсок или не. Тоа е бинарно, параметарски чувствително и го губи богатството на веројатносните односи меѓу настаните.</w:t>
      </w:r>
    </w:p>
    <w:p w14:paraId="5BD5FBB9">
      <w:pPr>
        <w:spacing w:after="140"/>
        <w:jc w:val="both"/>
      </w:pPr>
      <w:r>
        <w:rPr>
          <w:rFonts w:ascii="Arial" w:hAnsi="Arial" w:eastAsia="Arial" w:cs="Arial"/>
          <w:color w:val="000000"/>
          <w:sz w:val="22"/>
          <w:szCs w:val="22"/>
        </w:rPr>
        <w:t>Овој проект ги поставува следните истражувачки прашања:</w:t>
      </w:r>
    </w:p>
    <w:p w14:paraId="7A65DCF2">
      <w:pPr>
        <w:pStyle w:val="16"/>
        <w:numPr>
          <w:ilvl w:val="0"/>
          <w:numId w:val="1"/>
        </w:numPr>
        <w:spacing w:after="80"/>
      </w:pPr>
      <w:r>
        <w:rPr>
          <w:rFonts w:ascii="Arial" w:hAnsi="Arial" w:eastAsia="Arial" w:cs="Arial"/>
          <w:sz w:val="22"/>
          <w:szCs w:val="22"/>
        </w:rPr>
        <w:t>Може ли да се изгради Knowledge Graph (граф на знаење) каде јазлите се земјотреси, а рабовите се веројатностите на тригерирање — без претпоставена детерминистичка структура на кластери?</w:t>
      </w:r>
    </w:p>
    <w:p w14:paraId="279A13EC">
      <w:pPr>
        <w:pStyle w:val="16"/>
        <w:numPr>
          <w:ilvl w:val="0"/>
          <w:numId w:val="1"/>
        </w:numPr>
        <w:spacing w:after="80"/>
      </w:pPr>
      <w:r>
        <w:rPr>
          <w:rFonts w:ascii="Arial" w:hAnsi="Arial" w:eastAsia="Arial" w:cs="Arial"/>
          <w:sz w:val="22"/>
          <w:szCs w:val="22"/>
        </w:rPr>
        <w:t>Кои земјотреси се позадинска (background) сеизмичност наспроти тригерирани настани?</w:t>
      </w:r>
    </w:p>
    <w:p w14:paraId="202D374B">
      <w:pPr>
        <w:pStyle w:val="16"/>
        <w:numPr>
          <w:ilvl w:val="0"/>
          <w:numId w:val="1"/>
        </w:numPr>
        <w:spacing w:after="80"/>
      </w:pPr>
      <w:r>
        <w:rPr>
          <w:rFonts w:ascii="Arial" w:hAnsi="Arial" w:eastAsia="Arial" w:cs="Arial"/>
          <w:sz w:val="22"/>
          <w:szCs w:val="22"/>
        </w:rPr>
        <w:t>Кои настани имаат највисок "каузален влез" — тригерираат најмногу следни настани (директно или во каскада)?</w:t>
      </w:r>
    </w:p>
    <w:p w14:paraId="610613E1">
      <w:pPr>
        <w:pStyle w:val="16"/>
        <w:numPr>
          <w:ilvl w:val="0"/>
          <w:numId w:val="1"/>
        </w:numPr>
        <w:spacing w:after="80"/>
      </w:pPr>
      <w:r>
        <w:rPr>
          <w:rFonts w:ascii="Arial" w:hAnsi="Arial" w:eastAsia="Arial" w:cs="Arial"/>
          <w:sz w:val="22"/>
          <w:szCs w:val="22"/>
        </w:rPr>
        <w:t>Дали графот открива структури (гроздови, хиерархии) кои не се видливи со класичните методи?</w:t>
      </w:r>
    </w:p>
    <w:p w14:paraId="22343E8E">
      <w:pPr>
        <w:pBdr>
          <w:bottom w:val="single" w:color="2E75B6" w:sz="6" w:space="1"/>
        </w:pBdr>
        <w:spacing w:before="80" w:after="200"/>
      </w:pPr>
    </w:p>
    <w:p w14:paraId="6BE77F7C">
      <w:pPr>
        <w:pStyle w:val="2"/>
        <w:spacing w:before="360" w:after="160"/>
      </w:pPr>
      <w:r>
        <w:rPr>
          <w:rFonts w:ascii="Arial" w:hAnsi="Arial" w:eastAsia="Arial" w:cs="Arial"/>
          <w:b/>
          <w:bCs/>
          <w:color w:val="1F4E79"/>
          <w:sz w:val="32"/>
          <w:szCs w:val="32"/>
        </w:rPr>
        <w:t>3.  Теориска основа</w:t>
      </w:r>
    </w:p>
    <w:p w14:paraId="719EE5A5">
      <w:pPr>
        <w:pStyle w:val="3"/>
        <w:spacing w:before="280" w:after="120"/>
      </w:pPr>
      <w:r>
        <w:rPr>
          <w:rFonts w:ascii="Arial" w:hAnsi="Arial" w:eastAsia="Arial" w:cs="Arial"/>
          <w:b/>
          <w:bCs/>
          <w:color w:val="2E75B6"/>
          <w:sz w:val="26"/>
          <w:szCs w:val="26"/>
        </w:rPr>
        <w:t>3.1  Точковни процеси и условниот интензитет</w:t>
      </w:r>
    </w:p>
    <w:p w14:paraId="10B0F98E">
      <w:pPr>
        <w:spacing w:after="140"/>
        <w:jc w:val="both"/>
      </w:pPr>
      <w:r>
        <w:rPr>
          <w:rFonts w:ascii="Arial" w:hAnsi="Arial" w:eastAsia="Arial" w:cs="Arial"/>
          <w:color w:val="000000"/>
          <w:sz w:val="22"/>
          <w:szCs w:val="22"/>
        </w:rPr>
        <w:t>Сеизмичноста математички се моделира како точковен процес (point process) — случајна збирка на настани во простор и време. Клучниот концепт е условниот интензитет:</w:t>
      </w:r>
    </w:p>
    <w:p w14:paraId="3DE2B68E">
      <w:pPr>
        <w:spacing w:before="80" w:after="100"/>
        <w:jc w:val="center"/>
      </w:pPr>
      <w:r>
        <w:rPr>
          <w:rFonts w:ascii="Courier New" w:hAnsi="Courier New" w:eastAsia="Courier New" w:cs="Courier New"/>
          <w:color w:val="1F4E79"/>
          <w:sz w:val="22"/>
          <w:szCs w:val="22"/>
        </w:rPr>
        <w:t>λ(t, x, y | H_t)  =  μ(x,y)  +  Σ_{i: t_i &lt; t}  ρ(m_i) · g(t − t_i, r_{ij})</w:t>
      </w:r>
    </w:p>
    <w:p w14:paraId="66347712">
      <w:pPr>
        <w:spacing w:after="140"/>
        <w:jc w:val="both"/>
      </w:pPr>
      <w:r>
        <w:rPr>
          <w:rFonts w:ascii="Arial" w:hAnsi="Arial" w:eastAsia="Arial" w:cs="Arial"/>
          <w:color w:val="000000"/>
          <w:sz w:val="22"/>
          <w:szCs w:val="22"/>
        </w:rPr>
        <w:t>каде:</w:t>
      </w:r>
    </w:p>
    <w:p w14:paraId="18970137">
      <w:pPr>
        <w:pStyle w:val="16"/>
        <w:numPr>
          <w:ilvl w:val="0"/>
          <w:numId w:val="1"/>
        </w:numPr>
        <w:spacing w:after="80"/>
      </w:pPr>
      <w:r>
        <w:rPr>
          <w:rFonts w:ascii="Arial" w:hAnsi="Arial" w:eastAsia="Arial" w:cs="Arial"/>
          <w:sz w:val="22"/>
          <w:szCs w:val="22"/>
        </w:rPr>
        <w:t>μ(x,y) е позадинскиот (background) интензитет — стапката на настани кои не се предизвикани од претходни.</w:t>
      </w:r>
    </w:p>
    <w:p w14:paraId="4A55B5EE">
      <w:pPr>
        <w:pStyle w:val="16"/>
        <w:numPr>
          <w:ilvl w:val="0"/>
          <w:numId w:val="1"/>
        </w:numPr>
        <w:spacing w:after="80"/>
      </w:pPr>
      <w:r>
        <w:rPr>
          <w:rFonts w:ascii="Arial" w:hAnsi="Arial" w:eastAsia="Arial" w:cs="Arial"/>
          <w:sz w:val="22"/>
          <w:szCs w:val="22"/>
        </w:rPr>
        <w:t>ρ(m_i) = 10^(b·(m_i − m_min)) е продуктивноста — поголема магнитуда предизвикува повеќе aftershocks (Gutenberg-Richter закон).</w:t>
      </w:r>
    </w:p>
    <w:p w14:paraId="369069A6">
      <w:pPr>
        <w:pStyle w:val="16"/>
        <w:numPr>
          <w:ilvl w:val="0"/>
          <w:numId w:val="1"/>
        </w:numPr>
        <w:spacing w:after="80"/>
      </w:pPr>
      <w:r>
        <w:rPr>
          <w:rFonts w:ascii="Arial" w:hAnsi="Arial" w:eastAsia="Arial" w:cs="Arial"/>
          <w:sz w:val="22"/>
          <w:szCs w:val="22"/>
        </w:rPr>
        <w:t>g(Δt, Δr) е тригерирачкото јадро (triggering kernel) — функција која опаѓа со временска и просторна оддалеченост.</w:t>
      </w:r>
    </w:p>
    <w:p w14:paraId="275780FD">
      <w:pPr>
        <w:pStyle w:val="3"/>
        <w:spacing w:before="280" w:after="120"/>
      </w:pPr>
      <w:r>
        <w:rPr>
          <w:rFonts w:ascii="Arial" w:hAnsi="Arial" w:eastAsia="Arial" w:cs="Arial"/>
          <w:b/>
          <w:bCs/>
          <w:color w:val="2E75B6"/>
          <w:sz w:val="26"/>
          <w:szCs w:val="26"/>
        </w:rPr>
        <w:t>3.2  ETAS vs. MISD</w:t>
      </w:r>
    </w:p>
    <w:p w14:paraId="7EEC36C9">
      <w:pPr>
        <w:spacing w:after="140"/>
        <w:jc w:val="both"/>
      </w:pPr>
      <w:r>
        <w:rPr>
          <w:rFonts w:ascii="Arial" w:hAnsi="Arial" w:eastAsia="Arial" w:cs="Arial"/>
          <w:color w:val="000000"/>
          <w:sz w:val="22"/>
          <w:szCs w:val="22"/>
        </w:rPr>
        <w:t>Класичниот модел за оваа структура е ETAS (Epidemic-Type Aftershock Sequence, Ogata 1988). ETAS претпоставува параметарски форми: Omori-Utsu закон за временскиот опаѓање (∝ (t+c)^{-p}) и изотропна просторна функција. Параметрите се фитираат со максимална веројатност.</w:t>
      </w:r>
    </w:p>
    <w:p w14:paraId="100E66DE">
      <w:pPr>
        <w:spacing w:after="140"/>
        <w:jc w:val="both"/>
      </w:pPr>
      <w:r>
        <w:rPr>
          <w:rFonts w:ascii="Arial" w:hAnsi="Arial" w:eastAsia="Arial" w:cs="Arial"/>
          <w:color w:val="000000"/>
          <w:sz w:val="22"/>
          <w:szCs w:val="22"/>
        </w:rPr>
        <w:t>MISD (Model-Independent Stochastic Declustering, Marsan &amp; Lengliné 2008 &amp; 2010) е поопшт: не претпоставува функционална форма за g(Δt, Δr). Наместо тоа, тригерирачкото јадро се учи директно од податоците преку EM алгоритам. Ова го прави MISD поробустен кога вистинскиот закон на опаѓање отстапува од Omori.</w:t>
      </w:r>
    </w:p>
    <w:p w14:paraId="6BA559D7">
      <w:pPr>
        <w:pStyle w:val="3"/>
        <w:spacing w:before="280" w:after="120"/>
      </w:pPr>
      <w:r>
        <w:rPr>
          <w:rFonts w:ascii="Arial" w:hAnsi="Arial" w:eastAsia="Arial" w:cs="Arial"/>
          <w:b/>
          <w:bCs/>
          <w:color w:val="2E75B6"/>
          <w:sz w:val="26"/>
          <w:szCs w:val="26"/>
        </w:rPr>
        <w:t>3.3  EM алгоритам (E-чекор / M-чекор)</w:t>
      </w:r>
    </w:p>
    <w:p w14:paraId="3F9FB3B3">
      <w:pPr>
        <w:spacing w:after="140"/>
        <w:jc w:val="both"/>
      </w:pPr>
      <w:r>
        <w:rPr>
          <w:rFonts w:ascii="Arial" w:hAnsi="Arial" w:eastAsia="Arial" w:cs="Arial"/>
          <w:color w:val="000000"/>
          <w:sz w:val="22"/>
          <w:szCs w:val="22"/>
        </w:rPr>
        <w:t>За секој пар (i, j) каде t_i &lt; t_j, се дефинира:</w:t>
      </w:r>
    </w:p>
    <w:p w14:paraId="0DAE826E">
      <w:pPr>
        <w:spacing w:before="80" w:after="100"/>
        <w:jc w:val="center"/>
      </w:pPr>
      <w:r>
        <w:rPr>
          <w:rFonts w:ascii="Courier New" w:hAnsi="Courier New" w:eastAsia="Courier New" w:cs="Courier New"/>
          <w:color w:val="1F4E79"/>
          <w:sz w:val="22"/>
          <w:szCs w:val="22"/>
        </w:rPr>
        <w:t>w[i,j]  =  P(j беше тригериран од i)</w:t>
      </w:r>
    </w:p>
    <w:p w14:paraId="36048F5F">
      <w:pPr>
        <w:spacing w:before="80" w:after="100"/>
        <w:jc w:val="center"/>
      </w:pPr>
      <w:r>
        <w:rPr>
          <w:rFonts w:ascii="Courier New" w:hAnsi="Courier New" w:eastAsia="Courier New" w:cs="Courier New"/>
          <w:color w:val="1F4E79"/>
          <w:sz w:val="22"/>
          <w:szCs w:val="22"/>
        </w:rPr>
        <w:t>w_bg[j] =  P(j е позадинска сеизмичност)</w:t>
      </w:r>
    </w:p>
    <w:p w14:paraId="0DD54B7B">
      <w:pPr>
        <w:spacing w:after="140"/>
        <w:jc w:val="both"/>
      </w:pPr>
      <w:r>
        <w:rPr>
          <w:rFonts w:ascii="Arial" w:hAnsi="Arial" w:eastAsia="Arial" w:cs="Arial"/>
          <w:color w:val="000000"/>
          <w:sz w:val="22"/>
          <w:szCs w:val="22"/>
        </w:rPr>
        <w:t>Нормализацискиот услов бара дека за секој настан j:</w:t>
      </w:r>
    </w:p>
    <w:p w14:paraId="6D451478">
      <w:pPr>
        <w:spacing w:before="80" w:after="100"/>
        <w:jc w:val="center"/>
      </w:pPr>
      <w:r>
        <w:rPr>
          <w:rFonts w:ascii="Courier New" w:hAnsi="Courier New" w:eastAsia="Courier New" w:cs="Courier New"/>
          <w:color w:val="1F4E79"/>
          <w:sz w:val="22"/>
          <w:szCs w:val="22"/>
        </w:rPr>
        <w:t>w_bg[j]  +  Σ_{i&lt;j} w[i,j]  =  1</w:t>
      </w:r>
    </w:p>
    <w:p w14:paraId="6B71996C">
      <w:pPr>
        <w:spacing w:after="100"/>
        <w:jc w:val="both"/>
      </w:pPr>
      <w:r>
        <w:rPr>
          <w:rFonts w:ascii="Arial" w:hAnsi="Arial" w:eastAsia="Arial" w:cs="Arial"/>
          <w:b/>
          <w:bCs/>
          <w:sz w:val="22"/>
          <w:szCs w:val="22"/>
        </w:rPr>
        <w:t>E-чекор:</w:t>
      </w:r>
    </w:p>
    <w:p w14:paraId="543F3A6F">
      <w:pPr>
        <w:spacing w:after="140"/>
        <w:jc w:val="both"/>
      </w:pPr>
      <w:r>
        <w:rPr>
          <w:rFonts w:ascii="Arial" w:hAnsi="Arial" w:eastAsia="Arial" w:cs="Arial"/>
          <w:color w:val="000000"/>
          <w:sz w:val="22"/>
          <w:szCs w:val="22"/>
        </w:rPr>
        <w:t>За секој j, пресметај ги необработените тежини: α_j = μ_j (background придонес) и β_ij = ρ(m_i)·g(Δt, Δr) (придонес од i). Нормализирај за да добиеш w[i,j] и w_bg[j].</w:t>
      </w:r>
    </w:p>
    <w:p w14:paraId="5052E0C2">
      <w:pPr>
        <w:spacing w:after="100"/>
        <w:jc w:val="both"/>
      </w:pPr>
      <w:r>
        <w:rPr>
          <w:rFonts w:ascii="Arial" w:hAnsi="Arial" w:eastAsia="Arial" w:cs="Arial"/>
          <w:b/>
          <w:bCs/>
          <w:sz w:val="22"/>
          <w:szCs w:val="22"/>
        </w:rPr>
        <w:t>M-чекор:</w:t>
      </w:r>
    </w:p>
    <w:p w14:paraId="6D40C21F">
      <w:pPr>
        <w:spacing w:after="140"/>
        <w:jc w:val="both"/>
      </w:pPr>
      <w:r>
        <w:rPr>
          <w:rFonts w:ascii="Arial" w:hAnsi="Arial" w:eastAsia="Arial" w:cs="Arial"/>
          <w:color w:val="000000"/>
          <w:sz w:val="22"/>
          <w:szCs w:val="22"/>
        </w:rPr>
        <w:t>Реестимирај ги параметрите: позадинскиот интензитет μ ∝ w_bg, а банд-ширините σ_t и σ_s со тежински RMS на временски/просторни разлики.</w:t>
      </w:r>
    </w:p>
    <w:p w14:paraId="015B8CDD">
      <w:pPr>
        <w:spacing w:after="140"/>
        <w:jc w:val="both"/>
      </w:pPr>
      <w:r>
        <w:rPr>
          <w:rFonts w:ascii="Arial" w:hAnsi="Arial" w:eastAsia="Arial" w:cs="Arial"/>
          <w:color w:val="000000"/>
          <w:sz w:val="22"/>
          <w:szCs w:val="22"/>
        </w:rPr>
        <w:t>Итерацијата продолжува сè додека |Δμ|/|μ| &lt; tol (конвергенција).</w:t>
      </w:r>
    </w:p>
    <w:p w14:paraId="33670B18">
      <w:pPr>
        <w:pStyle w:val="3"/>
        <w:spacing w:before="280" w:after="120"/>
      </w:pPr>
      <w:r>
        <w:rPr>
          <w:rFonts w:ascii="Arial" w:hAnsi="Arial" w:eastAsia="Arial" w:cs="Arial"/>
          <w:b/>
          <w:bCs/>
          <w:color w:val="2E75B6"/>
          <w:sz w:val="26"/>
          <w:szCs w:val="26"/>
        </w:rPr>
        <w:t>3.4  Опаѓање на густината на aftershocks (Marsan &amp; Lengliné 2010)</w:t>
      </w:r>
    </w:p>
    <w:p w14:paraId="3EF7E27D">
      <w:pPr>
        <w:spacing w:after="140"/>
        <w:jc w:val="both"/>
      </w:pPr>
      <w:r>
        <w:rPr>
          <w:rFonts w:ascii="Arial" w:hAnsi="Arial" w:eastAsia="Arial" w:cs="Arial"/>
          <w:color w:val="000000"/>
          <w:sz w:val="22"/>
          <w:szCs w:val="22"/>
        </w:rPr>
        <w:t>Клучен наод на оригиналната референтна статија: густината на aftershocks во однос на мејншокот опаѓа со растојание r по закон ∝ r^{−γ}, каде γ типично е меѓу 1.7 и 2.1 за 3 ≤ m &lt; 6 и е независна од магнитудата при мали растојанија (r &lt; 10–20 km). Статичките стресни промени предвидуваат сличен γ ≈ 2.2 — сугерира дека статичкиот стрес може да ја објасни просторната дистрибуција на aftershocks.</w:t>
      </w:r>
    </w:p>
    <w:p w14:paraId="0507E8D3">
      <w:pPr>
        <w:pBdr>
          <w:bottom w:val="single" w:color="2E75B6" w:sz="6" w:space="1"/>
        </w:pBdr>
        <w:spacing w:before="80" w:after="200"/>
      </w:pPr>
    </w:p>
    <w:p w14:paraId="0215357B">
      <w:pPr>
        <w:pStyle w:val="2"/>
        <w:spacing w:before="360" w:after="160"/>
      </w:pPr>
      <w:r>
        <w:rPr>
          <w:rFonts w:ascii="Arial" w:hAnsi="Arial" w:eastAsia="Arial" w:cs="Arial"/>
          <w:b/>
          <w:bCs/>
          <w:color w:val="1F4E79"/>
          <w:sz w:val="32"/>
          <w:szCs w:val="32"/>
        </w:rPr>
        <w:t>4.  Користени методи</w:t>
      </w:r>
    </w:p>
    <w:p w14:paraId="31827252">
      <w:pPr>
        <w:pStyle w:val="3"/>
        <w:spacing w:before="280" w:after="120"/>
      </w:pPr>
      <w:r>
        <w:rPr>
          <w:rFonts w:ascii="Arial" w:hAnsi="Arial" w:eastAsia="Arial" w:cs="Arial"/>
          <w:b/>
          <w:bCs/>
          <w:color w:val="2E75B6"/>
          <w:sz w:val="26"/>
          <w:szCs w:val="26"/>
        </w:rPr>
        <w:t>4.1  Филтрирање на каталогот</w:t>
      </w:r>
    </w:p>
    <w:p w14:paraId="457B3764">
      <w:pPr>
        <w:spacing w:after="140"/>
        <w:jc w:val="both"/>
      </w:pPr>
      <w:r>
        <w:rPr>
          <w:rFonts w:ascii="Arial" w:hAnsi="Arial" w:eastAsia="Arial" w:cs="Arial"/>
          <w:color w:val="000000"/>
          <w:sz w:val="22"/>
          <w:szCs w:val="22"/>
        </w:rPr>
        <w:t>Пред MISD, каталогот се филтрира на M ≥ 4.5 за периодот 2000–2023, максимум 2,000 настани (safety cap за меморија). Ова е неопходно бидејќи MISD бара N×N матрица на тригерирачки стапки — за N=2000 тоа е 4 M записи.</w:t>
      </w:r>
    </w:p>
    <w:p w14:paraId="68844C86">
      <w:pPr>
        <w:pStyle w:val="3"/>
        <w:spacing w:before="280" w:after="120"/>
      </w:pPr>
      <w:r>
        <w:rPr>
          <w:rFonts w:ascii="Arial" w:hAnsi="Arial" w:eastAsia="Arial" w:cs="Arial"/>
          <w:b/>
          <w:bCs/>
          <w:color w:val="2E75B6"/>
          <w:sz w:val="26"/>
          <w:szCs w:val="26"/>
        </w:rPr>
        <w:t>4.2  MISD имплементација</w:t>
      </w:r>
    </w:p>
    <w:p w14:paraId="71AAAB0E">
      <w:pPr>
        <w:spacing w:after="140"/>
        <w:jc w:val="both"/>
      </w:pPr>
      <w:r>
        <w:rPr>
          <w:rFonts w:ascii="Arial" w:hAnsi="Arial" w:eastAsia="Arial" w:cs="Arial"/>
          <w:color w:val="000000"/>
          <w:sz w:val="22"/>
          <w:szCs w:val="22"/>
        </w:rPr>
        <w:t>Имплементацијата</w:t>
      </w:r>
      <w:r>
        <w:rPr>
          <w:rFonts w:hint="default" w:cs="Arial"/>
          <w:color w:val="000000"/>
          <w:sz w:val="22"/>
          <w:szCs w:val="22"/>
          <w:lang w:val="en-US"/>
        </w:rPr>
        <w:t xml:space="preserve"> </w:t>
      </w:r>
      <w:bookmarkStart w:id="0" w:name="_GoBack"/>
      <w:bookmarkEnd w:id="0"/>
      <w:r>
        <w:rPr>
          <w:rFonts w:ascii="Arial" w:hAnsi="Arial" w:eastAsia="Arial" w:cs="Arial"/>
          <w:color w:val="000000"/>
          <w:sz w:val="22"/>
          <w:szCs w:val="22"/>
        </w:rPr>
        <w:t>е аналитичко-нумеричка:</w:t>
      </w:r>
    </w:p>
    <w:p w14:paraId="4913DB8A">
      <w:pPr>
        <w:pStyle w:val="16"/>
        <w:numPr>
          <w:ilvl w:val="0"/>
          <w:numId w:val="1"/>
        </w:numPr>
        <w:spacing w:after="80"/>
      </w:pPr>
      <w:r>
        <w:rPr>
          <w:rFonts w:ascii="Arial" w:hAnsi="Arial" w:eastAsia="Arial" w:cs="Arial"/>
          <w:sz w:val="22"/>
          <w:szCs w:val="22"/>
        </w:rPr>
        <w:t>Гаусово временско јадро: g_t(Δt) = exp(−0.5·(Δt/σ_t)²) / (σ_t·√(2π)).</w:t>
      </w:r>
    </w:p>
    <w:p w14:paraId="0B38DDBF">
      <w:pPr>
        <w:pStyle w:val="16"/>
        <w:numPr>
          <w:ilvl w:val="0"/>
          <w:numId w:val="1"/>
        </w:numPr>
        <w:spacing w:after="80"/>
      </w:pPr>
      <w:r>
        <w:rPr>
          <w:rFonts w:ascii="Arial" w:hAnsi="Arial" w:eastAsia="Arial" w:cs="Arial"/>
          <w:sz w:val="22"/>
          <w:szCs w:val="22"/>
        </w:rPr>
        <w:t>Изотропно Гаусово просторно јадро: g_s(Δr) = exp(−0.5·(Δr/σ_s)²) / (2π·σ_s²).</w:t>
      </w:r>
    </w:p>
    <w:p w14:paraId="16FCA3D1">
      <w:pPr>
        <w:pStyle w:val="16"/>
        <w:numPr>
          <w:ilvl w:val="0"/>
          <w:numId w:val="1"/>
        </w:numPr>
        <w:spacing w:after="80"/>
      </w:pPr>
      <w:r>
        <w:rPr>
          <w:rFonts w:ascii="Arial" w:hAnsi="Arial" w:eastAsia="Arial" w:cs="Arial"/>
          <w:sz w:val="22"/>
          <w:szCs w:val="22"/>
        </w:rPr>
        <w:t>Матрицата R[i,j] = ρ(m_i)·g_t·g_s се преизвадува по секоја M-чекор итерација со ажурираните σ_t, σ_s.</w:t>
      </w:r>
    </w:p>
    <w:p w14:paraId="05D0631E">
      <w:pPr>
        <w:pStyle w:val="16"/>
        <w:numPr>
          <w:ilvl w:val="0"/>
          <w:numId w:val="1"/>
        </w:numPr>
        <w:spacing w:after="80"/>
      </w:pPr>
      <w:r>
        <w:rPr>
          <w:rFonts w:ascii="Arial" w:hAnsi="Arial" w:eastAsia="Arial" w:cs="Arial"/>
          <w:sz w:val="22"/>
          <w:szCs w:val="22"/>
        </w:rPr>
        <w:t>Конвергенцијата се следи по релативната промена во μ.</w:t>
      </w:r>
    </w:p>
    <w:p w14:paraId="3772E9ED">
      <w:pPr>
        <w:pStyle w:val="3"/>
        <w:spacing w:before="280" w:after="120"/>
      </w:pPr>
      <w:r>
        <w:rPr>
          <w:rFonts w:ascii="Arial" w:hAnsi="Arial" w:eastAsia="Arial" w:cs="Arial"/>
          <w:b/>
          <w:bCs/>
          <w:color w:val="2E75B6"/>
          <w:sz w:val="26"/>
          <w:szCs w:val="26"/>
        </w:rPr>
        <w:t>4.3  Изградба на Knowledge Graph (NetworkX)</w:t>
      </w:r>
    </w:p>
    <w:p w14:paraId="6BC8E5B3">
      <w:pPr>
        <w:spacing w:after="140"/>
        <w:jc w:val="both"/>
      </w:pPr>
      <w:r>
        <w:rPr>
          <w:rFonts w:ascii="Arial" w:hAnsi="Arial" w:eastAsia="Arial" w:cs="Arial"/>
          <w:color w:val="000000"/>
          <w:sz w:val="22"/>
          <w:szCs w:val="22"/>
        </w:rPr>
        <w:t>По конвергенцијата, графот се гради вака:</w:t>
      </w:r>
    </w:p>
    <w:p w14:paraId="4EB450F6">
      <w:pPr>
        <w:pStyle w:val="16"/>
        <w:numPr>
          <w:ilvl w:val="0"/>
          <w:numId w:val="1"/>
        </w:numPr>
        <w:spacing w:after="80"/>
      </w:pPr>
      <w:r>
        <w:rPr>
          <w:rFonts w:ascii="Arial" w:hAnsi="Arial" w:eastAsia="Arial" w:cs="Arial"/>
          <w:sz w:val="22"/>
          <w:szCs w:val="22"/>
        </w:rPr>
        <w:t>Јазли: секој земјотрес е јазол со атрибути time, lat, lon, depth, mag, event_id, is_background (= w_bg[j]).</w:t>
      </w:r>
    </w:p>
    <w:p w14:paraId="684EE1FF">
      <w:pPr>
        <w:pStyle w:val="16"/>
        <w:numPr>
          <w:ilvl w:val="0"/>
          <w:numId w:val="1"/>
        </w:numPr>
        <w:spacing w:after="80"/>
      </w:pPr>
      <w:r>
        <w:rPr>
          <w:rFonts w:ascii="Arial" w:hAnsi="Arial" w:eastAsia="Arial" w:cs="Arial"/>
          <w:sz w:val="22"/>
          <w:szCs w:val="22"/>
        </w:rPr>
        <w:t>Рабови: се додава раб i→j ако w[i,j] ≥ W_THRESHOLD (default 0.05). Тежина на работ е самото w[i,j].</w:t>
      </w:r>
    </w:p>
    <w:p w14:paraId="36160702">
      <w:pPr>
        <w:pStyle w:val="16"/>
        <w:numPr>
          <w:ilvl w:val="0"/>
          <w:numId w:val="1"/>
        </w:numPr>
        <w:spacing w:after="80"/>
      </w:pPr>
      <w:r>
        <w:rPr>
          <w:rFonts w:ascii="Arial" w:hAnsi="Arial" w:eastAsia="Arial" w:cs="Arial"/>
          <w:sz w:val="22"/>
          <w:szCs w:val="22"/>
        </w:rPr>
        <w:t>Директни vs. индиректни рабови: раб i→j е индиректен (каскаден) ако постои k такво что i→k и k→j постојат во графот. Тоа ги идентификува каскадно тригерираните настани.</w:t>
      </w:r>
    </w:p>
    <w:p w14:paraId="63BE0A30">
      <w:pPr>
        <w:pStyle w:val="3"/>
        <w:spacing w:before="280" w:after="120"/>
      </w:pPr>
      <w:r>
        <w:rPr>
          <w:rFonts w:ascii="Arial" w:hAnsi="Arial" w:eastAsia="Arial" w:cs="Arial"/>
          <w:b/>
          <w:bCs/>
          <w:color w:val="2E75B6"/>
          <w:sz w:val="26"/>
          <w:szCs w:val="26"/>
        </w:rPr>
        <w:t>4.4  Извоз и визуелизација</w:t>
      </w:r>
    </w:p>
    <w:p w14:paraId="4F4EEC7D">
      <w:pPr>
        <w:pStyle w:val="16"/>
        <w:numPr>
          <w:ilvl w:val="0"/>
          <w:numId w:val="1"/>
        </w:numPr>
        <w:spacing w:after="80"/>
      </w:pPr>
      <w:r>
        <w:rPr>
          <w:rFonts w:ascii="Arial" w:hAnsi="Arial" w:eastAsia="Arial" w:cs="Arial"/>
          <w:sz w:val="22"/>
          <w:szCs w:val="22"/>
        </w:rPr>
        <w:t>GraphML — стандарден формат, читлив во Gephi, PyVis, Neo4j.</w:t>
      </w:r>
    </w:p>
    <w:p w14:paraId="6EF83AD5">
      <w:pPr>
        <w:pStyle w:val="16"/>
        <w:numPr>
          <w:ilvl w:val="0"/>
          <w:numId w:val="1"/>
        </w:numPr>
        <w:spacing w:after="80"/>
      </w:pPr>
      <w:r>
        <w:rPr>
          <w:rFonts w:ascii="Arial" w:hAnsi="Arial" w:eastAsia="Arial" w:cs="Arial"/>
          <w:sz w:val="22"/>
          <w:szCs w:val="22"/>
        </w:rPr>
        <w:t>Edge list CSV и Node list CSV — за downstream анализа.</w:t>
      </w:r>
    </w:p>
    <w:p w14:paraId="6B8A28B3">
      <w:pPr>
        <w:pStyle w:val="16"/>
        <w:numPr>
          <w:ilvl w:val="0"/>
          <w:numId w:val="1"/>
        </w:numPr>
        <w:spacing w:after="80"/>
      </w:pPr>
      <w:r>
        <w:rPr>
          <w:rFonts w:ascii="Arial" w:hAnsi="Arial" w:eastAsia="Arial" w:cs="Arial"/>
          <w:sz w:val="22"/>
          <w:szCs w:val="22"/>
        </w:rPr>
        <w:t>Ego-network визуелизација — за избран мејншок, го прикажува 2-hop соседството. Боја на јазли: позадинска веројатност (червено = background, сино = тригериран). Боја на рабови: сино = директно тригерирање, портокалово = каскада.</w:t>
      </w:r>
    </w:p>
    <w:p w14:paraId="2EE967AD">
      <w:pPr>
        <w:pBdr>
          <w:bottom w:val="single" w:color="2E75B6" w:sz="6" w:space="1"/>
        </w:pBdr>
        <w:spacing w:before="80" w:after="200"/>
      </w:pPr>
    </w:p>
    <w:p w14:paraId="16E01330">
      <w:pPr>
        <w:pStyle w:val="2"/>
        <w:spacing w:before="360" w:after="160"/>
      </w:pPr>
      <w:r>
        <w:rPr>
          <w:rFonts w:ascii="Arial" w:hAnsi="Arial" w:eastAsia="Arial" w:cs="Arial"/>
          <w:b/>
          <w:bCs/>
          <w:color w:val="1F4E79"/>
          <w:sz w:val="32"/>
          <w:szCs w:val="32"/>
        </w:rPr>
        <w:t>5.  Постигнати резултати и заклучоци</w:t>
      </w:r>
    </w:p>
    <w:p w14:paraId="5F97D77D">
      <w:pPr>
        <w:pStyle w:val="3"/>
        <w:spacing w:before="280" w:after="120"/>
      </w:pPr>
      <w:r>
        <w:rPr>
          <w:rFonts w:ascii="Arial" w:hAnsi="Arial" w:eastAsia="Arial" w:cs="Arial"/>
          <w:b/>
          <w:bCs/>
          <w:color w:val="2E75B6"/>
          <w:sz w:val="26"/>
          <w:szCs w:val="26"/>
        </w:rPr>
        <w:t>5.1  Тековна состојба</w:t>
      </w:r>
    </w:p>
    <w:p w14:paraId="3BFDA98A">
      <w:pPr>
        <w:spacing w:after="140"/>
        <w:jc w:val="both"/>
      </w:pPr>
      <w:r>
        <w:rPr>
          <w:rFonts w:ascii="Arial" w:hAnsi="Arial" w:eastAsia="Arial" w:cs="Arial"/>
          <w:color w:val="000000"/>
          <w:sz w:val="22"/>
          <w:szCs w:val="22"/>
        </w:rPr>
        <w:t>Кодот е целосно имплементиран — pipeline од суров CSV/XLSX/ZIP до GraphML и визуелизација е завршен. Засега анализата е во фаза на развој и верификација на pipeline-от, а конкретните нумерички резултати зависат од тоа со кој конкретен каталог ќе се пушти.</w:t>
      </w:r>
    </w:p>
    <w:p w14:paraId="3B77EB1F">
      <w:pPr>
        <w:spacing w:after="140"/>
        <w:jc w:val="both"/>
      </w:pPr>
      <w:r>
        <w:rPr>
          <w:rFonts w:ascii="Arial" w:hAnsi="Arial" w:eastAsia="Arial" w:cs="Arial"/>
          <w:color w:val="000000"/>
          <w:sz w:val="22"/>
          <w:szCs w:val="22"/>
        </w:rPr>
        <w:t>Очекувани резултати базирани на методот:</w:t>
      </w:r>
    </w:p>
    <w:p w14:paraId="56F80D12">
      <w:pPr>
        <w:pStyle w:val="16"/>
        <w:numPr>
          <w:ilvl w:val="0"/>
          <w:numId w:val="1"/>
        </w:numPr>
        <w:spacing w:after="80"/>
      </w:pPr>
      <w:r>
        <w:rPr>
          <w:rFonts w:ascii="Arial" w:hAnsi="Arial" w:eastAsia="Arial" w:cs="Arial"/>
          <w:sz w:val="22"/>
          <w:szCs w:val="22"/>
        </w:rPr>
        <w:t>Голем дел (60–80%) од настаните со M≥4.5 треба да бидат класифицирани со висока w_bg — позадинска сеизмичност.</w:t>
      </w:r>
    </w:p>
    <w:p w14:paraId="4E32BF19">
      <w:pPr>
        <w:pStyle w:val="16"/>
        <w:numPr>
          <w:ilvl w:val="0"/>
          <w:numId w:val="1"/>
        </w:numPr>
        <w:spacing w:after="80"/>
      </w:pPr>
      <w:r>
        <w:rPr>
          <w:rFonts w:ascii="Arial" w:hAnsi="Arial" w:eastAsia="Arial" w:cs="Arial"/>
          <w:sz w:val="22"/>
          <w:szCs w:val="22"/>
        </w:rPr>
        <w:t>Топ-10 настани по out-degree во графот очекуваме да бидат главно M≥6.5+ мејншокови (Тохоку 2011 и слични).</w:t>
      </w:r>
    </w:p>
    <w:p w14:paraId="4DA272D2">
      <w:pPr>
        <w:pStyle w:val="16"/>
        <w:numPr>
          <w:ilvl w:val="0"/>
          <w:numId w:val="1"/>
        </w:numPr>
        <w:spacing w:after="80"/>
      </w:pPr>
      <w:r>
        <w:rPr>
          <w:rFonts w:ascii="Arial" w:hAnsi="Arial" w:eastAsia="Arial" w:cs="Arial"/>
          <w:sz w:val="22"/>
          <w:szCs w:val="22"/>
        </w:rPr>
        <w:t>σ_t (временска bandwidth) по конвергенција ≈ 10–30 дена; σ_s (просторна) ≈ 0.3–0.7°.</w:t>
      </w:r>
    </w:p>
    <w:p w14:paraId="6DC36C8E">
      <w:pPr>
        <w:pStyle w:val="3"/>
        <w:spacing w:before="280" w:after="120"/>
      </w:pPr>
      <w:r>
        <w:rPr>
          <w:rFonts w:ascii="Arial" w:hAnsi="Arial" w:eastAsia="Arial" w:cs="Arial"/>
          <w:b/>
          <w:bCs/>
          <w:color w:val="2E75B6"/>
          <w:sz w:val="26"/>
          <w:szCs w:val="26"/>
        </w:rPr>
        <w:t>5.2  Ограничувања на тековниот пристап</w:t>
      </w:r>
    </w:p>
    <w:p w14:paraId="32323884">
      <w:pPr>
        <w:pStyle w:val="16"/>
        <w:numPr>
          <w:ilvl w:val="0"/>
          <w:numId w:val="1"/>
        </w:numPr>
        <w:spacing w:after="80"/>
      </w:pPr>
      <w:r>
        <w:rPr>
          <w:rFonts w:ascii="Arial" w:hAnsi="Arial" w:eastAsia="Arial" w:cs="Arial"/>
          <w:sz w:val="22"/>
          <w:szCs w:val="22"/>
        </w:rPr>
        <w:t>Гаусовото јадро е параметарска претпоставка — MISD може да работи и со непараметарска кернел естимација (хистограм), но тоа бара повеќе податоци и меморија.</w:t>
      </w:r>
    </w:p>
    <w:p w14:paraId="18AFE4C8">
      <w:pPr>
        <w:pStyle w:val="16"/>
        <w:numPr>
          <w:ilvl w:val="0"/>
          <w:numId w:val="1"/>
        </w:numPr>
        <w:spacing w:after="80"/>
      </w:pPr>
      <w:r>
        <w:rPr>
          <w:rFonts w:ascii="Arial" w:hAnsi="Arial" w:eastAsia="Arial" w:cs="Arial"/>
          <w:sz w:val="22"/>
          <w:szCs w:val="22"/>
        </w:rPr>
        <w:t>Квадратна сложеност O(N²) — за N=2000 тоа е прифатливо; за полн каталог (~100,000 настани) треба приближни методи (KD-tree, grid binning).</w:t>
      </w:r>
    </w:p>
    <w:p w14:paraId="3BD72592">
      <w:pPr>
        <w:pStyle w:val="16"/>
        <w:numPr>
          <w:ilvl w:val="0"/>
          <w:numId w:val="1"/>
        </w:numPr>
        <w:spacing w:after="80"/>
      </w:pPr>
      <w:r>
        <w:rPr>
          <w:rFonts w:ascii="Arial" w:hAnsi="Arial" w:eastAsia="Arial" w:cs="Arial"/>
          <w:sz w:val="22"/>
          <w:szCs w:val="22"/>
        </w:rPr>
        <w:t>Cutoff на 2000 настани — може да ги исклучи ретките но важни мали настани кои претходат на M≥6+ настани.</w:t>
      </w:r>
    </w:p>
    <w:p w14:paraId="5022A6E2">
      <w:pPr>
        <w:pStyle w:val="16"/>
        <w:numPr>
          <w:ilvl w:val="0"/>
          <w:numId w:val="1"/>
        </w:numPr>
        <w:spacing w:after="80"/>
      </w:pPr>
      <w:r>
        <w:rPr>
          <w:rFonts w:ascii="Arial" w:hAnsi="Arial" w:eastAsia="Arial" w:cs="Arial"/>
          <w:sz w:val="22"/>
          <w:szCs w:val="22"/>
        </w:rPr>
        <w:t>Гаусово наспроти Omori: вистинскиот временски закон за Јапонија е поблизок до степенски закон (Omori-Utsu); Гаусот може да ги потцени долгорочните aftershock врски.</w:t>
      </w:r>
    </w:p>
    <w:p w14:paraId="6ABBFCF3">
      <w:pPr>
        <w:pBdr>
          <w:bottom w:val="single" w:color="2E75B6" w:sz="6" w:space="1"/>
        </w:pBdr>
        <w:spacing w:before="80" w:after="200"/>
      </w:pPr>
    </w:p>
    <w:p w14:paraId="5A636B36">
      <w:pPr>
        <w:pStyle w:val="2"/>
        <w:spacing w:before="360" w:after="160"/>
      </w:pPr>
      <w:r>
        <w:rPr>
          <w:rFonts w:ascii="Arial" w:hAnsi="Arial" w:eastAsia="Arial" w:cs="Arial"/>
          <w:b/>
          <w:bCs/>
          <w:color w:val="1F4E79"/>
          <w:sz w:val="32"/>
          <w:szCs w:val="32"/>
        </w:rPr>
        <w:t>6.  Отворени прашања и можни насоки</w:t>
      </w:r>
    </w:p>
    <w:p w14:paraId="5330BBEE">
      <w:pPr>
        <w:pStyle w:val="3"/>
        <w:spacing w:before="280" w:after="120"/>
      </w:pPr>
      <w:r>
        <w:rPr>
          <w:rFonts w:ascii="Arial" w:hAnsi="Arial" w:eastAsia="Arial" w:cs="Arial"/>
          <w:b/>
          <w:bCs/>
          <w:color w:val="2E75B6"/>
          <w:sz w:val="26"/>
          <w:szCs w:val="26"/>
        </w:rPr>
        <w:t>6.1  Методолошки</w:t>
      </w:r>
    </w:p>
    <w:p w14:paraId="3A6452C4">
      <w:pPr>
        <w:pStyle w:val="16"/>
        <w:numPr>
          <w:ilvl w:val="0"/>
          <w:numId w:val="1"/>
        </w:numPr>
        <w:spacing w:after="80"/>
      </w:pPr>
      <w:r>
        <w:rPr>
          <w:rFonts w:ascii="Arial" w:hAnsi="Arial" w:eastAsia="Arial" w:cs="Arial"/>
          <w:sz w:val="22"/>
          <w:szCs w:val="22"/>
        </w:rPr>
        <w:t>Замена на Гаусовото јадро со Omori-Utsu + степенска просторна функција за поголема физичка реалност.</w:t>
      </w:r>
    </w:p>
    <w:p w14:paraId="252FE421">
      <w:pPr>
        <w:pStyle w:val="16"/>
        <w:numPr>
          <w:ilvl w:val="0"/>
          <w:numId w:val="1"/>
        </w:numPr>
        <w:spacing w:after="80"/>
      </w:pPr>
      <w:r>
        <w:rPr>
          <w:rFonts w:ascii="Arial" w:hAnsi="Arial" w:eastAsia="Arial" w:cs="Arial"/>
          <w:sz w:val="22"/>
          <w:szCs w:val="22"/>
        </w:rPr>
        <w:t>Непараметарска MISD имплементација (Marsan &amp; Lengliné 2008, оригиналната верзија) — без претпоставки за функционалните форми.</w:t>
      </w:r>
    </w:p>
    <w:p w14:paraId="477424C7">
      <w:pPr>
        <w:pStyle w:val="16"/>
        <w:numPr>
          <w:ilvl w:val="0"/>
          <w:numId w:val="1"/>
        </w:numPr>
        <w:spacing w:after="80"/>
      </w:pPr>
      <w:r>
        <w:rPr>
          <w:rFonts w:ascii="Arial" w:hAnsi="Arial" w:eastAsia="Arial" w:cs="Arial"/>
          <w:sz w:val="22"/>
          <w:szCs w:val="22"/>
        </w:rPr>
        <w:t>Скалирање: имплементација на приближна MISD со spatial indexing (scipy.spatial.KDTree) за N &gt; 10,000.</w:t>
      </w:r>
    </w:p>
    <w:p w14:paraId="4128E831">
      <w:pPr>
        <w:pStyle w:val="16"/>
        <w:numPr>
          <w:ilvl w:val="0"/>
          <w:numId w:val="1"/>
        </w:numPr>
        <w:spacing w:after="80"/>
      </w:pPr>
      <w:r>
        <w:rPr>
          <w:rFonts w:ascii="Arial" w:hAnsi="Arial" w:eastAsia="Arial" w:cs="Arial"/>
          <w:sz w:val="22"/>
          <w:szCs w:val="22"/>
        </w:rPr>
        <w:t>Бај'есовска неизвесност на w[i,j] — сегашниот EM дава point estimates; bootstrap или Variational Bayes за posterior distributions.</w:t>
      </w:r>
    </w:p>
    <w:p w14:paraId="34026B95">
      <w:pPr>
        <w:pStyle w:val="3"/>
        <w:spacing w:before="280" w:after="120"/>
      </w:pPr>
      <w:r>
        <w:rPr>
          <w:rFonts w:ascii="Arial" w:hAnsi="Arial" w:eastAsia="Arial" w:cs="Arial"/>
          <w:b/>
          <w:bCs/>
          <w:color w:val="2E75B6"/>
          <w:sz w:val="26"/>
          <w:szCs w:val="26"/>
        </w:rPr>
        <w:t>6.2  Графовска анализа</w:t>
      </w:r>
    </w:p>
    <w:p w14:paraId="397C60F5">
      <w:pPr>
        <w:pStyle w:val="16"/>
        <w:numPr>
          <w:ilvl w:val="0"/>
          <w:numId w:val="1"/>
        </w:numPr>
        <w:spacing w:after="80"/>
      </w:pPr>
      <w:r>
        <w:rPr>
          <w:rFonts w:ascii="Arial" w:hAnsi="Arial" w:eastAsia="Arial" w:cs="Arial"/>
          <w:sz w:val="22"/>
          <w:szCs w:val="22"/>
        </w:rPr>
        <w:t>Детекција на заедници (community detection) во графот — Louvain, Leiden, или спектрална кластеризација за откривање на просторно-временски кластери.</w:t>
      </w:r>
    </w:p>
    <w:p w14:paraId="4496E976">
      <w:pPr>
        <w:pStyle w:val="16"/>
        <w:numPr>
          <w:ilvl w:val="0"/>
          <w:numId w:val="1"/>
        </w:numPr>
        <w:spacing w:after="80"/>
      </w:pPr>
      <w:r>
        <w:rPr>
          <w:rFonts w:ascii="Arial" w:hAnsi="Arial" w:eastAsia="Arial" w:cs="Arial"/>
          <w:sz w:val="22"/>
          <w:szCs w:val="22"/>
        </w:rPr>
        <w:t>Централност мерки — betweenness, eigenvector centrality за рангирање на "hub" мејншокови.</w:t>
      </w:r>
    </w:p>
    <w:p w14:paraId="35ADED24">
      <w:pPr>
        <w:pStyle w:val="16"/>
        <w:numPr>
          <w:ilvl w:val="0"/>
          <w:numId w:val="1"/>
        </w:numPr>
        <w:spacing w:after="80"/>
      </w:pPr>
      <w:r>
        <w:rPr>
          <w:rFonts w:ascii="Arial" w:hAnsi="Arial" w:eastAsia="Arial" w:cs="Arial"/>
          <w:sz w:val="22"/>
          <w:szCs w:val="22"/>
        </w:rPr>
        <w:t>Темпорална еволуција на графот — sliding-window MISD за да се следи како се менуваат тригерирачките врски низ времето.</w:t>
      </w:r>
    </w:p>
    <w:p w14:paraId="6BBAB963">
      <w:pPr>
        <w:pStyle w:val="16"/>
        <w:numPr>
          <w:ilvl w:val="0"/>
          <w:numId w:val="1"/>
        </w:numPr>
        <w:spacing w:after="80"/>
      </w:pPr>
      <w:r>
        <w:rPr>
          <w:rFonts w:ascii="Arial" w:hAnsi="Arial" w:eastAsia="Arial" w:cs="Arial"/>
          <w:sz w:val="22"/>
          <w:szCs w:val="22"/>
        </w:rPr>
        <w:t>Graph Neural Network (GNN) над изградениот граф — инспирирано од Zhang et al. (2022), можно е GNN да научи да предвидува магнитуда или локација на следниот настан врз основа на графовската структура.</w:t>
      </w:r>
    </w:p>
    <w:p w14:paraId="6EC9997A">
      <w:pPr>
        <w:pStyle w:val="3"/>
        <w:spacing w:before="280" w:after="120"/>
      </w:pPr>
      <w:r>
        <w:rPr>
          <w:rFonts w:ascii="Arial" w:hAnsi="Arial" w:eastAsia="Arial" w:cs="Arial"/>
          <w:b/>
          <w:bCs/>
          <w:color w:val="2E75B6"/>
          <w:sz w:val="26"/>
          <w:szCs w:val="26"/>
        </w:rPr>
        <w:t>6.3  Интеграција со ML</w:t>
      </w:r>
    </w:p>
    <w:p w14:paraId="00688B44">
      <w:pPr>
        <w:pStyle w:val="16"/>
        <w:numPr>
          <w:ilvl w:val="0"/>
          <w:numId w:val="1"/>
        </w:numPr>
        <w:spacing w:after="80"/>
      </w:pPr>
      <w:r>
        <w:rPr>
          <w:rFonts w:ascii="Arial" w:hAnsi="Arial" w:eastAsia="Arial" w:cs="Arial"/>
          <w:sz w:val="22"/>
          <w:szCs w:val="22"/>
        </w:rPr>
        <w:t>NESTORE-стиль класификација (Gentili et al., 2024): употреба на графовски атрибути (out-degree, w_bg, каскадна длабочина) како features за класификација на кластери во Type A / Type B.</w:t>
      </w:r>
    </w:p>
    <w:p w14:paraId="200B3106">
      <w:pPr>
        <w:pStyle w:val="16"/>
        <w:numPr>
          <w:ilvl w:val="0"/>
          <w:numId w:val="1"/>
        </w:numPr>
        <w:spacing w:after="80"/>
      </w:pPr>
      <w:r>
        <w:rPr>
          <w:rFonts w:ascii="Arial" w:hAnsi="Arial" w:eastAsia="Arial" w:cs="Arial"/>
          <w:sz w:val="22"/>
          <w:szCs w:val="22"/>
        </w:rPr>
        <w:t>Предвидување на Dm (разлика во магнитуди меѓу мејншок и најсилен aftershock) — употреба на w[i,j] матрицата како input за regression модел.</w:t>
      </w:r>
    </w:p>
    <w:p w14:paraId="194BE4CA">
      <w:pPr>
        <w:pStyle w:val="16"/>
        <w:numPr>
          <w:ilvl w:val="0"/>
          <w:numId w:val="1"/>
        </w:numPr>
        <w:spacing w:after="80"/>
      </w:pPr>
      <w:r>
        <w:rPr>
          <w:rFonts w:ascii="Arial" w:hAnsi="Arial" w:eastAsia="Arial" w:cs="Arial"/>
          <w:sz w:val="22"/>
          <w:szCs w:val="22"/>
        </w:rPr>
        <w:t>Transfer learning — тренирање на японски каталог, тестирање на македонски или балкански каталог.</w:t>
      </w:r>
    </w:p>
    <w:p w14:paraId="654472FE">
      <w:pPr>
        <w:pStyle w:val="3"/>
        <w:spacing w:before="280" w:after="120"/>
      </w:pPr>
      <w:r>
        <w:rPr>
          <w:rFonts w:ascii="Arial" w:hAnsi="Arial" w:eastAsia="Arial" w:cs="Arial"/>
          <w:b/>
          <w:bCs/>
          <w:color w:val="2E75B6"/>
          <w:sz w:val="26"/>
          <w:szCs w:val="26"/>
        </w:rPr>
        <w:t>6.4  Валидација</w:t>
      </w:r>
    </w:p>
    <w:p w14:paraId="4C8D4815">
      <w:pPr>
        <w:pStyle w:val="16"/>
        <w:numPr>
          <w:ilvl w:val="0"/>
          <w:numId w:val="1"/>
        </w:numPr>
        <w:spacing w:after="80"/>
      </w:pPr>
      <w:r>
        <w:rPr>
          <w:rFonts w:ascii="Arial" w:hAnsi="Arial" w:eastAsia="Arial" w:cs="Arial"/>
          <w:sz w:val="22"/>
          <w:szCs w:val="22"/>
        </w:rPr>
        <w:t>Сравнување на резултатите со класичните методи (Gardner-Knopoff, Zhuang et al. 2004 ETAS) на ист каталог.</w:t>
      </w:r>
    </w:p>
    <w:p w14:paraId="5BD1197B">
      <w:pPr>
        <w:pStyle w:val="16"/>
        <w:numPr>
          <w:ilvl w:val="0"/>
          <w:numId w:val="1"/>
        </w:numPr>
        <w:spacing w:after="80"/>
      </w:pPr>
      <w:r>
        <w:rPr>
          <w:rFonts w:ascii="Arial" w:hAnsi="Arial" w:eastAsia="Arial" w:cs="Arial"/>
          <w:sz w:val="22"/>
          <w:szCs w:val="22"/>
        </w:rPr>
        <w:t>Synthetic catalogue tests — генерирање на синтетичка ETAS сеизмичност со познати параметри и тестирање дали MISD ги реконструира.</w:t>
      </w:r>
    </w:p>
    <w:p w14:paraId="17700F05">
      <w:pPr>
        <w:pStyle w:val="16"/>
        <w:numPr>
          <w:ilvl w:val="0"/>
          <w:numId w:val="1"/>
        </w:numPr>
        <w:spacing w:after="80"/>
      </w:pPr>
      <w:r>
        <w:rPr>
          <w:rFonts w:ascii="Arial" w:hAnsi="Arial" w:eastAsia="Arial" w:cs="Arial"/>
          <w:sz w:val="22"/>
          <w:szCs w:val="22"/>
        </w:rPr>
        <w:t>Просторна верификација: дали w[i,j] &gt; 0.5 настаните се просторно конзистентни со зоните на Coulomb stress transfer?</w:t>
      </w:r>
    </w:p>
    <w:p w14:paraId="0C33C634">
      <w:pPr>
        <w:pBdr>
          <w:bottom w:val="single" w:color="2E75B6" w:sz="6" w:space="1"/>
        </w:pBdr>
        <w:spacing w:before="80" w:after="200"/>
      </w:pPr>
    </w:p>
    <w:p w14:paraId="499FF4A4">
      <w:pPr>
        <w:pStyle w:val="2"/>
        <w:spacing w:before="360" w:after="160"/>
      </w:pPr>
      <w:r>
        <w:rPr>
          <w:rFonts w:ascii="Arial" w:hAnsi="Arial" w:eastAsia="Arial" w:cs="Arial"/>
          <w:b/>
          <w:bCs/>
          <w:color w:val="1F4E79"/>
          <w:sz w:val="32"/>
          <w:szCs w:val="32"/>
        </w:rPr>
        <w:t>7.  Литература и поврзана работа</w:t>
      </w:r>
    </w:p>
    <w:p w14:paraId="239D798A">
      <w:pPr>
        <w:pStyle w:val="3"/>
        <w:spacing w:before="280" w:after="120"/>
      </w:pPr>
      <w:r>
        <w:rPr>
          <w:rFonts w:ascii="Arial" w:hAnsi="Arial" w:eastAsia="Arial" w:cs="Arial"/>
          <w:b/>
          <w:bCs/>
          <w:color w:val="2E75B6"/>
          <w:sz w:val="26"/>
          <w:szCs w:val="26"/>
        </w:rPr>
        <w:t>7.1  Основни референци (директно користени)</w:t>
      </w:r>
    </w:p>
    <w:p w14:paraId="7DE86AB5">
      <w:pPr>
        <w:spacing w:after="80"/>
        <w:ind w:left="400" w:hanging="400"/>
      </w:pPr>
      <w:r>
        <w:rPr>
          <w:rFonts w:ascii="Arial" w:hAnsi="Arial" w:eastAsia="Arial" w:cs="Arial"/>
          <w:b/>
          <w:bCs/>
          <w:color w:val="2E75B6"/>
          <w:sz w:val="20"/>
          <w:szCs w:val="20"/>
        </w:rPr>
        <w:t xml:space="preserve">[1]  </w:t>
      </w:r>
      <w:r>
        <w:rPr>
          <w:rFonts w:ascii="Arial" w:hAnsi="Arial" w:eastAsia="Arial" w:cs="Arial"/>
          <w:color w:val="595959"/>
          <w:sz w:val="20"/>
          <w:szCs w:val="20"/>
        </w:rPr>
        <w:t>Marsan, D. &amp; Lengliné, O. (2008). Extending earthquakes' reach through cascading. Science, 319(5866), 1076–1079. — Оригиналниот MISD алгоритам.</w:t>
      </w:r>
    </w:p>
    <w:p w14:paraId="7DBB0C9C">
      <w:pPr>
        <w:spacing w:after="80"/>
        <w:ind w:left="400" w:hanging="400"/>
      </w:pPr>
      <w:r>
        <w:rPr>
          <w:rFonts w:ascii="Arial" w:hAnsi="Arial" w:eastAsia="Arial" w:cs="Arial"/>
          <w:b/>
          <w:bCs/>
          <w:color w:val="2E75B6"/>
          <w:sz w:val="20"/>
          <w:szCs w:val="20"/>
        </w:rPr>
        <w:t xml:space="preserve">[2]  </w:t>
      </w:r>
      <w:r>
        <w:rPr>
          <w:rFonts w:ascii="Arial" w:hAnsi="Arial" w:eastAsia="Arial" w:cs="Arial"/>
          <w:color w:val="595959"/>
          <w:sz w:val="20"/>
          <w:szCs w:val="20"/>
        </w:rPr>
        <w:t>Marsan, D. &amp; Lengliné, O. (2010). A new estimation of the decay of aftershock density with distance to the mainshock. J. Geophys. Res., 115, B09302. — Просторното опаѓање γ ≈ 1.7–2.1; основа за просторниот kernel.</w:t>
      </w:r>
    </w:p>
    <w:p w14:paraId="3CCCC60C">
      <w:pPr>
        <w:spacing w:after="80"/>
        <w:ind w:left="400" w:hanging="400"/>
      </w:pPr>
      <w:r>
        <w:rPr>
          <w:rFonts w:ascii="Arial" w:hAnsi="Arial" w:eastAsia="Arial" w:cs="Arial"/>
          <w:b/>
          <w:bCs/>
          <w:color w:val="2E75B6"/>
          <w:sz w:val="20"/>
          <w:szCs w:val="20"/>
        </w:rPr>
        <w:t xml:space="preserve">[3]  </w:t>
      </w:r>
      <w:r>
        <w:rPr>
          <w:rFonts w:ascii="Arial" w:hAnsi="Arial" w:eastAsia="Arial" w:cs="Arial"/>
          <w:color w:val="595959"/>
          <w:sz w:val="20"/>
          <w:szCs w:val="20"/>
        </w:rPr>
        <w:t>Zhuang, J., Ogata, Y. &amp; Vere-Jones, D. (2004). Analyzing earthquake clustering features by using stochastic reconstruction. J. Geophys. Res., 109, B05301. — ETAS-базирана стохастичка реконструкција и дефиниција на w[i,j]; директна паралела со MISD пристапот.</w:t>
      </w:r>
    </w:p>
    <w:p w14:paraId="1556CBA2">
      <w:pPr>
        <w:spacing w:after="80"/>
        <w:ind w:left="400" w:hanging="400"/>
      </w:pPr>
      <w:r>
        <w:rPr>
          <w:rFonts w:ascii="Arial" w:hAnsi="Arial" w:eastAsia="Arial" w:cs="Arial"/>
          <w:b/>
          <w:bCs/>
          <w:color w:val="2E75B6"/>
          <w:sz w:val="20"/>
          <w:szCs w:val="20"/>
        </w:rPr>
        <w:t xml:space="preserve">[4]  </w:t>
      </w:r>
      <w:r>
        <w:rPr>
          <w:rFonts w:ascii="Arial" w:hAnsi="Arial" w:eastAsia="Arial" w:cs="Arial"/>
          <w:color w:val="595959"/>
          <w:sz w:val="20"/>
          <w:szCs w:val="20"/>
        </w:rPr>
        <w:t>Zhang, X. et al. (2022). Spatiotemporal Graph Convolutional Networks for Earthquake Source Characterization. J. Geophys. Res. Solid Earth, 127, e2022JB024401. — GNN пристап за карактеризација на извори; инспирација за downstream GNN примена на изградениот граф.</w:t>
      </w:r>
    </w:p>
    <w:p w14:paraId="494856EB">
      <w:pPr>
        <w:spacing w:after="80"/>
        <w:ind w:left="400" w:hanging="400"/>
      </w:pPr>
      <w:r>
        <w:rPr>
          <w:rFonts w:ascii="Arial" w:hAnsi="Arial" w:eastAsia="Arial" w:cs="Arial"/>
          <w:b/>
          <w:bCs/>
          <w:color w:val="2E75B6"/>
          <w:sz w:val="20"/>
          <w:szCs w:val="20"/>
        </w:rPr>
        <w:t xml:space="preserve">[5]  </w:t>
      </w:r>
      <w:r>
        <w:rPr>
          <w:rFonts w:ascii="Arial" w:hAnsi="Arial" w:eastAsia="Arial" w:cs="Arial"/>
          <w:color w:val="595959"/>
          <w:sz w:val="20"/>
          <w:szCs w:val="20"/>
        </w:rPr>
        <w:t>Gentili, S. et al. (2024). Forecasting Strong Subsequent Earthquakes in Japan using an improved version of NESTORE Machine Learning Algorithm. arXiv: 2408.12956. — NESTORE на Јапонија; директна апликациска паралела.</w:t>
      </w:r>
    </w:p>
    <w:p w14:paraId="559D64F0">
      <w:pPr>
        <w:pStyle w:val="3"/>
        <w:spacing w:before="280" w:after="120"/>
      </w:pPr>
      <w:r>
        <w:rPr>
          <w:rFonts w:ascii="Arial" w:hAnsi="Arial" w:eastAsia="Arial" w:cs="Arial"/>
          <w:b/>
          <w:bCs/>
          <w:color w:val="2E75B6"/>
          <w:sz w:val="26"/>
          <w:szCs w:val="26"/>
        </w:rPr>
        <w:t>7.2  Поврзана работа</w:t>
      </w:r>
    </w:p>
    <w:p w14:paraId="46AAA19D">
      <w:pPr>
        <w:spacing w:after="80"/>
        <w:ind w:left="400" w:hanging="400"/>
      </w:pPr>
      <w:r>
        <w:rPr>
          <w:rFonts w:ascii="Arial" w:hAnsi="Arial" w:eastAsia="Arial" w:cs="Arial"/>
          <w:b/>
          <w:bCs/>
          <w:color w:val="2E75B6"/>
          <w:sz w:val="20"/>
          <w:szCs w:val="20"/>
        </w:rPr>
        <w:t xml:space="preserve">[6]  </w:t>
      </w:r>
      <w:r>
        <w:rPr>
          <w:rFonts w:ascii="Arial" w:hAnsi="Arial" w:eastAsia="Arial" w:cs="Arial"/>
          <w:color w:val="595959"/>
          <w:sz w:val="20"/>
          <w:szCs w:val="20"/>
        </w:rPr>
        <w:t>Ogata, Y. (1988). Statistical models for earthquake occurrences and residual analysis for point processes. J. Am. Stat. Assoc., 83, 9–27. — Оригиналниот ETAS модел.</w:t>
      </w:r>
    </w:p>
    <w:p w14:paraId="58FA3079">
      <w:pPr>
        <w:spacing w:after="80"/>
        <w:ind w:left="400" w:hanging="400"/>
      </w:pPr>
      <w:r>
        <w:rPr>
          <w:rFonts w:ascii="Arial" w:hAnsi="Arial" w:eastAsia="Arial" w:cs="Arial"/>
          <w:b/>
          <w:bCs/>
          <w:color w:val="2E75B6"/>
          <w:sz w:val="20"/>
          <w:szCs w:val="20"/>
        </w:rPr>
        <w:t xml:space="preserve">[7]  </w:t>
      </w:r>
      <w:r>
        <w:rPr>
          <w:rFonts w:ascii="Arial" w:hAnsi="Arial" w:eastAsia="Arial" w:cs="Arial"/>
          <w:color w:val="595959"/>
          <w:sz w:val="20"/>
          <w:szCs w:val="20"/>
        </w:rPr>
        <w:t>Ogata, Y. (1998). Space-time point-process models for earthquake occurrences. Ann. Inst. Stat. Math., 50, 379–402. — Просторно-временска ETAS.</w:t>
      </w:r>
    </w:p>
    <w:p w14:paraId="5A154ED5">
      <w:pPr>
        <w:spacing w:after="80"/>
        <w:ind w:left="400" w:hanging="400"/>
      </w:pPr>
      <w:r>
        <w:rPr>
          <w:rFonts w:ascii="Arial" w:hAnsi="Arial" w:eastAsia="Arial" w:cs="Arial"/>
          <w:b/>
          <w:bCs/>
          <w:color w:val="2E75B6"/>
          <w:sz w:val="20"/>
          <w:szCs w:val="20"/>
        </w:rPr>
        <w:t xml:space="preserve">[8]  </w:t>
      </w:r>
      <w:r>
        <w:rPr>
          <w:rFonts w:ascii="Arial" w:hAnsi="Arial" w:eastAsia="Arial" w:cs="Arial"/>
          <w:color w:val="595959"/>
          <w:sz w:val="20"/>
          <w:szCs w:val="20"/>
        </w:rPr>
        <w:t>Gardner, J.K. &amp; Knopoff, L. (1974). Is the sequence of earthquakes in Southern California, with aftershocks removed, Poissonian? Bull. Seismol. Soc. Am., 64, 1363–1367. — Класичен детерминистички windowing метод.</w:t>
      </w:r>
    </w:p>
    <w:p w14:paraId="2735E520">
      <w:pPr>
        <w:spacing w:after="80"/>
        <w:ind w:left="400" w:hanging="400"/>
      </w:pPr>
      <w:r>
        <w:rPr>
          <w:rFonts w:ascii="Arial" w:hAnsi="Arial" w:eastAsia="Arial" w:cs="Arial"/>
          <w:b/>
          <w:bCs/>
          <w:color w:val="2E75B6"/>
          <w:sz w:val="20"/>
          <w:szCs w:val="20"/>
        </w:rPr>
        <w:t xml:space="preserve">[9]  </w:t>
      </w:r>
      <w:r>
        <w:rPr>
          <w:rFonts w:ascii="Arial" w:hAnsi="Arial" w:eastAsia="Arial" w:cs="Arial"/>
          <w:color w:val="595959"/>
          <w:sz w:val="20"/>
          <w:szCs w:val="20"/>
        </w:rPr>
        <w:t>Reasenberg, P. (1985). Second-order moment of Central California seismicity, 1969–1982. J. Geophys. Res., 90, 5479–5495. — Рекурзивен link-based declustering.</w:t>
      </w:r>
    </w:p>
    <w:p w14:paraId="109581A9">
      <w:pPr>
        <w:spacing w:after="80"/>
        <w:ind w:left="400" w:hanging="400"/>
      </w:pPr>
      <w:r>
        <w:rPr>
          <w:rFonts w:ascii="Arial" w:hAnsi="Arial" w:eastAsia="Arial" w:cs="Arial"/>
          <w:b/>
          <w:bCs/>
          <w:color w:val="2E75B6"/>
          <w:sz w:val="20"/>
          <w:szCs w:val="20"/>
        </w:rPr>
        <w:t xml:space="preserve">[10]  </w:t>
      </w:r>
      <w:r>
        <w:rPr>
          <w:rFonts w:ascii="Arial" w:hAnsi="Arial" w:eastAsia="Arial" w:cs="Arial"/>
          <w:color w:val="595959"/>
          <w:sz w:val="20"/>
          <w:szCs w:val="20"/>
        </w:rPr>
        <w:t>Gutenberg, B. &amp; Richter, C.F. (1944). Frequency of earthquakes in California. Bull. Seismol. Soc. Am., 34, 185–188. — Основниот закон log N = a − bM; b-вредноста е директно вградена во MISD продуктивноста ρ(m).</w:t>
      </w:r>
    </w:p>
    <w:p w14:paraId="463B430A">
      <w:pPr>
        <w:spacing w:after="80"/>
        <w:ind w:left="400" w:hanging="400"/>
      </w:pPr>
      <w:r>
        <w:rPr>
          <w:rFonts w:ascii="Arial" w:hAnsi="Arial" w:eastAsia="Arial" w:cs="Arial"/>
          <w:b/>
          <w:bCs/>
          <w:color w:val="2E75B6"/>
          <w:sz w:val="20"/>
          <w:szCs w:val="20"/>
        </w:rPr>
        <w:t xml:space="preserve">[11]  </w:t>
      </w:r>
      <w:r>
        <w:rPr>
          <w:rFonts w:ascii="Arial" w:hAnsi="Arial" w:eastAsia="Arial" w:cs="Arial"/>
          <w:color w:val="595959"/>
          <w:sz w:val="20"/>
          <w:szCs w:val="20"/>
        </w:rPr>
        <w:t>Utsu, T. (1961). A statistical study on the occurrence of aftershocks. Geophys. Mag., 30, 521–605. — Omori-Utsu временски закон ∝ (t+c)^{−p}.</w:t>
      </w:r>
    </w:p>
    <w:p w14:paraId="16CFF808">
      <w:pPr>
        <w:spacing w:after="80"/>
        <w:ind w:left="400" w:hanging="400"/>
      </w:pPr>
      <w:r>
        <w:rPr>
          <w:rFonts w:ascii="Arial" w:hAnsi="Arial" w:eastAsia="Arial" w:cs="Arial"/>
          <w:b/>
          <w:bCs/>
          <w:color w:val="2E75B6"/>
          <w:sz w:val="20"/>
          <w:szCs w:val="20"/>
        </w:rPr>
        <w:t xml:space="preserve">[12]  </w:t>
      </w:r>
      <w:r>
        <w:rPr>
          <w:rFonts w:ascii="Arial" w:hAnsi="Arial" w:eastAsia="Arial" w:cs="Arial"/>
          <w:color w:val="595959"/>
          <w:sz w:val="20"/>
          <w:szCs w:val="20"/>
        </w:rPr>
        <w:t>Kagan, Y.Y. &amp; Knopoff, L. (1976). Statistical search for non-random features of the seismicity of strong earthquakes. Phys. Earth Planet. Inter., 12, 291–318. — Рани стохастички идеи за тригерирање.</w:t>
      </w:r>
    </w:p>
    <w:p w14:paraId="3F4D1450">
      <w:pPr>
        <w:spacing w:after="80"/>
        <w:ind w:left="400" w:hanging="400"/>
      </w:pPr>
      <w:r>
        <w:rPr>
          <w:rFonts w:ascii="Arial" w:hAnsi="Arial" w:eastAsia="Arial" w:cs="Arial"/>
          <w:b/>
          <w:bCs/>
          <w:color w:val="2E75B6"/>
          <w:sz w:val="20"/>
          <w:szCs w:val="20"/>
        </w:rPr>
        <w:t xml:space="preserve">[13]  </w:t>
      </w:r>
      <w:r>
        <w:rPr>
          <w:rFonts w:ascii="Arial" w:hAnsi="Arial" w:eastAsia="Arial" w:cs="Arial"/>
          <w:color w:val="595959"/>
          <w:sz w:val="20"/>
          <w:szCs w:val="20"/>
        </w:rPr>
        <w:t>Vorobieva, I. &amp; Panza, G. (1993). Prediction of the occurrence of related strong earthquakes in Italy. Pure Appl. Geophys., 141, 25–41. — Type A / Type B кластер класификација.</w:t>
      </w:r>
    </w:p>
    <w:p w14:paraId="7AFB76D3">
      <w:pPr>
        <w:spacing w:after="80"/>
        <w:ind w:left="400" w:hanging="400"/>
      </w:pPr>
      <w:r>
        <w:rPr>
          <w:rFonts w:ascii="Arial" w:hAnsi="Arial" w:eastAsia="Arial" w:cs="Arial"/>
          <w:b/>
          <w:bCs/>
          <w:color w:val="2E75B6"/>
          <w:sz w:val="20"/>
          <w:szCs w:val="20"/>
        </w:rPr>
        <w:t xml:space="preserve">[14]  </w:t>
      </w:r>
      <w:r>
        <w:rPr>
          <w:rFonts w:ascii="Arial" w:hAnsi="Arial" w:eastAsia="Arial" w:cs="Arial"/>
          <w:color w:val="595959"/>
          <w:sz w:val="20"/>
          <w:szCs w:val="20"/>
        </w:rPr>
        <w:t>DeVries, P.M.R. et al. (2018). Deep learning of aftershock patterns following large earthquakes. Nature, 560, 632–634. — Пионерска работа за ML-предвидување на aftershock локации.</w:t>
      </w:r>
    </w:p>
    <w:p w14:paraId="2C23C2AB">
      <w:pPr>
        <w:spacing w:after="80"/>
        <w:ind w:left="400" w:hanging="400"/>
      </w:pPr>
      <w:r>
        <w:rPr>
          <w:rFonts w:ascii="Arial" w:hAnsi="Arial" w:eastAsia="Arial" w:cs="Arial"/>
          <w:b/>
          <w:bCs/>
          <w:color w:val="2E75B6"/>
          <w:sz w:val="20"/>
          <w:szCs w:val="20"/>
        </w:rPr>
        <w:t xml:space="preserve">[15]  </w:t>
      </w:r>
      <w:r>
        <w:rPr>
          <w:rFonts w:ascii="Arial" w:hAnsi="Arial" w:eastAsia="Arial" w:cs="Arial"/>
          <w:color w:val="595959"/>
          <w:sz w:val="20"/>
          <w:szCs w:val="20"/>
        </w:rPr>
        <w:t>Dascher-Cousineau, K. et al. (2023). Using large language models in seismology. Seismol. Res. Lett. — LLM/трансформери за сеизмологија.</w:t>
      </w:r>
    </w:p>
    <w:p w14:paraId="62DF3645">
      <w:pPr>
        <w:pStyle w:val="3"/>
        <w:spacing w:before="280" w:after="120"/>
      </w:pPr>
      <w:r>
        <w:rPr>
          <w:rFonts w:ascii="Arial" w:hAnsi="Arial" w:eastAsia="Arial" w:cs="Arial"/>
          <w:b/>
          <w:bCs/>
          <w:color w:val="2E75B6"/>
          <w:sz w:val="26"/>
          <w:szCs w:val="26"/>
        </w:rPr>
        <w:t>7.3  Алатки и библиотеки</w:t>
      </w:r>
    </w:p>
    <w:p w14:paraId="6C8D9203">
      <w:pPr>
        <w:pStyle w:val="16"/>
        <w:numPr>
          <w:ilvl w:val="0"/>
          <w:numId w:val="1"/>
        </w:numPr>
        <w:spacing w:after="80"/>
      </w:pPr>
      <w:r>
        <w:rPr>
          <w:rFonts w:ascii="Arial" w:hAnsi="Arial" w:eastAsia="Arial" w:cs="Arial"/>
          <w:sz w:val="22"/>
          <w:szCs w:val="22"/>
        </w:rPr>
        <w:t>pandas, numpy — обработка на каталогот и матрични операции.</w:t>
      </w:r>
    </w:p>
    <w:p w14:paraId="5FB725F1">
      <w:pPr>
        <w:pStyle w:val="16"/>
        <w:numPr>
          <w:ilvl w:val="0"/>
          <w:numId w:val="1"/>
        </w:numPr>
        <w:spacing w:after="80"/>
      </w:pPr>
      <w:r>
        <w:rPr>
          <w:rFonts w:ascii="Arial" w:hAnsi="Arial" w:eastAsia="Arial" w:cs="Arial"/>
          <w:sz w:val="22"/>
          <w:szCs w:val="22"/>
        </w:rPr>
        <w:t>networkx — изградба и анализа на графот; поддржува GraphML извоз.</w:t>
      </w:r>
    </w:p>
    <w:p w14:paraId="69B595F4">
      <w:pPr>
        <w:pStyle w:val="16"/>
        <w:numPr>
          <w:ilvl w:val="0"/>
          <w:numId w:val="1"/>
        </w:numPr>
        <w:spacing w:after="80"/>
      </w:pPr>
      <w:r>
        <w:rPr>
          <w:rFonts w:ascii="Arial" w:hAnsi="Arial" w:eastAsia="Arial" w:cs="Arial"/>
          <w:sz w:val="22"/>
          <w:szCs w:val="22"/>
        </w:rPr>
        <w:t>scipy.spatial.cdist — пресметка на просторни растојанија (подготвено за векторизација).</w:t>
      </w:r>
    </w:p>
    <w:p w14:paraId="7BEA6D06">
      <w:pPr>
        <w:pStyle w:val="16"/>
        <w:numPr>
          <w:ilvl w:val="0"/>
          <w:numId w:val="1"/>
        </w:numPr>
        <w:spacing w:after="80"/>
      </w:pPr>
      <w:r>
        <w:rPr>
          <w:rFonts w:ascii="Arial" w:hAnsi="Arial" w:eastAsia="Arial" w:cs="Arial"/>
          <w:sz w:val="22"/>
          <w:szCs w:val="22"/>
        </w:rPr>
        <w:t>matplotlib — визуелизација на ego-network.</w:t>
      </w:r>
    </w:p>
    <w:p w14:paraId="23AB5D59">
      <w:pPr>
        <w:pStyle w:val="16"/>
        <w:numPr>
          <w:ilvl w:val="0"/>
          <w:numId w:val="1"/>
        </w:numPr>
        <w:spacing w:after="80"/>
      </w:pPr>
      <w:r>
        <w:rPr>
          <w:rFonts w:ascii="Arial" w:hAnsi="Arial" w:eastAsia="Arial" w:cs="Arial"/>
          <w:sz w:val="22"/>
          <w:szCs w:val="22"/>
        </w:rPr>
        <w:t>tqdm — progress tracking за iterativниот EM.</w:t>
      </w:r>
    </w:p>
    <w:p w14:paraId="00FEE180">
      <w:pPr>
        <w:spacing w:after="40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3C834511"/>
    <w:rsid w:val="47523D62"/>
    <w:rsid w:val="6A835E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4E79"/>
      <w:sz w:val="32"/>
      <w:szCs w:val="32"/>
    </w:rPr>
  </w:style>
  <w:style w:type="paragraph" w:styleId="3">
    <w:name w:val="heading 2"/>
    <w:next w:val="1"/>
    <w:qFormat/>
    <w:uiPriority w:val="0"/>
    <w:pPr>
      <w:spacing w:before="280" w:after="120"/>
      <w:outlineLvl w:val="1"/>
    </w:pPr>
    <w:rPr>
      <w:rFonts w:ascii="Arial" w:hAnsi="Arial" w:eastAsia="Arial" w:cs="Arial"/>
      <w:b/>
      <w:bCs/>
      <w:color w:val="2E75B6"/>
      <w:sz w:val="26"/>
      <w:szCs w:val="26"/>
    </w:rPr>
  </w:style>
  <w:style w:type="paragraph" w:styleId="4">
    <w:name w:val="heading 3"/>
    <w:next w:val="1"/>
    <w:qFormat/>
    <w:uiPriority w:val="0"/>
    <w:pPr>
      <w:spacing w:before="200" w:after="80"/>
      <w:outlineLvl w:val="2"/>
    </w:pPr>
    <w:rPr>
      <w:rFonts w:ascii="Arial" w:hAnsi="Arial" w:eastAsia="Arial" w:cs="Arial"/>
      <w:b/>
      <w:bCs/>
      <w:color w:val="595959"/>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1906</Words>
  <Characters>11377</Characters>
  <TotalTime>4</TotalTime>
  <ScaleCrop>false</ScaleCrop>
  <LinksUpToDate>false</LinksUpToDate>
  <CharactersWithSpaces>13215</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2026-05-09T21:29:00Z</dcterms:created>
  <dc:creator>Un-named</dc:creator>
  <cp:lastModifiedBy>Novica Cvetkoski</cp:lastModifiedBy>
  <dcterms:modified xsi:type="dcterms:W3CDTF">2026-05-09T21:39:57Z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eyJoZGlkIjoiY2MxMWI4Y2NhZjQ2YmJlMmEwZGFlNzNlYWU5NDNiMzciLCJ1c2VySWQiOiIzNzI4MzA5Nzk0MzMyIn0=</vt:lpwstr>
  </property>
  <property fmtid="{D5CDD505-2E9C-101B-9397-08002B2CF9AE}" pid="3" name="KSOProductBuildVer">
    <vt:lpwstr>1033-12.1.0.25862</vt:lpwstr>
  </property>
  <property fmtid="{D5CDD505-2E9C-101B-9397-08002B2CF9AE}" pid="4" name="ICV">
    <vt:lpwstr>B4FD9F5C453E4DBE8FEB922AEBCF518F_12</vt:lpwstr>
  </property>
</Properties>
</file>