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pPr w:leftFromText="180" w:rightFromText="180" w:vertAnchor="page" w:horzAnchor="margin" w:tblpXSpec="center" w:tblpY="2634"/>
        <w:tblW w:w="5000" w:type="pct"/>
        <w:tblLook w:val="04A0" w:firstRow="1" w:lastRow="0" w:firstColumn="1" w:lastColumn="0" w:noHBand="0" w:noVBand="1"/>
      </w:tblPr>
      <w:tblGrid>
        <w:gridCol w:w="1683"/>
        <w:gridCol w:w="2079"/>
        <w:gridCol w:w="5588"/>
      </w:tblGrid>
      <w:tr w:rsidR="00964062" w:rsidRPr="00964062" w:rsidTr="00964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  <w:hideMark/>
          </w:tcPr>
          <w:p w:rsidR="00964062" w:rsidRPr="00964062" w:rsidRDefault="00964062" w:rsidP="00964062">
            <w:pPr>
              <w:spacing w:after="375" w:line="540" w:lineRule="atLeast"/>
              <w:rPr>
                <w:rFonts w:ascii="Times New Roman" w:eastAsia="Times New Roman" w:hAnsi="Times New Roman" w:cs="Times New Roman"/>
                <w:color w:val="00247A"/>
                <w:sz w:val="20"/>
                <w:szCs w:val="20"/>
              </w:rPr>
            </w:pPr>
            <w:r w:rsidRPr="00964062">
              <w:rPr>
                <w:rFonts w:ascii="Times New Roman" w:eastAsia="Times New Roman" w:hAnsi="Times New Roman" w:cs="Times New Roman"/>
                <w:color w:val="00247A"/>
                <w:sz w:val="20"/>
                <w:szCs w:val="20"/>
              </w:rPr>
              <w:t>Demographic Group</w:t>
            </w:r>
          </w:p>
        </w:tc>
        <w:tc>
          <w:tcPr>
            <w:tcW w:w="1112" w:type="pct"/>
            <w:hideMark/>
          </w:tcPr>
          <w:p w:rsidR="00964062" w:rsidRPr="00964062" w:rsidRDefault="00964062" w:rsidP="00964062">
            <w:pPr>
              <w:spacing w:after="375" w:line="5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247A"/>
                <w:sz w:val="20"/>
                <w:szCs w:val="20"/>
              </w:rPr>
            </w:pPr>
            <w:r w:rsidRPr="00964062">
              <w:rPr>
                <w:rFonts w:ascii="Times New Roman" w:eastAsia="Times New Roman" w:hAnsi="Times New Roman" w:cs="Times New Roman"/>
                <w:color w:val="00247A"/>
                <w:sz w:val="20"/>
                <w:szCs w:val="20"/>
              </w:rPr>
              <w:t>Risk Factors</w:t>
            </w:r>
          </w:p>
        </w:tc>
        <w:tc>
          <w:tcPr>
            <w:tcW w:w="2988" w:type="pct"/>
            <w:hideMark/>
          </w:tcPr>
          <w:p w:rsidR="00964062" w:rsidRPr="00964062" w:rsidRDefault="00964062" w:rsidP="00964062">
            <w:pPr>
              <w:spacing w:after="375" w:line="5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247A"/>
                <w:sz w:val="20"/>
                <w:szCs w:val="20"/>
              </w:rPr>
            </w:pPr>
            <w:r w:rsidRPr="00964062">
              <w:rPr>
                <w:rFonts w:ascii="Times New Roman" w:eastAsia="Times New Roman" w:hAnsi="Times New Roman" w:cs="Times New Roman"/>
                <w:color w:val="00247A"/>
                <w:sz w:val="20"/>
                <w:szCs w:val="20"/>
              </w:rPr>
              <w:t>Screening Frequency</w:t>
            </w:r>
          </w:p>
        </w:tc>
      </w:tr>
      <w:tr w:rsidR="00964062" w:rsidRPr="00964062" w:rsidTr="00964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  <w:hideMark/>
          </w:tcPr>
          <w:p w:rsidR="00964062" w:rsidRPr="00964062" w:rsidRDefault="00964062" w:rsidP="00964062">
            <w:pPr>
              <w:spacing w:after="375"/>
              <w:rPr>
                <w:rFonts w:ascii="Times New Roman" w:eastAsia="Times New Roman" w:hAnsi="Times New Roman" w:cs="Times New Roman"/>
                <w:color w:val="030303"/>
                <w:sz w:val="20"/>
                <w:szCs w:val="20"/>
              </w:rPr>
            </w:pPr>
            <w:r w:rsidRPr="00964062">
              <w:rPr>
                <w:rFonts w:ascii="Times New Roman" w:eastAsia="Times New Roman" w:hAnsi="Times New Roman" w:cs="Times New Roman"/>
                <w:color w:val="030303"/>
                <w:sz w:val="20"/>
                <w:szCs w:val="20"/>
              </w:rPr>
              <w:t>Children</w:t>
            </w:r>
          </w:p>
        </w:tc>
        <w:tc>
          <w:tcPr>
            <w:tcW w:w="1112" w:type="pct"/>
            <w:hideMark/>
          </w:tcPr>
          <w:p w:rsidR="00964062" w:rsidRPr="00964062" w:rsidRDefault="00964062" w:rsidP="00964062">
            <w:pPr>
              <w:spacing w:after="3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30303"/>
                <w:sz w:val="20"/>
                <w:szCs w:val="20"/>
              </w:rPr>
            </w:pPr>
            <w:r w:rsidRPr="00964062">
              <w:rPr>
                <w:rFonts w:ascii="Times New Roman" w:eastAsia="Times New Roman" w:hAnsi="Times New Roman" w:cs="Times New Roman"/>
                <w:color w:val="030303"/>
                <w:sz w:val="20"/>
                <w:szCs w:val="20"/>
              </w:rPr>
              <w:t>No risk factors</w:t>
            </w:r>
          </w:p>
        </w:tc>
        <w:tc>
          <w:tcPr>
            <w:tcW w:w="2988" w:type="pct"/>
            <w:hideMark/>
          </w:tcPr>
          <w:p w:rsidR="00964062" w:rsidRPr="00964062" w:rsidRDefault="00964062" w:rsidP="00964062">
            <w:pPr>
              <w:spacing w:after="3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30303"/>
                <w:sz w:val="20"/>
                <w:szCs w:val="20"/>
              </w:rPr>
            </w:pPr>
            <w:r w:rsidRPr="00964062">
              <w:rPr>
                <w:rFonts w:ascii="Times New Roman" w:eastAsia="Times New Roman" w:hAnsi="Times New Roman" w:cs="Times New Roman"/>
                <w:color w:val="030303"/>
                <w:sz w:val="20"/>
                <w:szCs w:val="20"/>
              </w:rPr>
              <w:t>Once between ages 9-11; again between 17-21</w:t>
            </w:r>
          </w:p>
        </w:tc>
      </w:tr>
      <w:tr w:rsidR="00964062" w:rsidRPr="00964062" w:rsidTr="00964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  <w:hideMark/>
          </w:tcPr>
          <w:p w:rsidR="00964062" w:rsidRPr="00964062" w:rsidRDefault="00964062" w:rsidP="00964062">
            <w:pPr>
              <w:spacing w:after="375"/>
              <w:rPr>
                <w:rFonts w:ascii="Times New Roman" w:eastAsia="Times New Roman" w:hAnsi="Times New Roman" w:cs="Times New Roman"/>
                <w:color w:val="030303"/>
                <w:sz w:val="20"/>
                <w:szCs w:val="20"/>
              </w:rPr>
            </w:pPr>
            <w:r w:rsidRPr="00964062">
              <w:rPr>
                <w:rFonts w:ascii="Times New Roman" w:eastAsia="Times New Roman" w:hAnsi="Times New Roman" w:cs="Times New Roman"/>
                <w:color w:val="030303"/>
                <w:sz w:val="20"/>
                <w:szCs w:val="20"/>
              </w:rPr>
              <w:t>Children</w:t>
            </w:r>
          </w:p>
        </w:tc>
        <w:tc>
          <w:tcPr>
            <w:tcW w:w="1112" w:type="pct"/>
            <w:hideMark/>
          </w:tcPr>
          <w:p w:rsidR="00964062" w:rsidRPr="00964062" w:rsidRDefault="00964062" w:rsidP="00964062">
            <w:pPr>
              <w:spacing w:after="3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30303"/>
                <w:sz w:val="20"/>
                <w:szCs w:val="20"/>
              </w:rPr>
            </w:pPr>
            <w:r w:rsidRPr="00964062">
              <w:rPr>
                <w:rFonts w:ascii="Times New Roman" w:eastAsia="Times New Roman" w:hAnsi="Times New Roman" w:cs="Times New Roman"/>
                <w:color w:val="030303"/>
                <w:sz w:val="20"/>
                <w:szCs w:val="20"/>
              </w:rPr>
              <w:t>One or more</w:t>
            </w:r>
          </w:p>
        </w:tc>
        <w:tc>
          <w:tcPr>
            <w:tcW w:w="2988" w:type="pct"/>
            <w:hideMark/>
          </w:tcPr>
          <w:p w:rsidR="00964062" w:rsidRPr="00964062" w:rsidRDefault="00964062" w:rsidP="00964062">
            <w:pPr>
              <w:spacing w:after="3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30303"/>
                <w:sz w:val="20"/>
                <w:szCs w:val="20"/>
              </w:rPr>
            </w:pPr>
            <w:r w:rsidRPr="00964062">
              <w:rPr>
                <w:rFonts w:ascii="Times New Roman" w:eastAsia="Times New Roman" w:hAnsi="Times New Roman" w:cs="Times New Roman"/>
                <w:color w:val="030303"/>
                <w:sz w:val="20"/>
                <w:szCs w:val="20"/>
              </w:rPr>
              <w:t>Every 1-3 years starting when risk factor is identified</w:t>
            </w:r>
          </w:p>
        </w:tc>
      </w:tr>
      <w:tr w:rsidR="00964062" w:rsidRPr="00964062" w:rsidTr="00964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  <w:hideMark/>
          </w:tcPr>
          <w:p w:rsidR="00964062" w:rsidRPr="00964062" w:rsidRDefault="00964062" w:rsidP="00964062">
            <w:pPr>
              <w:spacing w:after="375"/>
              <w:rPr>
                <w:rFonts w:ascii="Times New Roman" w:eastAsia="Times New Roman" w:hAnsi="Times New Roman" w:cs="Times New Roman"/>
                <w:color w:val="030303"/>
                <w:sz w:val="20"/>
                <w:szCs w:val="20"/>
              </w:rPr>
            </w:pPr>
            <w:r w:rsidRPr="00964062">
              <w:rPr>
                <w:rFonts w:ascii="Times New Roman" w:eastAsia="Times New Roman" w:hAnsi="Times New Roman" w:cs="Times New Roman"/>
                <w:color w:val="030303"/>
                <w:sz w:val="20"/>
                <w:szCs w:val="20"/>
              </w:rPr>
              <w:t>Adolescents and Adults of Any Age</w:t>
            </w:r>
          </w:p>
        </w:tc>
        <w:tc>
          <w:tcPr>
            <w:tcW w:w="1112" w:type="pct"/>
            <w:hideMark/>
          </w:tcPr>
          <w:p w:rsidR="00964062" w:rsidRPr="00964062" w:rsidRDefault="00964062" w:rsidP="00964062">
            <w:pPr>
              <w:spacing w:after="3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30303"/>
                <w:sz w:val="20"/>
                <w:szCs w:val="20"/>
              </w:rPr>
            </w:pPr>
            <w:r w:rsidRPr="00964062">
              <w:rPr>
                <w:rFonts w:ascii="Times New Roman" w:eastAsia="Times New Roman" w:hAnsi="Times New Roman" w:cs="Times New Roman"/>
                <w:color w:val="030303"/>
                <w:sz w:val="20"/>
                <w:szCs w:val="20"/>
              </w:rPr>
              <w:t>One or more</w:t>
            </w:r>
          </w:p>
        </w:tc>
        <w:tc>
          <w:tcPr>
            <w:tcW w:w="2988" w:type="pct"/>
            <w:hideMark/>
          </w:tcPr>
          <w:p w:rsidR="00964062" w:rsidRPr="00964062" w:rsidRDefault="00964062" w:rsidP="00964062">
            <w:pPr>
              <w:spacing w:after="3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30303"/>
                <w:sz w:val="20"/>
                <w:szCs w:val="20"/>
              </w:rPr>
            </w:pPr>
            <w:r w:rsidRPr="00964062">
              <w:rPr>
                <w:rFonts w:ascii="Times New Roman" w:eastAsia="Times New Roman" w:hAnsi="Times New Roman" w:cs="Times New Roman"/>
                <w:color w:val="030303"/>
                <w:sz w:val="20"/>
                <w:szCs w:val="20"/>
              </w:rPr>
              <w:t>At least every 5 years; often more frequently based on specific risk factors</w:t>
            </w:r>
          </w:p>
        </w:tc>
      </w:tr>
      <w:tr w:rsidR="00964062" w:rsidRPr="00964062" w:rsidTr="00964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  <w:hideMark/>
          </w:tcPr>
          <w:p w:rsidR="00964062" w:rsidRPr="00964062" w:rsidRDefault="00964062" w:rsidP="00964062">
            <w:pPr>
              <w:spacing w:after="375"/>
              <w:rPr>
                <w:rFonts w:ascii="Times New Roman" w:eastAsia="Times New Roman" w:hAnsi="Times New Roman" w:cs="Times New Roman"/>
                <w:color w:val="030303"/>
                <w:sz w:val="20"/>
                <w:szCs w:val="20"/>
              </w:rPr>
            </w:pPr>
            <w:r w:rsidRPr="00964062">
              <w:rPr>
                <w:rFonts w:ascii="Times New Roman" w:eastAsia="Times New Roman" w:hAnsi="Times New Roman" w:cs="Times New Roman"/>
                <w:color w:val="030303"/>
                <w:sz w:val="20"/>
                <w:szCs w:val="20"/>
              </w:rPr>
              <w:t>Males Age 20-45</w:t>
            </w:r>
          </w:p>
          <w:p w:rsidR="00964062" w:rsidRPr="00964062" w:rsidRDefault="00964062" w:rsidP="00964062">
            <w:pPr>
              <w:spacing w:after="375"/>
              <w:rPr>
                <w:rFonts w:ascii="Times New Roman" w:eastAsia="Times New Roman" w:hAnsi="Times New Roman" w:cs="Times New Roman"/>
                <w:color w:val="030303"/>
                <w:sz w:val="20"/>
                <w:szCs w:val="20"/>
              </w:rPr>
            </w:pPr>
            <w:r w:rsidRPr="00964062">
              <w:rPr>
                <w:rFonts w:ascii="Times New Roman" w:eastAsia="Times New Roman" w:hAnsi="Times New Roman" w:cs="Times New Roman"/>
                <w:color w:val="030303"/>
                <w:sz w:val="20"/>
                <w:szCs w:val="20"/>
              </w:rPr>
              <w:t>Females Age 20-55</w:t>
            </w:r>
          </w:p>
        </w:tc>
        <w:tc>
          <w:tcPr>
            <w:tcW w:w="1112" w:type="pct"/>
            <w:hideMark/>
          </w:tcPr>
          <w:p w:rsidR="00964062" w:rsidRPr="00964062" w:rsidRDefault="00964062" w:rsidP="00964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30303"/>
                <w:sz w:val="20"/>
                <w:szCs w:val="20"/>
              </w:rPr>
            </w:pPr>
            <w:r w:rsidRPr="00964062">
              <w:rPr>
                <w:rFonts w:ascii="Times New Roman" w:eastAsia="Times New Roman" w:hAnsi="Times New Roman" w:cs="Times New Roman"/>
                <w:color w:val="030303"/>
                <w:sz w:val="20"/>
                <w:szCs w:val="20"/>
              </w:rPr>
              <w:t>No risk factors</w:t>
            </w:r>
          </w:p>
        </w:tc>
        <w:tc>
          <w:tcPr>
            <w:tcW w:w="2988" w:type="pct"/>
            <w:hideMark/>
          </w:tcPr>
          <w:p w:rsidR="00964062" w:rsidRPr="00964062" w:rsidRDefault="00964062" w:rsidP="00964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30303"/>
                <w:sz w:val="20"/>
                <w:szCs w:val="20"/>
              </w:rPr>
            </w:pPr>
            <w:r w:rsidRPr="00964062">
              <w:rPr>
                <w:rFonts w:ascii="Times New Roman" w:eastAsia="Times New Roman" w:hAnsi="Times New Roman" w:cs="Times New Roman"/>
                <w:color w:val="030303"/>
                <w:sz w:val="20"/>
                <w:szCs w:val="20"/>
              </w:rPr>
              <w:t>Every 4-6 years</w:t>
            </w:r>
          </w:p>
        </w:tc>
      </w:tr>
      <w:tr w:rsidR="00964062" w:rsidRPr="00964062" w:rsidTr="00964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  <w:hideMark/>
          </w:tcPr>
          <w:p w:rsidR="00964062" w:rsidRPr="00964062" w:rsidRDefault="00964062" w:rsidP="00964062">
            <w:pPr>
              <w:rPr>
                <w:rFonts w:ascii="Times New Roman" w:eastAsia="Times New Roman" w:hAnsi="Times New Roman" w:cs="Times New Roman"/>
                <w:color w:val="030303"/>
                <w:sz w:val="20"/>
                <w:szCs w:val="20"/>
              </w:rPr>
            </w:pPr>
            <w:r w:rsidRPr="00964062">
              <w:rPr>
                <w:rFonts w:ascii="Times New Roman" w:eastAsia="Times New Roman" w:hAnsi="Times New Roman" w:cs="Times New Roman"/>
                <w:color w:val="030303"/>
                <w:sz w:val="20"/>
                <w:szCs w:val="20"/>
              </w:rPr>
              <w:t>Males Age 45-65</w:t>
            </w:r>
          </w:p>
          <w:p w:rsidR="00964062" w:rsidRPr="00964062" w:rsidRDefault="00964062" w:rsidP="00964062">
            <w:pPr>
              <w:spacing w:after="375"/>
              <w:rPr>
                <w:rFonts w:ascii="Times New Roman" w:eastAsia="Times New Roman" w:hAnsi="Times New Roman" w:cs="Times New Roman"/>
                <w:color w:val="030303"/>
                <w:sz w:val="20"/>
                <w:szCs w:val="20"/>
              </w:rPr>
            </w:pPr>
            <w:r w:rsidRPr="00964062">
              <w:rPr>
                <w:rFonts w:ascii="Times New Roman" w:eastAsia="Times New Roman" w:hAnsi="Times New Roman" w:cs="Times New Roman"/>
                <w:color w:val="030303"/>
                <w:sz w:val="20"/>
                <w:szCs w:val="20"/>
              </w:rPr>
              <w:t>Females Age 55-65</w:t>
            </w:r>
          </w:p>
        </w:tc>
        <w:tc>
          <w:tcPr>
            <w:tcW w:w="1112" w:type="pct"/>
            <w:hideMark/>
          </w:tcPr>
          <w:p w:rsidR="00964062" w:rsidRPr="00964062" w:rsidRDefault="00964062" w:rsidP="00964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30303"/>
                <w:sz w:val="20"/>
                <w:szCs w:val="20"/>
              </w:rPr>
            </w:pPr>
            <w:r w:rsidRPr="00964062">
              <w:rPr>
                <w:rFonts w:ascii="Times New Roman" w:eastAsia="Times New Roman" w:hAnsi="Times New Roman" w:cs="Times New Roman"/>
                <w:color w:val="030303"/>
                <w:sz w:val="20"/>
                <w:szCs w:val="20"/>
              </w:rPr>
              <w:t>No risk factors</w:t>
            </w:r>
          </w:p>
        </w:tc>
        <w:tc>
          <w:tcPr>
            <w:tcW w:w="2988" w:type="pct"/>
            <w:hideMark/>
          </w:tcPr>
          <w:p w:rsidR="00964062" w:rsidRPr="00964062" w:rsidRDefault="00964062" w:rsidP="00964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30303"/>
                <w:sz w:val="20"/>
                <w:szCs w:val="20"/>
              </w:rPr>
            </w:pPr>
            <w:r w:rsidRPr="00964062">
              <w:rPr>
                <w:rFonts w:ascii="Times New Roman" w:eastAsia="Times New Roman" w:hAnsi="Times New Roman" w:cs="Times New Roman"/>
                <w:color w:val="030303"/>
                <w:sz w:val="20"/>
                <w:szCs w:val="20"/>
              </w:rPr>
              <w:t>Every 1-2 years</w:t>
            </w:r>
          </w:p>
        </w:tc>
      </w:tr>
      <w:tr w:rsidR="00964062" w:rsidRPr="00964062" w:rsidTr="00964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  <w:hideMark/>
          </w:tcPr>
          <w:p w:rsidR="00964062" w:rsidRPr="00964062" w:rsidRDefault="00964062" w:rsidP="00964062">
            <w:pPr>
              <w:rPr>
                <w:rFonts w:ascii="Times New Roman" w:eastAsia="Times New Roman" w:hAnsi="Times New Roman" w:cs="Times New Roman"/>
                <w:color w:val="030303"/>
                <w:sz w:val="20"/>
                <w:szCs w:val="20"/>
              </w:rPr>
            </w:pPr>
            <w:r w:rsidRPr="00964062">
              <w:rPr>
                <w:rFonts w:ascii="Times New Roman" w:eastAsia="Times New Roman" w:hAnsi="Times New Roman" w:cs="Times New Roman"/>
                <w:color w:val="030303"/>
                <w:sz w:val="20"/>
                <w:szCs w:val="20"/>
              </w:rPr>
              <w:t>People Over 65</w:t>
            </w:r>
          </w:p>
        </w:tc>
        <w:tc>
          <w:tcPr>
            <w:tcW w:w="1112" w:type="pct"/>
            <w:hideMark/>
          </w:tcPr>
          <w:p w:rsidR="00964062" w:rsidRPr="00964062" w:rsidRDefault="00964062" w:rsidP="00964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30303"/>
                <w:sz w:val="20"/>
                <w:szCs w:val="20"/>
              </w:rPr>
            </w:pPr>
            <w:r w:rsidRPr="00964062">
              <w:rPr>
                <w:rFonts w:ascii="Times New Roman" w:eastAsia="Times New Roman" w:hAnsi="Times New Roman" w:cs="Times New Roman"/>
                <w:color w:val="030303"/>
                <w:sz w:val="20"/>
                <w:szCs w:val="20"/>
              </w:rPr>
              <w:t>With or without risk factors</w:t>
            </w:r>
          </w:p>
        </w:tc>
        <w:tc>
          <w:tcPr>
            <w:tcW w:w="2988" w:type="pct"/>
            <w:hideMark/>
          </w:tcPr>
          <w:p w:rsidR="00964062" w:rsidRPr="00964062" w:rsidRDefault="00964062" w:rsidP="00964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30303"/>
                <w:sz w:val="20"/>
                <w:szCs w:val="20"/>
              </w:rPr>
            </w:pPr>
            <w:r w:rsidRPr="00964062">
              <w:rPr>
                <w:rFonts w:ascii="Times New Roman" w:eastAsia="Times New Roman" w:hAnsi="Times New Roman" w:cs="Times New Roman"/>
                <w:color w:val="030303"/>
                <w:sz w:val="20"/>
                <w:szCs w:val="20"/>
              </w:rPr>
              <w:t>Annually</w:t>
            </w:r>
          </w:p>
        </w:tc>
      </w:tr>
    </w:tbl>
    <w:p w:rsidR="00543C2B" w:rsidRPr="00964062" w:rsidRDefault="00543C2B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543C2B" w:rsidRPr="00964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62"/>
    <w:rsid w:val="00543C2B"/>
    <w:rsid w:val="0096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394FC-308B-4028-992E-9E7E3C44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4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2">
    <w:name w:val="Plain Table 2"/>
    <w:basedOn w:val="TableNormal"/>
    <w:uiPriority w:val="42"/>
    <w:rsid w:val="009640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640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2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Jahangir Shah</dc:creator>
  <cp:keywords/>
  <dc:description/>
  <cp:lastModifiedBy>Jahangir Shah</cp:lastModifiedBy>
  <cp:revision>1</cp:revision>
  <dcterms:created xsi:type="dcterms:W3CDTF">2022-12-19T18:30:00Z</dcterms:created>
  <dcterms:modified xsi:type="dcterms:W3CDTF">2022-12-19T18:34:00Z</dcterms:modified>
</cp:coreProperties>
</file>