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ec1bdc5b601485a8ef15cb3cf9a2886aeb8e5c3"/>
    <w:p>
      <w:pPr>
        <w:pStyle w:val="Title"/>
        <w:jc w:val="center"/>
      </w:pPr>
      <w:r>
        <w:t xml:space="preserve">A 6-Year Plan of Action for the Socio-Economic, Educational and Political Upliftment of the Malaysian Indian Community</w:t>
      </w:r>
    </w:p>
    <w:p>
      <w:pPr>
        <w:pStyle w:val="FirstParagraph"/>
        <w:jc w:val="center"/>
      </w:pPr>
      <w:r>
        <w:rPr>
          <w:iCs/>
          <w:rFonts w:ascii="Georgia" w:hAnsi="Georgia"/>
          <w:i/>
          <w:color w:val="595959"/>
          <w:sz w:val="26"/>
        </w:rPr>
        <w:t xml:space="preserve">A Policy Proposal to the Prime Minister of Malaysia</w:t>
      </w:r>
    </w:p>
    <w:bookmarkStart w:id="20" w:name="executive-summary"/>
    <w:p>
      <w:pPr>
        <w:pStyle w:val="Heading2"/>
      </w:pPr>
      <w:r>
        <w:t xml:space="preserve">Executive Summary</w:t>
      </w:r>
    </w:p>
    <w:p>
      <w:pPr>
        <w:pStyle w:val="FirstParagraph"/>
      </w:pPr>
      <w:r>
        <w:t xml:space="preserve">On</w:t>
      </w:r>
      <w:r>
        <w:t xml:space="preserve"> </w:t>
      </w:r>
      <w:r>
        <w:rPr>
          <w:bCs/>
          <w:b/>
        </w:rPr>
        <w:t xml:space="preserve">29 July 2026, Yang Amat Berhormat the Prime Minister announced that he will personally oversee the affairs of the Malaysian Indian community</w:t>
      </w:r>
      <w:r>
        <w:t xml:space="preserve"> </w:t>
      </w:r>
      <w:r>
        <w:t xml:space="preserve">(The Star, 29 July 2026). This proposal answers that historic commitment with the instrument it requires: a single, accountable execution engine. It asks the Prime Minister to complete the unfinished business of the</w:t>
      </w:r>
      <w:r>
        <w:t xml:space="preserve"> </w:t>
      </w:r>
      <w:r>
        <w:rPr>
          <w:bCs/>
          <w:b/>
        </w:rPr>
        <w:t xml:space="preserve">Malaysian Indian Blueprint (MIB)</w:t>
      </w:r>
      <w:r>
        <w:t xml:space="preserve"> </w:t>
      </w:r>
      <w:r>
        <w:t xml:space="preserve">— not by writing a new blueprint, and not by duplicating what this government is already doing, but by institutionalising the Prime Minister’s personal oversight into a</w:t>
      </w:r>
      <w:r>
        <w:t xml:space="preserve"> </w:t>
      </w:r>
      <w:r>
        <w:rPr>
          <w:bCs/>
          <w:b/>
        </w:rPr>
        <w:t xml:space="preserve">Task Force on Malaysian Indian Socio-Economic Transformation</w:t>
      </w:r>
      <w:r>
        <w:t xml:space="preserve">: placed under the Prime Minister’s Department (JPM), chaired personally by the Prime Minister, convening quarterly against a published KPI dashboard, and acting as the legal successor and apex delivery body for the MIB agenda, MITRA and the PTMI reforms.</w:t>
      </w:r>
    </w:p>
    <w:p>
      <w:pPr>
        <w:pStyle w:val="BodyText"/>
      </w:pPr>
      <w:r>
        <w:t xml:space="preserve">This plan is written in partnership with the government’s own record, which it credits plainly: MITRA restored to JPM and raised to</w:t>
      </w:r>
      <w:r>
        <w:t xml:space="preserve"> </w:t>
      </w:r>
      <w:r>
        <w:rPr>
          <w:bCs/>
          <w:b/>
        </w:rPr>
        <w:t xml:space="preserve">RM150 million</w:t>
      </w:r>
      <w:r>
        <w:t xml:space="preserve">, with</w:t>
      </w:r>
      <w:r>
        <w:t xml:space="preserve"> </w:t>
      </w:r>
      <w:r>
        <w:rPr>
          <w:bCs/>
          <w:b/>
        </w:rPr>
        <w:t xml:space="preserve">RM220 million across MITRA, TEKUN and AIM in Budget 2026</w:t>
      </w:r>
      <w:r>
        <w:t xml:space="preserve">; a</w:t>
      </w:r>
      <w:r>
        <w:t xml:space="preserve"> </w:t>
      </w:r>
      <w:r>
        <w:rPr>
          <w:bCs/>
          <w:b/>
        </w:rPr>
        <w:t xml:space="preserve">~RM300 million entrepreneur financing package</w:t>
      </w:r>
      <w:r>
        <w:t xml:space="preserve"> </w:t>
      </w:r>
      <w:r>
        <w:t xml:space="preserve">(MITRA, SPUMI, BRIEF-i) plus</w:t>
      </w:r>
      <w:r>
        <w:t xml:space="preserve"> </w:t>
      </w:r>
      <w:r>
        <w:rPr>
          <w:bCs/>
          <w:b/>
        </w:rPr>
        <w:t xml:space="preserve">RM50 million via AIM PENN for Indian women</w:t>
      </w:r>
      <w:r>
        <w:t xml:space="preserve">; automatic matriculation placement for 10A scorers, extended in April 2026 to</w:t>
      </w:r>
      <w:r>
        <w:t xml:space="preserve"> </w:t>
      </w:r>
      <w:r>
        <w:rPr>
          <w:bCs/>
          <w:b/>
        </w:rPr>
        <w:t xml:space="preserve">all 6,717 top scorers</w:t>
      </w:r>
      <w:r>
        <w:t xml:space="preserve">; SJKT maintenance raised to</w:t>
      </w:r>
      <w:r>
        <w:t xml:space="preserve"> </w:t>
      </w:r>
      <w:r>
        <w:rPr>
          <w:bCs/>
          <w:b/>
        </w:rPr>
        <w:t xml:space="preserve">RM50 million</w:t>
      </w:r>
      <w:r>
        <w:t xml:space="preserve">, six new SJKTs announced, and a ~RM2 billion dilapidated-schools programme; a Cabinet-agreed easy path into TVET; and the Bestari Jaya housing project that resolved a 27-year estate workers’ case. These are real achievements. The plan builds on every one of them.</w:t>
      </w:r>
    </w:p>
    <w:p>
      <w:pPr>
        <w:pStyle w:val="BodyText"/>
      </w:pPr>
      <w:r>
        <w:t xml:space="preserve">Yet the structural gaps the MIB identified in 2017 remain open: the</w:t>
      </w:r>
      <w:r>
        <w:t xml:space="preserve"> </w:t>
      </w:r>
      <w:r>
        <w:rPr>
          <w:bCs/>
          <w:b/>
        </w:rPr>
        <w:t xml:space="preserve">IB40</w:t>
      </w:r>
      <w:r>
        <w:t xml:space="preserve"> </w:t>
      </w:r>
      <w:r>
        <w:t xml:space="preserve">— approximately</w:t>
      </w:r>
      <w:r>
        <w:t xml:space="preserve"> </w:t>
      </w:r>
      <w:r>
        <w:rPr>
          <w:bCs/>
          <w:b/>
        </w:rPr>
        <w:t xml:space="preserve">227,600 Indian B40 households, 39% of all Indian households, subsisting on a mean income of RM2,672 per month</w:t>
      </w:r>
      <w:r>
        <w:t xml:space="preserve"> </w:t>
      </w:r>
      <w:r>
        <w:t xml:space="preserve">— remains the community’s defining challenge; Indian participation in the civil service stands at just</w:t>
      </w:r>
      <w:r>
        <w:t xml:space="preserve"> </w:t>
      </w:r>
      <w:r>
        <w:rPr>
          <w:bCs/>
          <w:b/>
        </w:rPr>
        <w:t xml:space="preserve">3.7% (2024)</w:t>
      </w:r>
      <w:r>
        <w:t xml:space="preserve"> </w:t>
      </w:r>
      <w:r>
        <w:t xml:space="preserve">against the MIB’s 7% target, with no targeted programme in existence; statelessness clearances, though real, remain case-by-case with no published aggregate; the matriculation sub-quota of ~1,116 Indian seats is untouched; the 1.5 billion AS1M equity units lapsed with no successor fund; and there is still no Indian-specific preschool programme, procurement gateway, or poverty-graduation model. The cause is not design failure and not a lack of money — it is an</w:t>
      </w:r>
      <w:r>
        <w:t xml:space="preserve"> </w:t>
      </w:r>
      <w:r>
        <w:rPr>
          <w:bCs/>
          <w:b/>
        </w:rPr>
        <w:t xml:space="preserve">implementation gap</w:t>
      </w:r>
      <w:r>
        <w:t xml:space="preserve">: PEMANDU found in 2024 that MITRA</w:t>
      </w:r>
      <w:r>
        <w:t xml:space="preserve"> </w:t>
      </w:r>
      <w:r>
        <w:t xml:space="preserve">“</w:t>
      </w:r>
      <w:r>
        <w:t xml:space="preserve">can only address 7 of 23 PTMI reforms</w:t>
      </w:r>
      <w:r>
        <w:t xml:space="preserve">”</w:t>
      </w:r>
      <w:r>
        <w:t xml:space="preserve"> </w:t>
      </w:r>
      <w:r>
        <w:t xml:space="preserve">(PEMANDU, 2024). Programmes multiply; no authority at the apex owns the outcomes.</w:t>
      </w:r>
    </w:p>
    <w:p>
      <w:pPr>
        <w:pStyle w:val="BodyText"/>
      </w:pPr>
      <w:r>
        <w:t xml:space="preserve">The plan unfolds across three 2-year phases, each carrying named owners, deadlines, budget lines and quarterly KPIs:</w:t>
      </w:r>
    </w:p>
    <w:p>
      <w:pPr>
        <w:numPr>
          <w:ilvl w:val="0"/>
          <w:numId w:val="1001"/>
        </w:numPr>
        <w:pStyle w:val="Compact"/>
      </w:pPr>
      <w:r>
        <w:rPr>
          <w:bCs/>
          <w:b/>
        </w:rPr>
        <w:t xml:space="preserve">Phase 1 — Immediate Impact &amp; Momentum (Years 1–2):</w:t>
      </w:r>
      <w:r>
        <w:t xml:space="preserve"> </w:t>
      </w:r>
      <w:r>
        <w:t xml:space="preserve">quick, visible wins that scale what exists and start what is missing — a systematic fast-track clearing the residual statelessness backlog within 24 months; the first-ever targeted civil service drive, lifting Indian participation from 3.7% toward 4.5%; at least 2,000 Indian matriculation offers per intake with a sub-quota review; an audited infrastructure surge for all 528 SJKTs; and revival of the MIB’s RM500 million household facility reaching at least 100,000 IB40 households through the existing TEKUN/SPUMI/AIM rails.</w:t>
      </w:r>
    </w:p>
    <w:p>
      <w:pPr>
        <w:numPr>
          <w:ilvl w:val="0"/>
          <w:numId w:val="1001"/>
        </w:numPr>
        <w:pStyle w:val="Compact"/>
      </w:pPr>
      <w:r>
        <w:rPr>
          <w:bCs/>
          <w:b/>
        </w:rPr>
        <w:t xml:space="preserve">Phase 2 — Structural Preparation &amp; Proactive Measures (Years 3–4):</w:t>
      </w:r>
      <w:r>
        <w:t xml:space="preserve"> </w:t>
      </w:r>
      <w:r>
        <w:t xml:space="preserve">durable capacity — the first IB40-specific universal preschool programme; a TVET and STEM offensive giving structure to the Cabinet’s</w:t>
      </w:r>
      <w:r>
        <w:t xml:space="preserve"> </w:t>
      </w:r>
      <w:r>
        <w:t xml:space="preserve">“</w:t>
      </w:r>
      <w:r>
        <w:t xml:space="preserve">easy path</w:t>
      </w:r>
      <w:r>
        <w:t xml:space="preserve">”</w:t>
      </w:r>
      <w:r>
        <w:t xml:space="preserve"> </w:t>
      </w:r>
      <w:r>
        <w:t xml:space="preserve">and enrolling 15,000 youth; the first procurement set-asides integrating MAICCI and KLSICCI vendors into national megaprojects; and national housing reform scaling the Bestari Jaya precedent for estate-displaced urban-poor families.</w:t>
      </w:r>
    </w:p>
    <w:p>
      <w:pPr>
        <w:numPr>
          <w:ilvl w:val="0"/>
          <w:numId w:val="1001"/>
        </w:numPr>
        <w:pStyle w:val="Compact"/>
      </w:pPr>
      <w:r>
        <w:rPr>
          <w:bCs/>
          <w:b/>
        </w:rPr>
        <w:t xml:space="preserve">Phase 3 — Holistic Solutions &amp; Systemic Transformation (Years 5–6):</w:t>
      </w:r>
      <w:r>
        <w:t xml:space="preserve"> </w:t>
      </w:r>
      <w:r>
        <w:t xml:space="preserve">permanence — proportionate corporate equity through a PNB successor fund and community investment vehicles; the total eradication of extreme urban poverty within the IB40 via a consolidated registry and graduation-model programmes that go beyond universal cash relief; and a critical mass of high-income professionals closing the 7% civil service gap.</w:t>
      </w:r>
    </w:p>
    <w:p>
      <w:pPr>
        <w:pStyle w:val="FirstParagraph"/>
      </w:pPr>
      <w:r>
        <w:t xml:space="preserve">The political logic is as deliberate as the policy logic. Approximately</w:t>
      </w:r>
      <w:r>
        <w:t xml:space="preserve"> </w:t>
      </w:r>
      <w:r>
        <w:rPr>
          <w:bCs/>
          <w:b/>
        </w:rPr>
        <w:t xml:space="preserve">12 months remain in the current term</w:t>
      </w:r>
      <w:r>
        <w:t xml:space="preserve"> </w:t>
      </w:r>
      <w:r>
        <w:t xml:space="preserve">— enough to deliver visible, verifiable Phase 1 wins so the community enters the next general election having</w:t>
      </w:r>
      <w:r>
        <w:t xml:space="preserve"> </w:t>
      </w:r>
      <w:r>
        <w:rPr>
          <w:iCs/>
          <w:i/>
        </w:rPr>
        <w:t xml:space="preserve">experienced</w:t>
      </w:r>
      <w:r>
        <w:t xml:space="preserve"> </w:t>
      </w:r>
      <w:r>
        <w:t xml:space="preserve">delivery rather than merely been promised it. The requested</w:t>
      </w:r>
      <w:r>
        <w:t xml:space="preserve"> </w:t>
      </w:r>
      <w:r>
        <w:rPr>
          <w:bCs/>
          <w:b/>
        </w:rPr>
        <w:t xml:space="preserve">five-year mandate</w:t>
      </w:r>
      <w:r>
        <w:t xml:space="preserve"> </w:t>
      </w:r>
      <w:r>
        <w:t xml:space="preserve">then converts that goodwill into the structural change no single-term initiative can achieve. One year earns the mandate; five more finish the job.</w:t>
      </w:r>
    </w:p>
    <w:p>
      <w:pPr>
        <w:pStyle w:val="BodyText"/>
      </w:pPr>
      <w:r>
        <w:t xml:space="preserve">The end-state, stated plainly: a</w:t>
      </w:r>
      <w:r>
        <w:t xml:space="preserve"> </w:t>
      </w:r>
      <w:r>
        <w:rPr>
          <w:bCs/>
          <w:b/>
        </w:rPr>
        <w:t xml:space="preserve">self-sustaining, highly competitive Malaysian Indian community</w:t>
      </w:r>
      <w:r>
        <w:t xml:space="preserve"> </w:t>
      </w:r>
      <w:r>
        <w:t xml:space="preserve">— owning proportionate equity, free of extreme poverty, documented, educated, and represented at every level of the professions and the state — fully included in Malaysia’s advanced economic future. The Prime Minister has assumed personal oversight; the blueprint and the budget lines exist. This plan supplies the engine.</w:t>
      </w:r>
    </w:p>
    <w:bookmarkEnd w:id="20"/>
    <w:bookmarkStart w:id="30" w:name="strategic-context-why-now"/>
    <w:p>
      <w:pPr>
        <w:pStyle w:val="Heading2"/>
      </w:pPr>
      <w:r>
        <w:t xml:space="preserve">1. Strategic Context: Why Now</w:t>
      </w:r>
    </w:p>
    <w:bookmarkStart w:id="23" w:name="the-community-today"/>
    <w:p>
      <w:pPr>
        <w:pStyle w:val="Heading3"/>
      </w:pPr>
      <w:r>
        <w:t xml:space="preserve">1.1 The Community Today</w:t>
      </w:r>
    </w:p>
    <w:bookmarkStart w:id="21" w:name="Xd78f9c89d7b67d377d3001be321e389fbc7430e"/>
    <w:p>
      <w:pPr>
        <w:pStyle w:val="Heading4"/>
      </w:pPr>
      <w:r>
        <w:t xml:space="preserve">1.1.1 Indians ~6-7% of population; transition from displaced estate workers to urbanized community is incomplete — IB40 (~227,600 households, 39% of Indian households, mean income RM2,672/month per MIB baseline) remains the core challenge</w:t>
      </w:r>
    </w:p>
    <w:p>
      <w:pPr>
        <w:pStyle w:val="FirstParagraph"/>
      </w:pPr>
      <w:r>
        <w:t xml:space="preserve">Malaysian Indians constitute approximately</w:t>
      </w:r>
      <w:r>
        <w:t xml:space="preserve"> </w:t>
      </w:r>
      <w:r>
        <w:rPr>
          <w:bCs/>
          <w:b/>
        </w:rPr>
        <w:t xml:space="preserve">6-7% of the national population</w:t>
      </w:r>
      <w:r>
        <w:t xml:space="preserve">, a community whose trajectory was set by the dismantling of the plantation economy. The transition from displaced estate workers to an urbanized, modern community — the transformation the Malaysian Indian Blueprint (MIB) was designed to complete in 2017 — remains unfinished. The evidence is concentrated in one demographic: the</w:t>
      </w:r>
      <w:r>
        <w:t xml:space="preserve"> </w:t>
      </w:r>
      <w:r>
        <w:rPr>
          <w:bCs/>
          <w:b/>
        </w:rPr>
        <w:t xml:space="preserve">IB40</w:t>
      </w:r>
      <w:r>
        <w:t xml:space="preserve">. The MIB baseline recorded approximately</w:t>
      </w:r>
      <w:r>
        <w:t xml:space="preserve"> </w:t>
      </w:r>
      <w:r>
        <w:rPr>
          <w:bCs/>
          <w:b/>
        </w:rPr>
        <w:t xml:space="preserve">227,600 Indian B40 households — 39% of all Indian households — on a mean income of RM2,672 per month</w:t>
      </w:r>
      <w:r>
        <w:t xml:space="preserve"> </w:t>
      </w:r>
      <w:r>
        <w:t xml:space="preserve">(MIB, 2017), against a median Indian household income of RM4,627 (HIS 2014). Until that ratio moves decisively, no claim of upliftment is credible. The IB40 is therefore not one target among many — it is the core challenge around which this plan is constructed.</w:t>
      </w:r>
    </w:p>
    <w:bookmarkEnd w:id="21"/>
    <w:bookmarkStart w:id="22" w:name="X379dfb67031608f413be94c44745e489c674ee6"/>
    <w:p>
      <w:pPr>
        <w:pStyle w:val="Heading4"/>
      </w:pPr>
      <w:r>
        <w:t xml:space="preserve">1.1.2 Persistent gaps: Indians only 3.7% of civil service in 2024 vs 7% MIB target; ~25,000 undocumented/stateless cases targeted by MIB remain partially unresolved</w:t>
      </w:r>
    </w:p>
    <w:p>
      <w:pPr>
        <w:pStyle w:val="FirstParagraph"/>
      </w:pPr>
      <w:r>
        <w:t xml:space="preserve">Two flagship MIB commitments illustrate how far delivery has lagged design. First, the Blueprint committed to</w:t>
      </w:r>
      <w:r>
        <w:t xml:space="preserve"> </w:t>
      </w:r>
      <w:r>
        <w:rPr>
          <w:bCs/>
          <w:b/>
        </w:rPr>
        <w:t xml:space="preserve">at least 7% Indian representation at all grade levels of the civil service, without compromising entry standards, within ten years</w:t>
      </w:r>
      <w:r>
        <w:t xml:space="preserve">; as of 2024, Indians hold only</w:t>
      </w:r>
      <w:r>
        <w:t xml:space="preserve"> </w:t>
      </w:r>
      <w:r>
        <w:rPr>
          <w:bCs/>
          <w:b/>
        </w:rPr>
        <w:t xml:space="preserve">3.7% of civil service positions</w:t>
      </w:r>
      <w:r>
        <w:t xml:space="preserve"> </w:t>
      </w:r>
      <w:r>
        <w:t xml:space="preserve">— barely half the target, with the window nearly expired. Second, the MIB pledged to resolve the documentation of approximately</w:t>
      </w:r>
      <w:r>
        <w:t xml:space="preserve"> </w:t>
      </w:r>
      <w:r>
        <w:rPr>
          <w:bCs/>
          <w:b/>
        </w:rPr>
        <w:t xml:space="preserve">25,000 undocumented and stateless Indians within five years</w:t>
      </w:r>
      <w:r>
        <w:t xml:space="preserve">; that caseload remains only partially resolved, leaving thousands of Malaysian-born residents without the documents that gatekeep schooling, employment, and healthcare. These are the promises every Indian family can feel — a government job and an identity card — and their non-delivery defines the community’s trust deficit with the state.</w:t>
      </w:r>
    </w:p>
    <w:bookmarkEnd w:id="22"/>
    <w:bookmarkEnd w:id="23"/>
    <w:bookmarkStart w:id="26" w:name="the-political-window"/>
    <w:p>
      <w:pPr>
        <w:pStyle w:val="Heading3"/>
      </w:pPr>
      <w:r>
        <w:t xml:space="preserve">1.2 The Political Window</w:t>
      </w:r>
    </w:p>
    <w:bookmarkStart w:id="24" w:name="Xa86d4efc7431d5704888c8dfd25318794eeaa5a"/>
    <w:p>
      <w:pPr>
        <w:pStyle w:val="Heading4"/>
      </w:pPr>
      <w:r>
        <w:t xml:space="preserve">1.2.1 12 months remain in the current term — enough to deliver visible Phase 1 wins ahead of the next general election; the Prime Minister’s own announcement of 29 July 2026 has opened the door</w:t>
      </w:r>
    </w:p>
    <w:p>
      <w:pPr>
        <w:pStyle w:val="FirstParagraph"/>
      </w:pPr>
      <w:r>
        <w:t xml:space="preserve">Yang Amat Berhormat, approximately</w:t>
      </w:r>
      <w:r>
        <w:t xml:space="preserve"> </w:t>
      </w:r>
      <w:r>
        <w:rPr>
          <w:bCs/>
          <w:b/>
        </w:rPr>
        <w:t xml:space="preserve">12 months remain in the current parliamentary term</w:t>
      </w:r>
      <w:r>
        <w:t xml:space="preserve"> </w:t>
      </w:r>
      <w:r>
        <w:t xml:space="preserve">— enough time to deliver visible, verifiable wins: fast-tracked clearance of long-pending documentation cases, immediate interventions toward the 7% civil service target, and rapid deployment of micro-credit, welfare, and SJKT infrastructure funds to the IB40. Phase 1 is engineered around quick, achievable KPIs so the community enters the next general election having</w:t>
      </w:r>
      <w:r>
        <w:t xml:space="preserve"> </w:t>
      </w:r>
      <w:r>
        <w:rPr>
          <w:iCs/>
          <w:i/>
        </w:rPr>
        <w:t xml:space="preserve">experienced</w:t>
      </w:r>
      <w:r>
        <w:t xml:space="preserve"> </w:t>
      </w:r>
      <w:r>
        <w:t xml:space="preserve">delivery rather than merely been promised it.</w:t>
      </w:r>
    </w:p>
    <w:p>
      <w:pPr>
        <w:pStyle w:val="BodyText"/>
      </w:pPr>
      <w:r>
        <w:t xml:space="preserve">The window has been opened from the highest level. On</w:t>
      </w:r>
      <w:r>
        <w:t xml:space="preserve"> </w:t>
      </w:r>
      <w:r>
        <w:rPr>
          <w:bCs/>
          <w:b/>
        </w:rPr>
        <w:t xml:space="preserve">29 July 2026, Yang Amat Berhormat publicly announced that he will personally oversee the affairs of the Malaysian Indian community</w:t>
      </w:r>
      <w:r>
        <w:t xml:space="preserve"> </w:t>
      </w:r>
      <w:r>
        <w:t xml:space="preserve">(The Star, 29 July 2026) — an unprecedented commitment of the highest office. This proposal answers that commitment with the instrument it now requires: an institutional mechanism that converts personal oversight into quarterly, measurable, publicly reported delivery.</w:t>
      </w:r>
    </w:p>
    <w:bookmarkEnd w:id="24"/>
    <w:bookmarkStart w:id="25" w:name="X39a817e7c1c3f8f9a5af05cd3ad74538a3b515d"/>
    <w:p>
      <w:pPr>
        <w:pStyle w:val="Heading4"/>
      </w:pPr>
      <w:r>
        <w:t xml:space="preserve">1.2.2 A 5-year mandate converts goodwill into structural change; the plan is deliberately sequenced to that horizon</w:t>
      </w:r>
    </w:p>
    <w:p>
      <w:pPr>
        <w:pStyle w:val="FirstParagraph"/>
      </w:pPr>
      <w:r>
        <w:t xml:space="preserve">Quick wins buy credibility; they do not move generational indicators. The plan therefore extends across a</w:t>
      </w:r>
      <w:r>
        <w:t xml:space="preserve"> </w:t>
      </w:r>
      <w:r>
        <w:rPr>
          <w:bCs/>
          <w:b/>
        </w:rPr>
        <w:t xml:space="preserve">requested 5-year mandate</w:t>
      </w:r>
      <w:r>
        <w:t xml:space="preserve">, structured as three 2-year phases —</w:t>
      </w:r>
      <w:r>
        <w:t xml:space="preserve"> </w:t>
      </w:r>
      <w:r>
        <w:rPr>
          <w:bCs/>
          <w:b/>
        </w:rPr>
        <w:t xml:space="preserve">Phase 1 (Immediate Impact &amp; Momentum), Phase 2 (Structural Preparation &amp; Proactive Measures), Phase 3 (Holistic Solutions &amp; Systemic Transformation)</w:t>
      </w:r>
      <w:r>
        <w:t xml:space="preserve">. The sequencing is deliberate: goodwill earned in the first 12 months is converted into the structural shifts — preschool access, TVET and STEM pipelines, equity ownership, eradication of extreme IB40 poverty — that no single-term initiative can achieve. The 6-year arc is the shortest horizon on which the political and developmental logics align.</w:t>
      </w:r>
    </w:p>
    <w:bookmarkEnd w:id="25"/>
    <w:bookmarkEnd w:id="26"/>
    <w:bookmarkStart w:id="29" w:name="the-implementation-gap-argument"/>
    <w:p>
      <w:pPr>
        <w:pStyle w:val="Heading3"/>
      </w:pPr>
      <w:r>
        <w:t xml:space="preserve">1.3 The Implementation Gap Argument</w:t>
      </w:r>
    </w:p>
    <w:bookmarkStart w:id="27" w:name="X2d020274301c57558b2644c1fd171177764ab9b"/>
    <w:p>
      <w:pPr>
        <w:pStyle w:val="Heading4"/>
      </w:pPr>
      <w:r>
        <w:t xml:space="preserve">1.3.1 Past blueprints failed not for lack of design but for lack of top-down execution: MIB Implementation Unit never empowered; SEDIC/MITRA absorbed RM100m/yr yet PEMANDU (2024) found MITRA can address only 7 of 23 PTMI reforms; 2021 MACC arrests of 16 MITRA-linked directors damaged credibility</w:t>
      </w:r>
    </w:p>
    <w:p>
      <w:pPr>
        <w:pStyle w:val="FirstParagraph"/>
      </w:pPr>
      <w:r>
        <w:t xml:space="preserve">The honest lesson of the past decade is that the Malaysian Indian agenda has never lacked plans — only execution. The MIB’s own</w:t>
      </w:r>
      <w:r>
        <w:t xml:space="preserve"> </w:t>
      </w:r>
      <w:r>
        <w:rPr>
          <w:bCs/>
          <w:b/>
        </w:rPr>
        <w:t xml:space="preserve">Implementation Unit, sited in the Prime Minister’s Department, was never empowered</w:t>
      </w:r>
      <w:r>
        <w:t xml:space="preserve"> </w:t>
      </w:r>
      <w:r>
        <w:t xml:space="preserve">to compel line ministries to deliver. Its successors fared no better:</w:t>
      </w:r>
      <w:r>
        <w:t xml:space="preserve"> </w:t>
      </w:r>
      <w:r>
        <w:rPr>
          <w:bCs/>
          <w:b/>
        </w:rPr>
        <w:t xml:space="preserve">SEDIC, renamed MITRA, has absorbed approximately RM100m per year</w:t>
      </w:r>
      <w:r>
        <w:t xml:space="preserve"> </w:t>
      </w:r>
      <w:r>
        <w:t xml:space="preserve">— RM98.9m spent in 2024 across 122,082 beneficiaries — yet</w:t>
      </w:r>
      <w:r>
        <w:t xml:space="preserve"> </w:t>
      </w:r>
      <w:r>
        <w:rPr>
          <w:bCs/>
          <w:b/>
        </w:rPr>
        <w:t xml:space="preserve">PEMANDU, engaged in 2024 to reset MITRA’s strategy, found the agency could address only 7 of the 23 reforms</w:t>
      </w:r>
      <w:r>
        <w:t xml:space="preserve"> </w:t>
      </w:r>
      <w:r>
        <w:t xml:space="preserve">in the Pelan Tindakan Masyarakat India (PTMI) (PEMANDU, 2024). Credibility suffered further when the</w:t>
      </w:r>
      <w:r>
        <w:t xml:space="preserve"> </w:t>
      </w:r>
      <w:r>
        <w:rPr>
          <w:bCs/>
          <w:b/>
        </w:rPr>
        <w:t xml:space="preserve">MACC arrested 16 MITRA-linked directors in 2021</w:t>
      </w:r>
      <w:r>
        <w:t xml:space="preserve"> </w:t>
      </w:r>
      <w:r>
        <w:t xml:space="preserve">over misappropriated grants.</w:t>
      </w:r>
    </w:p>
    <w:p>
      <w:pPr>
        <w:pStyle w:val="BodyText"/>
      </w:pPr>
      <w:r>
        <w:t xml:space="preserve">This government has since demonstrated real momentum, and this plan credits it plainly: MITRA has been</w:t>
      </w:r>
      <w:r>
        <w:t xml:space="preserve"> </w:t>
      </w:r>
      <w:r>
        <w:rPr>
          <w:bCs/>
          <w:b/>
        </w:rPr>
        <w:t xml:space="preserve">brought back under the Prime Minister’s Department</w:t>
      </w:r>
      <w:r>
        <w:t xml:space="preserve"> </w:t>
      </w:r>
      <w:r>
        <w:t xml:space="preserve">and its budget raised to</w:t>
      </w:r>
      <w:r>
        <w:t xml:space="preserve"> </w:t>
      </w:r>
      <w:r>
        <w:rPr>
          <w:bCs/>
          <w:b/>
        </w:rPr>
        <w:t xml:space="preserve">RM150 million (May 2026)</w:t>
      </w:r>
      <w:r>
        <w:t xml:space="preserve">, with</w:t>
      </w:r>
      <w:r>
        <w:t xml:space="preserve"> </w:t>
      </w:r>
      <w:r>
        <w:rPr>
          <w:bCs/>
          <w:b/>
        </w:rPr>
        <w:t xml:space="preserve">RM220 million channelled through MITRA, TEKUN and AIM in Budget 2026</w:t>
      </w:r>
      <w:r>
        <w:t xml:space="preserve"> </w:t>
      </w:r>
      <w:r>
        <w:t xml:space="preserve">(Bernama, 2026); an entrepreneur financing package of roughly</w:t>
      </w:r>
      <w:r>
        <w:t xml:space="preserve"> </w:t>
      </w:r>
      <w:r>
        <w:rPr>
          <w:bCs/>
          <w:b/>
        </w:rPr>
        <w:t xml:space="preserve">RM300 million</w:t>
      </w:r>
      <w:r>
        <w:t xml:space="preserve"> </w:t>
      </w:r>
      <w:r>
        <w:t xml:space="preserve">(MITRA, TEKUN SPUMI, Bank Rakyat BRIEF-i) was deployed in early 2025; automatic matriculation placement for 10A scorers was delivered from June 2024; and SJKT maintenance funding rose to</w:t>
      </w:r>
      <w:r>
        <w:t xml:space="preserve"> </w:t>
      </w:r>
      <w:r>
        <w:rPr>
          <w:bCs/>
          <w:b/>
        </w:rPr>
        <w:t xml:space="preserve">RM50 million in 2026</w:t>
      </w:r>
      <w:r>
        <w:t xml:space="preserve">. The gap that remains is not effort or goodwill — it is institutional:</w:t>
      </w:r>
      <w:r>
        <w:t xml:space="preserve"> </w:t>
      </w:r>
      <w:r>
        <w:rPr>
          <w:bCs/>
          <w:b/>
        </w:rPr>
        <w:t xml:space="preserve">money flows, programs multiply, but no single authority at the apex of government owns the outcomes, publishes the numbers, and answers for them quarterly.</w:t>
      </w:r>
    </w:p>
    <w:bookmarkEnd w:id="27"/>
    <w:bookmarkStart w:id="28" w:name="Xd673d7229e029d22c50f0448f0ec87e305c1925"/>
    <w:p>
      <w:pPr>
        <w:pStyle w:val="Heading4"/>
      </w:pPr>
      <w:r>
        <w:t xml:space="preserve">1.3.2 Conclusion: the community does not need a new blueprint — it needs an execution engine chaired by the PM himself</w:t>
      </w:r>
    </w:p>
    <w:p>
      <w:pPr>
        <w:pStyle w:val="FirstParagraph"/>
      </w:pPr>
      <w:r>
        <w:t xml:space="preserve">The conclusion follows directly. The community does not need a new blueprint; the blueprint exists, its four pillars remain valid, and its unfulfilled targets remain measurable. What was missing — in 2017 and in every restructuring since — is an</w:t>
      </w:r>
      <w:r>
        <w:t xml:space="preserve"> </w:t>
      </w:r>
      <w:r>
        <w:rPr>
          <w:bCs/>
          <w:b/>
        </w:rPr>
        <w:t xml:space="preserve">execution engine carrying the Prime Minister’s personal authority</w:t>
      </w:r>
      <w:r>
        <w:t xml:space="preserve">. This proposal therefore establishes a single</w:t>
      </w:r>
      <w:r>
        <w:t xml:space="preserve"> </w:t>
      </w:r>
      <w:r>
        <w:rPr>
          <w:bCs/>
          <w:b/>
        </w:rPr>
        <w:t xml:space="preserve">Task Force under the Prime Minister’s Department, chaired by the Prime Minister himself, convening quarterly against a strict KPI dashboard</w:t>
      </w:r>
      <w:r>
        <w:t xml:space="preserve">, as the successor and ultimate delivery mechanism for the unfinished MIB agenda. Chapter 2 sets out that agenda in detail.</w:t>
      </w:r>
    </w:p>
    <w:bookmarkEnd w:id="28"/>
    <w:bookmarkEnd w:id="29"/>
    <w:bookmarkEnd w:id="30"/>
    <w:bookmarkStart w:id="40" w:name="X3d4164ecc87d2b12ec35443d1afa1335850b237"/>
    <w:p>
      <w:pPr>
        <w:pStyle w:val="Heading2"/>
      </w:pPr>
      <w:r>
        <w:t xml:space="preserve">2. Building on the Malaysian Indian Blueprint (2017)</w:t>
      </w:r>
    </w:p>
    <w:bookmarkStart w:id="32" w:name="what-the-mib-got-right"/>
    <w:p>
      <w:pPr>
        <w:pStyle w:val="Heading3"/>
      </w:pPr>
      <w:r>
        <w:t xml:space="preserve">2.1 What the MIB Got Right</w:t>
      </w:r>
    </w:p>
    <w:p>
      <w:pPr>
        <w:pStyle w:val="FirstParagraph"/>
      </w:pPr>
      <w:r>
        <w:t xml:space="preserve">The Malaysian Indian Blueprint (MIB), launched on 23 April 2017 by then Prime Minister Datuk Seri Najib Razak, remains the most comprehensive diagnostic ever produced on the Malaysian Indian community. This proposal treats the Blueprint not as a political artefact but as</w:t>
      </w:r>
      <w:r>
        <w:t xml:space="preserve"> </w:t>
      </w:r>
      <w:r>
        <w:rPr>
          <w:bCs/>
          <w:b/>
        </w:rPr>
        <w:t xml:space="preserve">foundational data</w:t>
      </w:r>
      <w:r>
        <w:t xml:space="preserve">: an evidence base whose diagnoses of under-representation, documentation gaps, educational access, and wealth deprivation remain accurate today. The intervening years have not invalidated the MIB’s analysis; they have validated it.</w:t>
      </w:r>
    </w:p>
    <w:bookmarkStart w:id="31" w:name="Xd7d56ae7faa9893f61b249f3d6dbe0202d91456"/>
    <w:p>
      <w:pPr>
        <w:pStyle w:val="Heading4"/>
      </w:pPr>
      <w:r>
        <w:t xml:space="preserve">2.1.1 Acknowledge the four MIB pillars — Addressing Foundations; Realising Each Child’s Potential; Improving Livelihoods and Wealth; Increasing Social Inclusion (framed in this proposal as Basic Needs &amp; Welfare, Holistic Education, Economic Upliftment, Social Inclusion) — as sound foundational data and diagnostics, not political rhetoric</w:t>
      </w:r>
    </w:p>
    <w:p>
      <w:pPr>
        <w:pStyle w:val="FirstParagraph"/>
      </w:pPr>
      <w:r>
        <w:t xml:space="preserve">The MIB organised its response around four pillars, which this 6-Year Plan adopts and reframes as</w:t>
      </w:r>
      <w:r>
        <w:t xml:space="preserve"> </w:t>
      </w:r>
      <w:r>
        <w:rPr>
          <w:bCs/>
          <w:b/>
        </w:rPr>
        <w:t xml:space="preserve">Basic Needs &amp; Welfare, Holistic Education, Economic Upliftment, and Social Inclusion</w:t>
      </w:r>
      <w:r>
        <w:t xml:space="preserve">. This continuity is deliberate: it honours the consultation behind the original pillars, lets the plan measure itself against a fixed benchmark rather than resetting baselines each electoral cycle, and signals a completion agenda, not a re-branding. What the MIB lacked was never sound analysis but a</w:t>
      </w:r>
      <w:r>
        <w:t xml:space="preserve"> </w:t>
      </w:r>
      <w:r>
        <w:rPr>
          <w:bCs/>
          <w:b/>
        </w:rPr>
        <w:t xml:space="preserve">delivery architecture</w:t>
      </w:r>
      <w:r>
        <w:t xml:space="preserve"> </w:t>
      </w:r>
      <w:r>
        <w:t xml:space="preserve">able to survive changes of government — its implementation unit was restructured as MITRA in 2018, and 16 directors were arrested by the MACC in 2021 over misappropriated grants. Good targets die without good execution machinery.</w:t>
      </w:r>
    </w:p>
    <w:bookmarkEnd w:id="31"/>
    <w:bookmarkEnd w:id="32"/>
    <w:bookmarkStart w:id="37" w:name="X632aa5357e85aeec361a16317910eeb4447400a"/>
    <w:p>
      <w:pPr>
        <w:pStyle w:val="Heading3"/>
      </w:pPr>
      <w:r>
        <w:t xml:space="preserve">2.2 Valid, Unfulfilled Targets Worth Carrying Forward</w:t>
      </w:r>
    </w:p>
    <w:p>
      <w:pPr>
        <w:pStyle w:val="FirstParagraph"/>
      </w:pPr>
      <w:r>
        <w:t xml:space="preserve">Four clusters of MIB targets remain valid, measurable, and unfinished; this plan carries them forward explicitly.</w:t>
      </w:r>
    </w:p>
    <w:bookmarkStart w:id="33" w:name="X40a6795a0e3b0a2a96304900b024e81746f7d8b"/>
    <w:p>
      <w:pPr>
        <w:pStyle w:val="Heading4"/>
      </w:pPr>
      <w:r>
        <w:t xml:space="preserve">2.2.1 Civil service: 7% Indian participation at all grades within 10 years — still valid, only 3.7% achieved by 2024</w:t>
      </w:r>
    </w:p>
    <w:p>
      <w:pPr>
        <w:pStyle w:val="FirstParagraph"/>
      </w:pPr>
      <w:r>
        <w:t xml:space="preserve">The MIB committed to</w:t>
      </w:r>
      <w:r>
        <w:t xml:space="preserve"> </w:t>
      </w:r>
      <w:r>
        <w:rPr>
          <w:bCs/>
          <w:b/>
        </w:rPr>
        <w:t xml:space="preserve">at least 7% Indian participation at all grade levels of the civil service, without compromising entry standards, within 10 years</w:t>
      </w:r>
      <w:r>
        <w:t xml:space="preserve">. By 2024, participation stood at just</w:t>
      </w:r>
      <w:r>
        <w:t xml:space="preserve"> </w:t>
      </w:r>
      <w:r>
        <w:rPr>
          <w:bCs/>
          <w:b/>
        </w:rPr>
        <w:t xml:space="preserve">3.7%</w:t>
      </w:r>
      <w:r>
        <w:t xml:space="preserve"> </w:t>
      </w:r>
      <w:r>
        <w:t xml:space="preserve">against a population share of roughly 7% — barely half the target, with the ten-year window closed. This is the most visible measure of institutional exclusion and must be re-anchored with a fresh timeline and annual public reporting.</w:t>
      </w:r>
    </w:p>
    <w:bookmarkEnd w:id="33"/>
    <w:bookmarkStart w:id="34" w:name="X85aef7ed01d7edceeedb6cc7e8c8f254a78443e"/>
    <w:p>
      <w:pPr>
        <w:pStyle w:val="Heading4"/>
      </w:pPr>
      <w:r>
        <w:t xml:space="preserve">2.2.2 Documentation: resolve ~25,000 undocumented/stateless cases within 5 years — partially delivered (MyDaftar precedent: 6,590 approvals, 4,155 citizenships), must be finished</w:t>
      </w:r>
    </w:p>
    <w:p>
      <w:pPr>
        <w:pStyle w:val="FirstParagraph"/>
      </w:pPr>
      <w:r>
        <w:t xml:space="preserve">The MIB targeted resolution of documentation for approximately</w:t>
      </w:r>
      <w:r>
        <w:t xml:space="preserve"> </w:t>
      </w:r>
      <w:r>
        <w:rPr>
          <w:bCs/>
          <w:b/>
        </w:rPr>
        <w:t xml:space="preserve">25,000 undocumented and stateless Indians within five years</w:t>
      </w:r>
      <w:r>
        <w:t xml:space="preserve">, prioritising children and youth. The MyDaftar precedent (2011) proved feasibility:</w:t>
      </w:r>
      <w:r>
        <w:t xml:space="preserve"> </w:t>
      </w:r>
      <w:r>
        <w:rPr>
          <w:bCs/>
          <w:b/>
        </w:rPr>
        <w:t xml:space="preserve">6,590 applications approved, including 4,155 citizenships</w:t>
      </w:r>
      <w:r>
        <w:t xml:space="preserve">. Yet the backlog was never fully cleared, and no verified aggregate of subsequent clearances exists. A stateless child denied schooling is an irreversible harm; finishing this caseload is a moral obligation with a proven operating model.</w:t>
      </w:r>
    </w:p>
    <w:bookmarkEnd w:id="34"/>
    <w:bookmarkStart w:id="35" w:name="Xb8b7f5deb78142ebe62d241645222f29ac730f5"/>
    <w:p>
      <w:pPr>
        <w:pStyle w:val="Heading4"/>
      </w:pPr>
      <w:r>
        <w:t xml:space="preserve">2.2.3 Education: matriculation access (standing 3.72% Indian sub-quota ≈ 1,116 seats; 2025: 1,537 offered) and SJKT upgrading (528 schools, 78,501 pupils; federal maintenance RM50m in 2026) — momentum to protect and expand</w:t>
      </w:r>
    </w:p>
    <w:p>
      <w:pPr>
        <w:pStyle w:val="FirstParagraph"/>
      </w:pPr>
      <w:r>
        <w:t xml:space="preserve">On matriculation, the standing 3.72% Indian sub-quota of the 10% non-Bumiputera allocation yields roughly</w:t>
      </w:r>
      <w:r>
        <w:t xml:space="preserve"> </w:t>
      </w:r>
      <w:r>
        <w:rPr>
          <w:bCs/>
          <w:b/>
        </w:rPr>
        <w:t xml:space="preserve">1,116 seats per year</w:t>
      </w:r>
      <w:r>
        <w:t xml:space="preserve">; in 2025,</w:t>
      </w:r>
      <w:r>
        <w:t xml:space="preserve"> </w:t>
      </w:r>
      <w:r>
        <w:rPr>
          <w:bCs/>
          <w:b/>
        </w:rPr>
        <w:t xml:space="preserve">1,537 Indian students were offered places</w:t>
      </w:r>
      <w:r>
        <w:t xml:space="preserve">, reflecting this government’s pledge — delivered since June 2024 and expanded since — that all 10A SPM scorers receive places while retaining the 90:10 framework; in April 2026,</w:t>
      </w:r>
      <w:r>
        <w:t xml:space="preserve"> </w:t>
      </w:r>
      <w:r>
        <w:rPr>
          <w:bCs/>
          <w:b/>
        </w:rPr>
        <w:t xml:space="preserve">all 6,717 SPM 10A scorers were offered places</w:t>
      </w:r>
      <w:r>
        <w:t xml:space="preserve"> </w:t>
      </w:r>
      <w:r>
        <w:t xml:space="preserve">for the 2026/27 session. This momentum is a genuine achievement of the current administration and must be protected and made permanent — while the sub-quota itself, the binding constraint, is reformed. On infrastructure, the SJKT estate comprises</w:t>
      </w:r>
      <w:r>
        <w:t xml:space="preserve"> </w:t>
      </w:r>
      <w:r>
        <w:rPr>
          <w:bCs/>
          <w:b/>
        </w:rPr>
        <w:t xml:space="preserve">528 Tamil schools educating 78,501 pupils</w:t>
      </w:r>
      <w:r>
        <w:t xml:space="preserve"> </w:t>
      </w:r>
      <w:r>
        <w:t xml:space="preserve">(May 2026), with federal maintenance raised from RM30m (2024) to</w:t>
      </w:r>
      <w:r>
        <w:t xml:space="preserve"> </w:t>
      </w:r>
      <w:r>
        <w:rPr>
          <w:bCs/>
          <w:b/>
        </w:rPr>
        <w:t xml:space="preserve">RM50m (2026)</w:t>
      </w:r>
      <w:r>
        <w:t xml:space="preserve">; upgrading it to parity with national schools remains unfinished.</w:t>
      </w:r>
    </w:p>
    <w:bookmarkEnd w:id="35"/>
    <w:bookmarkStart w:id="36" w:name="Xcc91f24176a6a6f5b737867724a542741490d12"/>
    <w:p>
      <w:pPr>
        <w:pStyle w:val="Heading4"/>
      </w:pPr>
      <w:r>
        <w:t xml:space="preserve">2.2.4 Economic: equity &amp; savings — 1.5bn AS1M units; RM500m interest-free loan scheme for 100,000 IB40 households; target ≥50% of registered poor households showing increased savings</w:t>
      </w:r>
    </w:p>
    <w:p>
      <w:pPr>
        <w:pStyle w:val="FirstParagraph"/>
      </w:pPr>
      <w:r>
        <w:t xml:space="preserve">The MIB’s wealth agenda comprised</w:t>
      </w:r>
      <w:r>
        <w:t xml:space="preserve"> </w:t>
      </w:r>
      <w:r>
        <w:rPr>
          <w:bCs/>
          <w:b/>
        </w:rPr>
        <w:t xml:space="preserve">1.5 billion additional AS1M units</w:t>
      </w:r>
      <w:r>
        <w:t xml:space="preserve"> </w:t>
      </w:r>
      <w:r>
        <w:t xml:space="preserve">for Indian investors, backed by a</w:t>
      </w:r>
      <w:r>
        <w:t xml:space="preserve"> </w:t>
      </w:r>
      <w:r>
        <w:rPr>
          <w:bCs/>
          <w:b/>
        </w:rPr>
        <w:t xml:space="preserve">RM500 million, five-year interest-free loan scheme (RM5,000 per household) for 100,000 IB40 households</w:t>
      </w:r>
      <w:r>
        <w:t xml:space="preserve">, with the outcome target that</w:t>
      </w:r>
      <w:r>
        <w:t xml:space="preserve"> </w:t>
      </w:r>
      <w:r>
        <w:rPr>
          <w:bCs/>
          <w:b/>
        </w:rPr>
        <w:t xml:space="preserve">at least 50% of registered poor households show increased savings within 10 years</w:t>
      </w:r>
      <w:r>
        <w:t xml:space="preserve">. That architecture lapsed; the current government has rebuilt parts of the financing layer — roughly</w:t>
      </w:r>
      <w:r>
        <w:t xml:space="preserve"> </w:t>
      </w:r>
      <w:r>
        <w:rPr>
          <w:bCs/>
          <w:b/>
        </w:rPr>
        <w:t xml:space="preserve">RM300 million through MITRA, TEKUN SPUMI and Bank Rakyat BRIEF-i (2025)</w:t>
      </w:r>
      <w:r>
        <w:t xml:space="preserve">,</w:t>
      </w:r>
      <w:r>
        <w:t xml:space="preserve"> </w:t>
      </w:r>
      <w:r>
        <w:rPr>
          <w:bCs/>
          <w:b/>
        </w:rPr>
        <w:t xml:space="preserve">RM50 million via AIM’s PENN scheme for Indian women</w:t>
      </w:r>
      <w:r>
        <w:t xml:space="preserve">, and</w:t>
      </w:r>
      <w:r>
        <w:t xml:space="preserve"> </w:t>
      </w:r>
      <w:r>
        <w:rPr>
          <w:bCs/>
          <w:b/>
        </w:rPr>
        <w:t xml:space="preserve">RM220 million in Budget 2026</w:t>
      </w:r>
      <w:r>
        <w:t xml:space="preserve"> </w:t>
      </w:r>
      <w:r>
        <w:t xml:space="preserve">— but the household-asset model and the equity fund remain unrevived. Against a baseline of ~227,600 IB40 households (mean income RM2,672 per month), this graduation-oriented design — assets plus savings behaviour, not transfers alone — remains correct and must be completed with modern disbursement and tracking.</w:t>
      </w:r>
    </w:p>
    <w:bookmarkEnd w:id="36"/>
    <w:bookmarkEnd w:id="37"/>
    <w:bookmarkStart w:id="39" w:name="from-blueprint-to-execution-table"/>
    <w:p>
      <w:pPr>
        <w:pStyle w:val="Heading3"/>
      </w:pPr>
      <w:r>
        <w:t xml:space="preserve">2.3 From Blueprint to Execution (table)</w:t>
      </w:r>
    </w:p>
    <w:bookmarkStart w:id="38" w:name="X71dc991bcbc75d1608cf9262d42e2a9d8ea6fb4"/>
    <w:p>
      <w:pPr>
        <w:pStyle w:val="Heading4"/>
      </w:pPr>
      <w:r>
        <w:t xml:space="preserve">2.3.1 Table mapping each MIB pillar → original target → 2026 status → which phase of this plan completes it</w:t>
      </w:r>
    </w:p>
    <w:tbl>
      <w:tblPr>
        <w:tblW w:type="pct" w:w="5000"/>
        <w:jc w:val="center"/>
        <w:tblLook w:firstRow="1" w:lastRow="0" w:firstColumn="0" w:lastColumn="0" w:noHBand="0" w:noVBand="0" w:val="0020"/>
      </w:tblPr>
      <w:tblGrid>
        <w:gridCol w:w="1980"/>
        <w:gridCol w:w="1980"/>
        <w:gridCol w:w="1980"/>
        <w:gridCol w:w="1980"/>
      </w:tblGrid>
      <w:tr>
        <w:trPr>
          <w:tblHeader w:val="true"/>
          <w:tblHeader/>
        </w:trPr>
        <w:tc>
          <w:tcPr>
            <w:shd w:val="clear" w:fill="D9D9D9"/>
          </w:tcPr>
          <w:p>
            <w:pPr>
              <w:pStyle w:val="Compact"/>
              <w:jc w:val="left"/>
            </w:pPr>
            <w:r>
              <w:rPr>
                <w:b/>
              </w:rPr>
              <w:t xml:space="preserve">MIB Pillar</w:t>
            </w:r>
          </w:p>
        </w:tc>
        <w:tc>
          <w:tcPr>
            <w:shd w:val="clear" w:fill="D9D9D9"/>
          </w:tcPr>
          <w:p>
            <w:pPr>
              <w:pStyle w:val="Compact"/>
              <w:jc w:val="left"/>
            </w:pPr>
            <w:r>
              <w:rPr>
                <w:b/>
              </w:rPr>
              <w:t xml:space="preserve">Original MIB Target (2017)</w:t>
            </w:r>
          </w:p>
        </w:tc>
        <w:tc>
          <w:tcPr>
            <w:shd w:val="clear" w:fill="D9D9D9"/>
          </w:tcPr>
          <w:p>
            <w:pPr>
              <w:pStyle w:val="Compact"/>
              <w:jc w:val="left"/>
            </w:pPr>
            <w:r>
              <w:rPr>
                <w:b/>
              </w:rPr>
              <w:t xml:space="preserve">2026 Status — Including Current Government Action</w:t>
            </w:r>
          </w:p>
        </w:tc>
        <w:tc>
          <w:tcPr>
            <w:shd w:val="clear" w:fill="D9D9D9"/>
          </w:tcPr>
          <w:p>
            <w:pPr>
              <w:pStyle w:val="Compact"/>
              <w:jc w:val="left"/>
            </w:pPr>
            <w:r>
              <w:rPr>
                <w:b/>
              </w:rPr>
              <w:t xml:space="preserve">Completing Phase of This Plan</w:t>
            </w:r>
          </w:p>
        </w:tc>
      </w:tr>
      <w:tr>
        <w:tc>
          <w:tcPr/>
          <w:p>
            <w:pPr>
              <w:pStyle w:val="Compact"/>
              <w:jc w:val="left"/>
            </w:pPr>
            <w:r>
              <w:t xml:space="preserve">Basic Needs &amp; Welfare</w:t>
            </w:r>
          </w:p>
        </w:tc>
        <w:tc>
          <w:tcPr/>
          <w:p>
            <w:pPr>
              <w:pStyle w:val="Compact"/>
              <w:jc w:val="left"/>
            </w:pPr>
            <w:r>
              <w:t xml:space="preserve">Resolve ~25,000 undocumented cases in 5 years</w:t>
            </w:r>
          </w:p>
        </w:tc>
        <w:tc>
          <w:tcPr/>
          <w:p>
            <w:pPr>
              <w:pStyle w:val="Compact"/>
              <w:jc w:val="left"/>
            </w:pPr>
            <w:r>
              <w:t xml:space="preserve">Partially delivered; MyDaftar precedent: 6,590 approvals, 4,155 citizenships. Home Ministry has resolved many long-standing cases since 2022 — but</w:t>
            </w:r>
            <w:r>
              <w:t xml:space="preserve"> </w:t>
            </w:r>
            <w:r>
              <w:rPr>
                <w:bCs/>
                <w:b/>
              </w:rPr>
              <w:t xml:space="preserve">case-by-case, with no published aggregate and no systematic clearance</w:t>
            </w:r>
            <w:r>
              <w:t xml:space="preserve"> </w:t>
            </w:r>
            <w:r>
              <w:t xml:space="preserve">(Anwar, May 2024; The Star, Jul 2026)</w:t>
            </w:r>
          </w:p>
        </w:tc>
        <w:tc>
          <w:tcPr/>
          <w:p>
            <w:pPr>
              <w:pStyle w:val="Compact"/>
              <w:jc w:val="left"/>
            </w:pPr>
            <w:r>
              <w:rPr>
                <w:bCs/>
                <w:b/>
              </w:rPr>
              <w:t xml:space="preserve">Phase 1</w:t>
            </w:r>
            <w:r>
              <w:t xml:space="preserve"> </w:t>
            </w:r>
            <w:r>
              <w:t xml:space="preserve">(Years 1–2): convert ad hoc clearances into a one-stop clearance system that finishes the backlog in 24 months</w:t>
            </w:r>
          </w:p>
        </w:tc>
      </w:tr>
      <w:tr>
        <w:tc>
          <w:tcPr/>
          <w:p>
            <w:pPr>
              <w:pStyle w:val="Compact"/>
              <w:jc w:val="left"/>
            </w:pPr>
            <w:r>
              <w:t xml:space="preserve">Holistic Education</w:t>
            </w:r>
          </w:p>
        </w:tc>
        <w:tc>
          <w:tcPr/>
          <w:p>
            <w:pPr>
              <w:pStyle w:val="Compact"/>
              <w:jc w:val="left"/>
            </w:pPr>
            <w:r>
              <w:t xml:space="preserve">Matriculation access; SJKT upgrading</w:t>
            </w:r>
          </w:p>
        </w:tc>
        <w:tc>
          <w:tcPr/>
          <w:p>
            <w:pPr>
              <w:pStyle w:val="Compact"/>
              <w:jc w:val="left"/>
            </w:pPr>
            <w:r>
              <w:t xml:space="preserve">Strong current momentum: 10A auto-placement since Jun 2024 (all</w:t>
            </w:r>
            <w:r>
              <w:t xml:space="preserve"> </w:t>
            </w:r>
            <w:r>
              <w:rPr>
                <w:bCs/>
                <w:b/>
              </w:rPr>
              <w:t xml:space="preserve">6,717</w:t>
            </w:r>
            <w:r>
              <w:t xml:space="preserve"> </w:t>
            </w:r>
            <w:r>
              <w:t xml:space="preserve">10A scorers offered for 2026/27); 1,537 Indian offers (2025) — yet the</w:t>
            </w:r>
            <w:r>
              <w:t xml:space="preserve"> </w:t>
            </w:r>
            <w:r>
              <w:rPr>
                <w:bCs/>
                <w:b/>
              </w:rPr>
              <w:t xml:space="preserve">3.72% sub-quota (≈1,116 seats) is untouched</w:t>
            </w:r>
            <w:r>
              <w:t xml:space="preserve">. SJKT: RM50m maintenance (2026), RM12.8m equipment (2025), 6 new SJKTs (2024), ~RM2bn for dilapidated schools incl. Tamil schools</w:t>
            </w:r>
          </w:p>
        </w:tc>
        <w:tc>
          <w:tcPr/>
          <w:p>
            <w:pPr>
              <w:pStyle w:val="Compact"/>
              <w:jc w:val="left"/>
            </w:pPr>
            <w:r>
              <w:rPr>
                <w:bCs/>
                <w:b/>
              </w:rPr>
              <w:t xml:space="preserve">Phase 1–2</w:t>
            </w:r>
            <w:r>
              <w:t xml:space="preserve">: protect momentum, reform the sub-quota, and complete a structured audit-and-upgrade surge for all 528 SJKTs</w:t>
            </w:r>
          </w:p>
        </w:tc>
      </w:tr>
      <w:tr>
        <w:tc>
          <w:tcPr/>
          <w:p>
            <w:pPr>
              <w:pStyle w:val="Compact"/>
              <w:jc w:val="left"/>
            </w:pPr>
            <w:r>
              <w:t xml:space="preserve">Economic Upliftment</w:t>
            </w:r>
          </w:p>
        </w:tc>
        <w:tc>
          <w:tcPr/>
          <w:p>
            <w:pPr>
              <w:pStyle w:val="Compact"/>
              <w:jc w:val="left"/>
            </w:pPr>
            <w:r>
              <w:t xml:space="preserve">1.5bn AS1M units; RM500m loans to 100,000 IB40 households; ≥50% savings uplift</w:t>
            </w:r>
          </w:p>
        </w:tc>
        <w:tc>
          <w:tcPr/>
          <w:p>
            <w:pPr>
              <w:pStyle w:val="Compact"/>
              <w:jc w:val="left"/>
            </w:pPr>
            <w:r>
              <w:t xml:space="preserve">MIB scheme lapsed; no equity successor fund exists. Current financing is real but smaller in design: ~RM300m package (MITRA + TEKUN SPUMI + BRIEF-i, 2025); RM50m AIM PENN for Indian women; RM220m in Budget 2026</w:t>
            </w:r>
          </w:p>
        </w:tc>
        <w:tc>
          <w:tcPr/>
          <w:p>
            <w:pPr>
              <w:pStyle w:val="Compact"/>
              <w:jc w:val="left"/>
            </w:pPr>
            <w:r>
              <w:rPr>
                <w:bCs/>
                <w:b/>
              </w:rPr>
              <w:t xml:space="preserve">Phase 1–3</w:t>
            </w:r>
            <w:r>
              <w:t xml:space="preserve">: revive the RM500m household model in Phase 1; procurement and savings vehicles in Phase 2; proportionate equity via a PNB successor fund in Phase 3 (Years 5–6)</w:t>
            </w:r>
          </w:p>
        </w:tc>
      </w:tr>
      <w:tr>
        <w:tc>
          <w:tcPr/>
          <w:p>
            <w:pPr>
              <w:pStyle w:val="Compact"/>
              <w:jc w:val="left"/>
            </w:pPr>
            <w:r>
              <w:t xml:space="preserve">Social Inclusion</w:t>
            </w:r>
          </w:p>
        </w:tc>
        <w:tc>
          <w:tcPr/>
          <w:p>
            <w:pPr>
              <w:pStyle w:val="Compact"/>
              <w:jc w:val="left"/>
            </w:pPr>
            <w:r>
              <w:t xml:space="preserve">7% civil service participation at all grades in 10 years</w:t>
            </w:r>
          </w:p>
        </w:tc>
        <w:tc>
          <w:tcPr/>
          <w:p>
            <w:pPr>
              <w:pStyle w:val="Compact"/>
              <w:jc w:val="left"/>
            </w:pPr>
            <w:r>
              <w:rPr>
                <w:bCs/>
                <w:b/>
              </w:rPr>
              <w:t xml:space="preserve">3.7% achieved (2024)</w:t>
            </w:r>
            <w:r>
              <w:t xml:space="preserve"> </w:t>
            </w:r>
            <w:r>
              <w:t xml:space="preserve">— target unmet, window expired;</w:t>
            </w:r>
            <w:r>
              <w:t xml:space="preserve"> </w:t>
            </w:r>
            <w:r>
              <w:rPr>
                <w:bCs/>
                <w:b/>
              </w:rPr>
              <w:t xml:space="preserve">no targeted recruitment program exists today</w:t>
            </w:r>
          </w:p>
        </w:tc>
        <w:tc>
          <w:tcPr/>
          <w:p>
            <w:pPr>
              <w:pStyle w:val="Compact"/>
              <w:jc w:val="left"/>
            </w:pPr>
            <w:r>
              <w:rPr>
                <w:bCs/>
                <w:b/>
              </w:rPr>
              <w:t xml:space="preserve">Phase 1–3</w:t>
            </w:r>
            <w:r>
              <w:t xml:space="preserve">: recruitment drive and published statistics from Phase 1; pipeline reform through Phase 2; 7% attained by Phase 3 (Years 5–6)</w:t>
            </w:r>
          </w:p>
        </w:tc>
      </w:tr>
    </w:tbl>
    <w:p>
      <w:pPr>
        <w:pStyle w:val="BodyText"/>
      </w:pPr>
      <w:r>
        <w:t xml:space="preserve">The mapping reveals a deliberate sequencing logic. Phase 1 delivers what is fast and overdue — documentation clearance, protection of educational gains, the SJKT infrastructure surge, the revived micro-credit scheme, and the opening moves of the civil service drive. Phase 2 builds the structural machinery — completed SJKT upgrading, preschool and TVET pipelines, procurement vehicles. Phase 3 harvests the compounding results — proportionate equity, zero extreme urban poverty, and the 7% civil service milestone — where results mature only after pipelines are built. What distinguishes this plan from the MIB is not the phasing but the guarantor: every target above sits under one accountable delivery mechanism. The next chapter sets out that mechanism — a</w:t>
      </w:r>
      <w:r>
        <w:t xml:space="preserve"> </w:t>
      </w:r>
      <w:r>
        <w:rPr>
          <w:bCs/>
          <w:b/>
        </w:rPr>
        <w:t xml:space="preserve">Task Force chaired by the Prime Minister</w:t>
      </w:r>
      <w:r>
        <w:t xml:space="preserve"> </w:t>
      </w:r>
      <w:r>
        <w:t xml:space="preserve">— ensuring these targets are, at last, executed rather than announced.</w:t>
      </w:r>
    </w:p>
    <w:bookmarkEnd w:id="38"/>
    <w:bookmarkEnd w:id="39"/>
    <w:bookmarkEnd w:id="40"/>
    <w:bookmarkStart w:id="51" w:name="X5bca4f60f21722110a5d7cf77d64710279e8a5c"/>
    <w:p>
      <w:pPr>
        <w:pStyle w:val="Heading2"/>
      </w:pPr>
      <w:r>
        <w:t xml:space="preserve">3. The Execution Mechanism: A PM-Chaired Task Force</w:t>
      </w:r>
    </w:p>
    <w:p>
      <w:pPr>
        <w:pStyle w:val="FirstParagraph"/>
      </w:pPr>
      <w:r>
        <w:t xml:space="preserve">The Malaysian Indian Blueprint (MIB) did not fail for want of vision; it failed for want of an execution engine. Launched on 23 April 2017 with an Implementation Unit under the Prime Minister’s Department, its delivery apparatus was renamed, relocated, and diluted: SEDIC became MITRA, MITRA was moved to the National Unity Ministry in April 2020, and a 2024 PEMANDU review concluded that MITRA, on roughly RM100 million a year,</w:t>
      </w:r>
      <w:r>
        <w:t xml:space="preserve"> </w:t>
      </w:r>
      <w:r>
        <w:t xml:space="preserve">“</w:t>
      </w:r>
      <w:r>
        <w:t xml:space="preserve">can only address 7 of 23 PTMI reforms</w:t>
      </w:r>
      <w:r>
        <w:t xml:space="preserve">”</w:t>
      </w:r>
      <w:r>
        <w:t xml:space="preserve"> </w:t>
      </w:r>
      <w:r>
        <w:t xml:space="preserve">(MIB, 2017; PEMANDU, 2024). The current administration has already reversed two of those structural errors — MITRA is back under the Prime Minister’s Department and better funded at RM150 million, rising to RM220 million across agencies in Budget 2026 — and on</w:t>
      </w:r>
      <w:r>
        <w:t xml:space="preserve"> </w:t>
      </w:r>
      <w:r>
        <w:rPr>
          <w:bCs/>
          <w:b/>
        </w:rPr>
        <w:t xml:space="preserve">29 July 2026 the Prime Minister announced he will personally oversee the community’s affairs</w:t>
      </w:r>
      <w:r>
        <w:t xml:space="preserve"> </w:t>
      </w:r>
      <w:r>
        <w:t xml:space="preserve">(The Star, 29 July 2026). What remains is to give that personal commitment an institutional form. This chapter proposes it: a</w:t>
      </w:r>
      <w:r>
        <w:t xml:space="preserve"> </w:t>
      </w:r>
      <w:r>
        <w:rPr>
          <w:bCs/>
          <w:b/>
        </w:rPr>
        <w:t xml:space="preserve">Task Force on Malaysian Indian Socio-Economic Transformation</w:t>
      </w:r>
      <w:r>
        <w:t xml:space="preserve">, placed under the Prime Minister’s Department (JPM) and chaired personally by Yang Amat Berhormat the Prime Minister.</w:t>
      </w:r>
    </w:p>
    <w:bookmarkStart w:id="42" w:name="mandate-and-placement"/>
    <w:p>
      <w:pPr>
        <w:pStyle w:val="Heading3"/>
      </w:pPr>
      <w:r>
        <w:t xml:space="preserve">3.1 Mandate and Placement</w:t>
      </w:r>
    </w:p>
    <w:bookmarkStart w:id="41" w:name="X681c56b5b03498f67f268e980c31a90715dc2f6"/>
    <w:p>
      <w:pPr>
        <w:pStyle w:val="Heading4"/>
      </w:pPr>
      <w:r>
        <w:t xml:space="preserve">3.1.1 Task Force placed directly under the Prime Minister’s Department (JPM); legal successor to the MIB agenda and apex body over MITRA/PTMI delivery</w:t>
      </w:r>
    </w:p>
    <w:p>
      <w:pPr>
        <w:pStyle w:val="FirstParagraph"/>
      </w:pPr>
      <w:r>
        <w:t xml:space="preserve">The Task Force will be established by Cabinet decision as the</w:t>
      </w:r>
      <w:r>
        <w:t xml:space="preserve"> </w:t>
      </w:r>
      <w:r>
        <w:rPr>
          <w:bCs/>
          <w:b/>
        </w:rPr>
        <w:t xml:space="preserve">legal successor to the MIB agenda</w:t>
      </w:r>
      <w:r>
        <w:t xml:space="preserve">, inheriting its four pillars and every valid, unfulfilled target — the 7% civil service floor, the resolution of approximately 25,000 undocumented cases, matriculation access, SJKT upgrading, and the IB40 equity scheme (MIB, 2017). Its placement in JPM is deliberate: community-delivery units housed in line ministries lose priority, budget, and convening power. The Task Force will function as the</w:t>
      </w:r>
      <w:r>
        <w:t xml:space="preserve"> </w:t>
      </w:r>
      <w:r>
        <w:rPr>
          <w:bCs/>
          <w:b/>
        </w:rPr>
        <w:t xml:space="preserve">apex delivery body</w:t>
      </w:r>
      <w:r>
        <w:t xml:space="preserve"> </w:t>
      </w:r>
      <w:r>
        <w:t xml:space="preserve">over MITRA and the Pelan Tindakan Masyarakat India (PTMI), closing the implementation gap that PEMANDU identified — 16 of 23 PTMI reforms currently have no accountable owner (PEMANDU, 2024).</w:t>
      </w:r>
    </w:p>
    <w:bookmarkEnd w:id="41"/>
    <w:bookmarkEnd w:id="42"/>
    <w:bookmarkStart w:id="44" w:name="composition"/>
    <w:p>
      <w:pPr>
        <w:pStyle w:val="Heading3"/>
      </w:pPr>
      <w:r>
        <w:t xml:space="preserve">3.2 Composition</w:t>
      </w:r>
    </w:p>
    <w:bookmarkStart w:id="43" w:name="X6c83f71ed20d6d0657bc16f2f0fb8c7cba95a63"/>
    <w:p>
      <w:pPr>
        <w:pStyle w:val="Heading4"/>
      </w:pPr>
      <w:r>
        <w:t xml:space="preserve">3.2.1 Unified coalition: top-tier professionals (education, medicine, law, finance), established NGO and community leaders, and cross-spectrum politicians — deliberately multi-partisan to survive electoral cycles</w:t>
      </w:r>
    </w:p>
    <w:p>
      <w:pPr>
        <w:pStyle w:val="FirstParagraph"/>
      </w:pPr>
      <w:r>
        <w:t xml:space="preserve">The Task Force will be a</w:t>
      </w:r>
      <w:r>
        <w:t xml:space="preserve"> </w:t>
      </w:r>
      <w:r>
        <w:rPr>
          <w:bCs/>
          <w:b/>
        </w:rPr>
        <w:t xml:space="preserve">unified coalition</w:t>
      </w:r>
      <w:r>
        <w:t xml:space="preserve">, not a committee of officials:</w:t>
      </w:r>
    </w:p>
    <w:p>
      <w:pPr>
        <w:numPr>
          <w:ilvl w:val="0"/>
          <w:numId w:val="1002"/>
        </w:numPr>
        <w:pStyle w:val="Compact"/>
      </w:pPr>
      <w:r>
        <w:rPr>
          <w:bCs/>
          <w:b/>
        </w:rPr>
        <w:t xml:space="preserve">Top-tier professionals</w:t>
      </w:r>
      <w:r>
        <w:t xml:space="preserve"> </w:t>
      </w:r>
      <w:r>
        <w:t xml:space="preserve">in education, medicine, law, and finance, selected on track record, to design and stress-test programmes;</w:t>
      </w:r>
    </w:p>
    <w:p>
      <w:pPr>
        <w:numPr>
          <w:ilvl w:val="0"/>
          <w:numId w:val="1002"/>
        </w:numPr>
        <w:pStyle w:val="Compact"/>
      </w:pPr>
      <w:r>
        <w:rPr>
          <w:bCs/>
          <w:b/>
        </w:rPr>
        <w:t xml:space="preserve">Established NGO and community leaders</w:t>
      </w:r>
      <w:r>
        <w:t xml:space="preserve"> </w:t>
      </w:r>
      <w:r>
        <w:t xml:space="preserve">with grassroots reach into IB40 households and estate-origin communities, ensuring delivery is demand-verified rather than desk-planned;</w:t>
      </w:r>
    </w:p>
    <w:p>
      <w:pPr>
        <w:numPr>
          <w:ilvl w:val="0"/>
          <w:numId w:val="1002"/>
        </w:numPr>
        <w:pStyle w:val="Compact"/>
      </w:pPr>
      <w:r>
        <w:rPr>
          <w:bCs/>
          <w:b/>
        </w:rPr>
        <w:t xml:space="preserve">Cross-spectrum politicians</w:t>
      </w:r>
      <w:r>
        <w:t xml:space="preserve"> </w:t>
      </w:r>
      <w:r>
        <w:t xml:space="preserve">from government and opposition benches — a deliberately</w:t>
      </w:r>
      <w:r>
        <w:t xml:space="preserve"> </w:t>
      </w:r>
      <w:r>
        <w:rPr>
          <w:bCs/>
          <w:b/>
        </w:rPr>
        <w:t xml:space="preserve">multi-partisan composition</w:t>
      </w:r>
      <w:r>
        <w:t xml:space="preserve"> </w:t>
      </w:r>
      <w:r>
        <w:t xml:space="preserve">so that the plan is owned by the nation, not by one administration, and survives electoral cycles.</w:t>
      </w:r>
    </w:p>
    <w:p>
      <w:pPr>
        <w:pStyle w:val="FirstParagraph"/>
      </w:pPr>
      <w:r>
        <w:t xml:space="preserve">This structure inverts the MIB’s original weakness: a blueprint conceived at the top but delivered by a single small unit. Expertise, legitimacy, and political durability are built in from day one.</w:t>
      </w:r>
    </w:p>
    <w:bookmarkEnd w:id="43"/>
    <w:bookmarkEnd w:id="44"/>
    <w:bookmarkStart w:id="47" w:name="operating-discipline"/>
    <w:p>
      <w:pPr>
        <w:pStyle w:val="Heading3"/>
      </w:pPr>
      <w:r>
        <w:t xml:space="preserve">3.3 Operating Discipline</w:t>
      </w:r>
    </w:p>
    <w:bookmarkStart w:id="45" w:name="X8c8c9c5ed0a2dc67149e028751025d1971934d2"/>
    <w:p>
      <w:pPr>
        <w:pStyle w:val="Heading4"/>
      </w:pPr>
      <w:r>
        <w:t xml:space="preserve">3.3.1 Strict quarterly convening (every 3 months) with published KPI dashboards; each program has a named owner, deadline, and budget line</w:t>
      </w:r>
    </w:p>
    <w:p>
      <w:pPr>
        <w:pStyle w:val="FirstParagraph"/>
      </w:pPr>
      <w:r>
        <w:t xml:space="preserve">The Task Force will convene</w:t>
      </w:r>
      <w:r>
        <w:t xml:space="preserve"> </w:t>
      </w:r>
      <w:r>
        <w:rPr>
          <w:bCs/>
          <w:b/>
        </w:rPr>
        <w:t xml:space="preserve">strictly every three months</w:t>
      </w:r>
      <w:r>
        <w:t xml:space="preserve"> </w:t>
      </w:r>
      <w:r>
        <w:t xml:space="preserve">— quarterly, without exception. Each sitting will review a</w:t>
      </w:r>
      <w:r>
        <w:t xml:space="preserve"> </w:t>
      </w:r>
      <w:r>
        <w:rPr>
          <w:bCs/>
          <w:b/>
        </w:rPr>
        <w:t xml:space="preserve">published KPI dashboard</w:t>
      </w:r>
      <w:r>
        <w:t xml:space="preserve"> </w:t>
      </w:r>
      <w:r>
        <w:t xml:space="preserve">covering every workstream: stateless cases cleared, civil service intake against the 7% trajectory, matriculation placements, SJKT disbursements, and IB40 income movement. The discipline rule is absolute:</w:t>
      </w:r>
      <w:r>
        <w:t xml:space="preserve"> </w:t>
      </w:r>
      <w:r>
        <w:rPr>
          <w:bCs/>
          <w:b/>
        </w:rPr>
        <w:t xml:space="preserve">no programme exists without a named owner, a deadline, and a budget line</w:t>
      </w:r>
      <w:r>
        <w:t xml:space="preserve">. Dashboards will be released publicly within fourteen days of each sitting, converting accountability from an internal promise into a verifiable public record.</w:t>
      </w:r>
    </w:p>
    <w:bookmarkEnd w:id="45"/>
    <w:bookmarkStart w:id="46" w:name="Xd1a5272a76473d6069027d2573c6ebae865c986"/>
    <w:p>
      <w:pPr>
        <w:pStyle w:val="Heading4"/>
      </w:pPr>
      <w:r>
        <w:t xml:space="preserve">3.3.2 The Prime Minister chairs personally — to break bureaucratic red tape, arbitrate inter-ministry disputes on the spot, and signal absolute political will</w:t>
      </w:r>
    </w:p>
    <w:p>
      <w:pPr>
        <w:pStyle w:val="FirstParagraph"/>
      </w:pPr>
      <w:r>
        <w:t xml:space="preserve">Crucially,</w:t>
      </w:r>
      <w:r>
        <w:t xml:space="preserve"> </w:t>
      </w:r>
      <w:r>
        <w:rPr>
          <w:bCs/>
          <w:b/>
        </w:rPr>
        <w:t xml:space="preserve">the Prime Minister himself will chair the Task Force</w:t>
      </w:r>
      <w:r>
        <w:t xml:space="preserve"> </w:t>
      </w:r>
      <w:r>
        <w:t xml:space="preserve">— institutionalising the personal oversight he has already publicly assumed, and giving it a fixed table, a fixed calendar, and a published scorecard. The citizenship backlog sits in the Home Ministry; civil service intake in the Public Service Department; matriculation and SJKT in the Education Ministry; equity and micro-credit across finance agencies. No ministerial-level unit can compel coordination across these silos. A PM-chaired table can: disputes are</w:t>
      </w:r>
      <w:r>
        <w:t xml:space="preserve"> </w:t>
      </w:r>
      <w:r>
        <w:rPr>
          <w:bCs/>
          <w:b/>
        </w:rPr>
        <w:t xml:space="preserve">arbitrated on the spot</w:t>
      </w:r>
      <w:r>
        <w:t xml:space="preserve">, red tape is cut by instruction rather than correspondence, and the community receives the clearest signal of</w:t>
      </w:r>
      <w:r>
        <w:t xml:space="preserve"> </w:t>
      </w:r>
      <w:r>
        <w:rPr>
          <w:bCs/>
          <w:b/>
        </w:rPr>
        <w:t xml:space="preserve">absolute political will</w:t>
      </w:r>
      <w:r>
        <w:t xml:space="preserve"> </w:t>
      </w:r>
      <w:r>
        <w:t xml:space="preserve">— a commitment of the highest office, not a delegation to a junior portfolio.</w:t>
      </w:r>
    </w:p>
    <w:bookmarkEnd w:id="46"/>
    <w:bookmarkEnd w:id="47"/>
    <w:bookmarkStart w:id="50" w:name="accountability-safeguards"/>
    <w:p>
      <w:pPr>
        <w:pStyle w:val="Heading3"/>
      </w:pPr>
      <w:r>
        <w:t xml:space="preserve">3.4 Accountability Safeguards</w:t>
      </w:r>
    </w:p>
    <w:bookmarkStart w:id="48" w:name="X9578f08147450e78bd6912197c3e9fd40e4d3ad"/>
    <w:p>
      <w:pPr>
        <w:pStyle w:val="Heading4"/>
      </w:pPr>
      <w:r>
        <w:t xml:space="preserve">3.4.1 Lessons from SEDIC/MITRA: annual audit by the Auditor-General, public quarterly reports, zero-tolerance procurement rules to prevent repeat of the 2021 MACC scandal</w:t>
      </w:r>
    </w:p>
    <w:p>
      <w:pPr>
        <w:pStyle w:val="FirstParagraph"/>
      </w:pPr>
      <w:r>
        <w:t xml:space="preserve">The safeguards are written against a painful precedent: in 2021, the Malaysian Anti-Corruption Commission arrested 16 MITRA-linked directors over misappropriated community grants (MACC, 2021). Funds meant for the poorest were diverted precisely because oversight was internal and reporting was opaque. Accordingly, the Task Force will operate under</w:t>
      </w:r>
      <w:r>
        <w:t xml:space="preserve"> </w:t>
      </w:r>
      <w:r>
        <w:rPr>
          <w:bCs/>
          <w:b/>
        </w:rPr>
        <w:t xml:space="preserve">three hard safeguards</w:t>
      </w:r>
      <w:r>
        <w:t xml:space="preserve">:</w:t>
      </w:r>
    </w:p>
    <w:p>
      <w:pPr>
        <w:numPr>
          <w:ilvl w:val="0"/>
          <w:numId w:val="1003"/>
        </w:numPr>
        <w:pStyle w:val="Compact"/>
      </w:pPr>
      <w:r>
        <w:rPr>
          <w:bCs/>
          <w:b/>
        </w:rPr>
        <w:t xml:space="preserve">Annual audit by the Auditor-General</w:t>
      </w:r>
      <w:r>
        <w:t xml:space="preserve">, with findings tabled in Parliament;</w:t>
      </w:r>
    </w:p>
    <w:p>
      <w:pPr>
        <w:numPr>
          <w:ilvl w:val="0"/>
          <w:numId w:val="1003"/>
        </w:numPr>
        <w:pStyle w:val="Compact"/>
      </w:pPr>
      <w:r>
        <w:rPr>
          <w:bCs/>
          <w:b/>
        </w:rPr>
        <w:t xml:space="preserve">Public quarterly reports</w:t>
      </w:r>
      <w:r>
        <w:t xml:space="preserve"> </w:t>
      </w:r>
      <w:r>
        <w:t xml:space="preserve">mirroring the KPI dashboard, so beneficiaries can verify what was promised against what was delivered;</w:t>
      </w:r>
    </w:p>
    <w:p>
      <w:pPr>
        <w:numPr>
          <w:ilvl w:val="0"/>
          <w:numId w:val="1003"/>
        </w:numPr>
        <w:pStyle w:val="Compact"/>
      </w:pPr>
      <w:r>
        <w:rPr>
          <w:bCs/>
          <w:b/>
        </w:rPr>
        <w:t xml:space="preserve">Zero-tolerance procurement rules</w:t>
      </w:r>
      <w:r>
        <w:t xml:space="preserve"> </w:t>
      </w:r>
      <w:r>
        <w:t xml:space="preserve">— open competitive awards, published grant recipient lists, and immediate referral of any irregularity to the MACC.</w:t>
      </w:r>
    </w:p>
    <w:bookmarkEnd w:id="48"/>
    <w:bookmarkStart w:id="49" w:name="X689782dbfa594f25d503a63ec48fb28eafe3197"/>
    <w:p>
      <w:pPr>
        <w:pStyle w:val="Heading4"/>
      </w:pPr>
      <w:r>
        <w:t xml:space="preserve">3.4.2 Governance table: structure, membership categories, meeting cadence, reporting lines</w:t>
      </w:r>
    </w:p>
    <w:tbl>
      <w:tblPr>
        <w:tblW w:type="pct" w:w="5000"/>
        <w:jc w:val="center"/>
        <w:tblLook w:firstRow="1" w:lastRow="0" w:firstColumn="0" w:lastColumn="0" w:noHBand="0" w:noVBand="0" w:val="0020"/>
      </w:tblPr>
      <w:tblGrid>
        <w:gridCol w:w="3960"/>
        <w:gridCol w:w="3960"/>
      </w:tblGrid>
      <w:tr>
        <w:trPr>
          <w:tblHeader w:val="true"/>
          <w:tblHeader/>
        </w:trPr>
        <w:tc>
          <w:tcPr>
            <w:shd w:val="clear" w:fill="D9D9D9"/>
          </w:tcPr>
          <w:p>
            <w:pPr>
              <w:pStyle w:val="Compact"/>
              <w:jc w:val="left"/>
            </w:pPr>
            <w:r>
              <w:rPr>
                <w:b/>
              </w:rPr>
              <w:t xml:space="preserve">Element</w:t>
            </w:r>
          </w:p>
        </w:tc>
        <w:tc>
          <w:tcPr>
            <w:shd w:val="clear" w:fill="D9D9D9"/>
          </w:tcPr>
          <w:p>
            <w:pPr>
              <w:pStyle w:val="Compact"/>
              <w:jc w:val="left"/>
            </w:pPr>
            <w:r>
              <w:rPr>
                <w:b/>
              </w:rPr>
              <w:t xml:space="preserve">Design</w:t>
            </w:r>
          </w:p>
        </w:tc>
      </w:tr>
      <w:tr>
        <w:tc>
          <w:tcPr/>
          <w:p>
            <w:pPr>
              <w:pStyle w:val="Compact"/>
              <w:jc w:val="left"/>
            </w:pPr>
            <w:r>
              <w:rPr>
                <w:bCs/>
                <w:b/>
              </w:rPr>
              <w:t xml:space="preserve">Structure</w:t>
            </w:r>
          </w:p>
        </w:tc>
        <w:tc>
          <w:tcPr/>
          <w:p>
            <w:pPr>
              <w:pStyle w:val="Compact"/>
              <w:jc w:val="left"/>
            </w:pPr>
            <w:r>
              <w:t xml:space="preserve">Apex Task Force under JPM; legal successor to MIB; MITRA/PTMI as executing arms under its direction</w:t>
            </w:r>
          </w:p>
        </w:tc>
      </w:tr>
      <w:tr>
        <w:tc>
          <w:tcPr/>
          <w:p>
            <w:pPr>
              <w:pStyle w:val="Compact"/>
              <w:jc w:val="left"/>
            </w:pPr>
            <w:r>
              <w:rPr>
                <w:bCs/>
                <w:b/>
              </w:rPr>
              <w:t xml:space="preserve">Chair</w:t>
            </w:r>
          </w:p>
        </w:tc>
        <w:tc>
          <w:tcPr/>
          <w:p>
            <w:pPr>
              <w:pStyle w:val="Compact"/>
              <w:jc w:val="left"/>
            </w:pPr>
            <w:r>
              <w:t xml:space="preserve">The Prime Minister personally</w:t>
            </w:r>
          </w:p>
        </w:tc>
      </w:tr>
      <w:tr>
        <w:tc>
          <w:tcPr/>
          <w:p>
            <w:pPr>
              <w:pStyle w:val="Compact"/>
              <w:jc w:val="left"/>
            </w:pPr>
            <w:r>
              <w:rPr>
                <w:bCs/>
                <w:b/>
              </w:rPr>
              <w:t xml:space="preserve">Membership</w:t>
            </w:r>
          </w:p>
        </w:tc>
        <w:tc>
          <w:tcPr/>
          <w:p>
            <w:pPr>
              <w:pStyle w:val="Compact"/>
              <w:jc w:val="left"/>
            </w:pPr>
            <w:r>
              <w:t xml:space="preserve">Top-tier professionals; established NGO/community leaders; cross-spectrum (multi-partisan) politicians</w:t>
            </w:r>
          </w:p>
        </w:tc>
      </w:tr>
      <w:tr>
        <w:tc>
          <w:tcPr/>
          <w:p>
            <w:pPr>
              <w:pStyle w:val="Compact"/>
              <w:jc w:val="left"/>
            </w:pPr>
            <w:r>
              <w:rPr>
                <w:bCs/>
                <w:b/>
              </w:rPr>
              <w:t xml:space="preserve">Meeting cadence</w:t>
            </w:r>
          </w:p>
        </w:tc>
        <w:tc>
          <w:tcPr/>
          <w:p>
            <w:pPr>
              <w:pStyle w:val="Compact"/>
              <w:jc w:val="left"/>
            </w:pPr>
            <w:r>
              <w:t xml:space="preserve">Strictly quarterly (every 3 months), KPI dashboard published within 14 days</w:t>
            </w:r>
          </w:p>
        </w:tc>
      </w:tr>
      <w:tr>
        <w:tc>
          <w:tcPr/>
          <w:p>
            <w:pPr>
              <w:pStyle w:val="Compact"/>
              <w:jc w:val="left"/>
            </w:pPr>
            <w:r>
              <w:rPr>
                <w:bCs/>
                <w:b/>
              </w:rPr>
              <w:t xml:space="preserve">Reporting lines</w:t>
            </w:r>
          </w:p>
        </w:tc>
        <w:tc>
          <w:tcPr/>
          <w:p>
            <w:pPr>
              <w:pStyle w:val="Compact"/>
              <w:jc w:val="left"/>
            </w:pPr>
            <w:r>
              <w:t xml:space="preserve">Workstream owners report to the Task Force; Task Force reports to Cabinet; annual Auditor-General audit tabled in Parliament</w:t>
            </w:r>
          </w:p>
        </w:tc>
      </w:tr>
    </w:tbl>
    <w:p>
      <w:pPr>
        <w:pStyle w:val="BodyText"/>
      </w:pPr>
      <w:r>
        <w:t xml:space="preserve">The table encodes a simple logic: authority flows from the Prime Minister, execution flows through MITRA and the PTMI machinery, and accountability flows back through public dashboards and parliamentary audit. No ringgit moves without an owner; no quarter passes without a published reckoning.</w:t>
      </w:r>
    </w:p>
    <w:p>
      <w:pPr>
        <w:pStyle w:val="BodyText"/>
      </w:pPr>
      <w:r>
        <w:t xml:space="preserve">With mandate, membership, discipline, and safeguards fixed, the plan requires only its sequencing. Structure without sequence is inertia; the plan unfolds in three phases.</w:t>
      </w:r>
    </w:p>
    <w:bookmarkEnd w:id="49"/>
    <w:bookmarkEnd w:id="50"/>
    <w:bookmarkEnd w:id="51"/>
    <w:bookmarkStart w:id="63" w:name="X6a1bb2cd045848c447c75faab4021cd42bb8ab3"/>
    <w:p>
      <w:pPr>
        <w:pStyle w:val="Heading2"/>
      </w:pPr>
      <w:r>
        <w:t xml:space="preserve">4. Phase 1 — Immediate Impact &amp; Momentum (Years 1–2)</w:t>
      </w:r>
    </w:p>
    <w:p>
      <w:pPr>
        <w:pStyle w:val="FirstParagraph"/>
      </w:pPr>
      <w:r>
        <w:t xml:space="preserve">Phase 1 converts the Task Force established in Chapter 3 — a PM-chaired body under the Jabatan Perdana Menteri (JPM), meeting quarterly — into visible delivery. Every initiative carries an MIB-era baseline, a proposed KPI with a named owner, and a slot on the Task Force’s quarterly dashboard. Phase 1 promises not transformation but proof.</w:t>
      </w:r>
    </w:p>
    <w:bookmarkStart w:id="53" w:name="Xdedaf7fdaa191a579d963f13323b3c20a186770"/>
    <w:p>
      <w:pPr>
        <w:pStyle w:val="Heading3"/>
      </w:pPr>
      <w:r>
        <w:t xml:space="preserve">4.1 Objective: Quick, Visible Wins That Secure Community Confidence</w:t>
      </w:r>
    </w:p>
    <w:p>
      <w:pPr>
        <w:pStyle w:val="FirstParagraph"/>
      </w:pPr>
      <w:r>
        <w:t xml:space="preserve">Phase 1 closes the implementation gap at its most visible points before the end of the current term. The community has heard commitments before — the MIB launched with four pillars and RM100 million in Budget 2018 funding (Budget 2018, 2017) — and residual scepticism can only be answered with delivered outputs: citizenship papers issued, matriculation offers lettered, classrooms rebuilt, micro-credit disbursed. Each workstream pairs a valid MIB target with a demonstrated delivery precedent and a realistic 24-month timeline.</w:t>
      </w:r>
    </w:p>
    <w:bookmarkStart w:id="52" w:name="Xcea679dbe96b51fc9587ef3c7e1dfd8e509c8c0"/>
    <w:p>
      <w:pPr>
        <w:pStyle w:val="Heading4"/>
      </w:pPr>
      <w:r>
        <w:t xml:space="preserve">4.1.1 Sequenced so results land within the final year of the current term and the first year of the next mandate</w:t>
      </w:r>
    </w:p>
    <w:p>
      <w:pPr>
        <w:pStyle w:val="FirstParagraph"/>
      </w:pPr>
      <w:r>
        <w:t xml:space="preserve">Each of the first four quarterly Task Force meetings must table at least one completed deliverable per workstream. Citizenship clearances and SJKT emergency repairs are front-loaded to Quarters 1–2 because they need administrative, not legislative, action; the civil service pipeline and matriculation expansion mature as cohorts complete recruitment and admission cycles; the IB40 surge runs continuously from Quarter 1. By Quarter 8 every KPI must show a published, independently verifiable number.</w:t>
      </w:r>
    </w:p>
    <w:bookmarkEnd w:id="52"/>
    <w:bookmarkEnd w:id="53"/>
    <w:bookmarkStart w:id="55" w:name="citizenship-documentation-fast-track"/>
    <w:p>
      <w:pPr>
        <w:pStyle w:val="Heading3"/>
      </w:pPr>
      <w:r>
        <w:t xml:space="preserve">4.2 Citizenship &amp; Documentation Fast-Track</w:t>
      </w:r>
    </w:p>
    <w:p>
      <w:pPr>
        <w:pStyle w:val="FirstParagraph"/>
      </w:pPr>
      <w:r>
        <w:t xml:space="preserve">Statelessness is the community’s oldest open wound and its cheapest to close. The MIB targeted resolving documentation for approximately 25,000 undocumented Indians within five years, prioritising children and youth (MIB, 2017). That target lapsed largely unmet. The current Home Ministry has shown willingness — resolving many long-standing cases over the past three and a half years, including citizenship for a Malaysian-born applicant who had waited since 1947 (The Star, July 2026) — but the approach remains</w:t>
      </w:r>
      <w:r>
        <w:t xml:space="preserve"> </w:t>
      </w:r>
      <w:r>
        <w:rPr>
          <w:bCs/>
          <w:b/>
        </w:rPr>
        <w:t xml:space="preserve">case-by-case</w:t>
      </w:r>
      <w:r>
        <w:t xml:space="preserve">: celebrated individual files, no published aggregate, no systematic sweep. Malaya-born Indians holding red identity cards or no documents at all remain locked out of formal education, employment and healthcare subsidies. Phase 1 converts this goodwill into a system.</w:t>
      </w:r>
    </w:p>
    <w:bookmarkStart w:id="54" w:name="Xaa3da37c0dd2ed1ad4eb42597ed8f911721f959"/>
    <w:p>
      <w:pPr>
        <w:pStyle w:val="Heading4"/>
      </w:pPr>
      <w:r>
        <w:t xml:space="preserve">4.2.1 Special clearance system for undocumented/stateless Malaya-born Indians: one-stop JPN-JPM desks, mobile registration teams, 24-month target to clear the residual backlog inherited from the MIB’s 25,000-case target</w:t>
      </w:r>
    </w:p>
    <w:p>
      <w:pPr>
        <w:pStyle w:val="FirstParagraph"/>
      </w:pPr>
      <w:r>
        <w:t xml:space="preserve">The fast-track system deploys three instruments:</w:t>
      </w:r>
    </w:p>
    <w:p>
      <w:pPr>
        <w:numPr>
          <w:ilvl w:val="0"/>
          <w:numId w:val="1004"/>
        </w:numPr>
        <w:pStyle w:val="Compact"/>
      </w:pPr>
      <w:r>
        <w:rPr>
          <w:bCs/>
          <w:b/>
        </w:rPr>
        <w:t xml:space="preserve">One-stop JPN–JPM desks</w:t>
      </w:r>
      <w:r>
        <w:t xml:space="preserve"> </w:t>
      </w:r>
      <w:r>
        <w:t xml:space="preserve">in every state capital, co-locating National Registration Department adjudicators with JPM case officers so complete applications are decided in one sitting.</w:t>
      </w:r>
    </w:p>
    <w:p>
      <w:pPr>
        <w:numPr>
          <w:ilvl w:val="0"/>
          <w:numId w:val="1004"/>
        </w:numPr>
        <w:pStyle w:val="Compact"/>
      </w:pPr>
      <w:r>
        <w:rPr>
          <w:bCs/>
          <w:b/>
        </w:rPr>
        <w:t xml:space="preserve">Mobile registration teams</w:t>
      </w:r>
      <w:r>
        <w:t xml:space="preserve"> </w:t>
      </w:r>
      <w:r>
        <w:t xml:space="preserve">sent to former plantation settlements and urban poor localities, replicating MyDaftar’s outreach, which approved 6,590 applications and secured 4,155 citizenships (MyDaftar, 2011) — proof the backlog is soluble when the state goes to the applicant.</w:t>
      </w:r>
    </w:p>
    <w:p>
      <w:pPr>
        <w:numPr>
          <w:ilvl w:val="0"/>
          <w:numId w:val="1004"/>
        </w:numPr>
        <w:pStyle w:val="Compact"/>
      </w:pPr>
      <w:r>
        <w:rPr>
          <w:bCs/>
          <w:b/>
        </w:rPr>
        <w:t xml:space="preserve">A 24-month clearance target</w:t>
      </w:r>
      <w:r>
        <w:t xml:space="preserve"> </w:t>
      </w:r>
      <w:r>
        <w:t xml:space="preserve">(the plan’s own KPI):</w:t>
      </w:r>
      <w:r>
        <w:t xml:space="preserve"> </w:t>
      </w:r>
      <w:r>
        <w:rPr>
          <w:bCs/>
          <w:b/>
        </w:rPr>
        <w:t xml:space="preserve">100% of the residual backlog from the MIB’s ~25,000-case target resolved by end-Year 2</w:t>
      </w:r>
      <w:r>
        <w:t xml:space="preserve">, with monthly case counts published on the Task Force dashboard.</w:t>
      </w:r>
    </w:p>
    <w:bookmarkEnd w:id="54"/>
    <w:bookmarkEnd w:id="55"/>
    <w:bookmarkStart w:id="57" w:name="civil-service-7-drive"/>
    <w:p>
      <w:pPr>
        <w:pStyle w:val="Heading3"/>
      </w:pPr>
      <w:r>
        <w:t xml:space="preserve">4.3 Civil Service 7% Drive</w:t>
      </w:r>
    </w:p>
    <w:p>
      <w:pPr>
        <w:pStyle w:val="FirstParagraph"/>
      </w:pPr>
      <w:r>
        <w:t xml:space="preserve">The MIB committed to raising Indian civil service participation to</w:t>
      </w:r>
      <w:r>
        <w:t xml:space="preserve"> </w:t>
      </w:r>
      <w:r>
        <w:rPr>
          <w:bCs/>
          <w:b/>
        </w:rPr>
        <w:t xml:space="preserve">at least 7% at all grade levels, without compromising entry standards, within ten years</w:t>
      </w:r>
      <w:r>
        <w:t xml:space="preserve"> </w:t>
      </w:r>
      <w:r>
        <w:t xml:space="preserve">(MIB, 2017). The 2024 actual stood at</w:t>
      </w:r>
      <w:r>
        <w:t xml:space="preserve"> </w:t>
      </w:r>
      <w:r>
        <w:rPr>
          <w:bCs/>
          <w:b/>
        </w:rPr>
        <w:t xml:space="preserve">3.7%</w:t>
      </w:r>
      <w:r>
        <w:t xml:space="preserve"> </w:t>
      </w:r>
      <w:r>
        <w:t xml:space="preserve">— barely half the target. Unlike the other Phase 1 workstreams,</w:t>
      </w:r>
      <w:r>
        <w:t xml:space="preserve"> </w:t>
      </w:r>
      <w:r>
        <w:rPr>
          <w:bCs/>
          <w:b/>
        </w:rPr>
        <w:t xml:space="preserve">no targeted programme exists here today</w:t>
      </w:r>
      <w:r>
        <w:t xml:space="preserve">: this is a genuinely new initiative, and precisely because nothing has been tried, it is where a PM-chaired Task Force can show the fastest visible break with the past. The failure is one of pipeline management, not ambition, and it is correctable.</w:t>
      </w:r>
    </w:p>
    <w:bookmarkStart w:id="56" w:name="X4d9932b89edca73d4e7603ca91566d64f9c2ab0"/>
    <w:p>
      <w:pPr>
        <w:pStyle w:val="Heading4"/>
      </w:pPr>
      <w:r>
        <w:t xml:space="preserve">4.3.1 Immediate interventions toward the MIB’s 7% target: targeted recruitment pipelines, Indian officers in SPA/JPA selection panels, annual published statistics</w:t>
      </w:r>
    </w:p>
    <w:p>
      <w:pPr>
        <w:numPr>
          <w:ilvl w:val="0"/>
          <w:numId w:val="1005"/>
        </w:numPr>
        <w:pStyle w:val="Compact"/>
      </w:pPr>
      <w:r>
        <w:rPr>
          <w:bCs/>
          <w:b/>
        </w:rPr>
        <w:t xml:space="preserve">Targeted recruitment pipelines</w:t>
      </w:r>
      <w:r>
        <w:t xml:space="preserve">: proactive outreach through SJKT alumni networks and university Indian student associations, with a Year 1 KPI of</w:t>
      </w:r>
      <w:r>
        <w:t xml:space="preserve"> </w:t>
      </w:r>
      <w:r>
        <w:rPr>
          <w:bCs/>
          <w:b/>
        </w:rPr>
        <w:t xml:space="preserve">doubling Indian applicants shortlisted for SPA interview</w:t>
      </w:r>
      <w:r>
        <w:t xml:space="preserve"> </w:t>
      </w:r>
      <w:r>
        <w:t xml:space="preserve">against the 2024 baseline.</w:t>
      </w:r>
    </w:p>
    <w:p>
      <w:pPr>
        <w:numPr>
          <w:ilvl w:val="0"/>
          <w:numId w:val="1005"/>
        </w:numPr>
        <w:pStyle w:val="Compact"/>
      </w:pPr>
      <w:r>
        <w:rPr>
          <w:bCs/>
          <w:b/>
        </w:rPr>
        <w:t xml:space="preserve">Representation on selection panels</w:t>
      </w:r>
      <w:r>
        <w:t xml:space="preserve">: senior Indian officers appointed to SPA and JPA interview panels from Quarter 1, so merit is assessed by panels that reflect the nation.</w:t>
      </w:r>
    </w:p>
    <w:p>
      <w:pPr>
        <w:numPr>
          <w:ilvl w:val="0"/>
          <w:numId w:val="1005"/>
        </w:numPr>
        <w:pStyle w:val="Compact"/>
      </w:pPr>
      <w:r>
        <w:rPr>
          <w:bCs/>
          <w:b/>
        </w:rPr>
        <w:t xml:space="preserve">Annual published statistics</w:t>
      </w:r>
      <w:r>
        <w:t xml:space="preserve">: a public, grade-disaggregated count tabled at each year’s first Task Force meeting; Phase 1 targets</w:t>
      </w:r>
      <w:r>
        <w:t xml:space="preserve"> </w:t>
      </w:r>
      <w:r>
        <w:rPr>
          <w:bCs/>
          <w:b/>
        </w:rPr>
        <w:t xml:space="preserve">at least 4.5% by end-Year 2</w:t>
      </w:r>
      <w:r>
        <w:t xml:space="preserve"> </w:t>
      </w:r>
      <w:r>
        <w:t xml:space="preserve">on the path from the 3.7% baseline toward 7%.</w:t>
      </w:r>
    </w:p>
    <w:bookmarkEnd w:id="56"/>
    <w:bookmarkEnd w:id="57"/>
    <w:bookmarkStart w:id="60" w:name="education-quick-wins"/>
    <w:p>
      <w:pPr>
        <w:pStyle w:val="Heading3"/>
      </w:pPr>
      <w:r>
        <w:t xml:space="preserve">4.4 Education Quick Wins</w:t>
      </w:r>
    </w:p>
    <w:bookmarkStart w:id="58" w:name="X23dd527b133d95423f522a7d06a091f1d81ad15"/>
    <w:p>
      <w:pPr>
        <w:pStyle w:val="Heading4"/>
      </w:pPr>
      <w:r>
        <w:t xml:space="preserve">4.4.1 Restore and expand matriculation seat quotas beyond the 1,116-seat sub-quota, building on the 2025 expansion (1,537 offers) and the 10A automatic-placement pledge</w:t>
      </w:r>
    </w:p>
    <w:p>
      <w:pPr>
        <w:pStyle w:val="FirstParagraph"/>
      </w:pPr>
      <w:r>
        <w:t xml:space="preserve">Matriculation is the fastest lever on Indian tertiary access, and this government has already pulled it: automatic placement for 10A scorers since June 2024, expanded to A- scorers, and in April 2026</w:t>
      </w:r>
      <w:r>
        <w:t xml:space="preserve"> </w:t>
      </w:r>
      <w:r>
        <w:rPr>
          <w:bCs/>
          <w:b/>
        </w:rPr>
        <w:t xml:space="preserve">offers to all 6,717 SPM 10A scorers</w:t>
      </w:r>
      <w:r>
        <w:t xml:space="preserve"> </w:t>
      </w:r>
      <w:r>
        <w:t xml:space="preserve">for the 2026/27 session; Indian offers rose from the ~1,116-seat sub-quota to</w:t>
      </w:r>
      <w:r>
        <w:t xml:space="preserve"> </w:t>
      </w:r>
      <w:r>
        <w:rPr>
          <w:bCs/>
          <w:b/>
        </w:rPr>
        <w:t xml:space="preserve">1,537 in 2025</w:t>
      </w:r>
      <w:r>
        <w:t xml:space="preserve">. Phase 1 locks this trajectory upward and addresses the binding constraint the expansion left untouched — the standing</w:t>
      </w:r>
      <w:r>
        <w:t xml:space="preserve"> </w:t>
      </w:r>
      <w:r>
        <w:rPr>
          <w:bCs/>
          <w:b/>
        </w:rPr>
        <w:t xml:space="preserve">3.72% sub-quota</w:t>
      </w:r>
      <w:r>
        <w:t xml:space="preserve">. The plan’s KPI is</w:t>
      </w:r>
      <w:r>
        <w:t xml:space="preserve"> </w:t>
      </w:r>
      <w:r>
        <w:rPr>
          <w:bCs/>
          <w:b/>
        </w:rPr>
        <w:t xml:space="preserve">at least 2,000 Indian matriculation offers per intake by Year 2</w:t>
      </w:r>
      <w:r>
        <w:t xml:space="preserve">, a named officer accountable for every rejected qualified 10A applicant, annually published intake numbers, and a Cabinet-level review of the sub-quota’s adequacy tabled at the first Task Force sitting.</w:t>
      </w:r>
    </w:p>
    <w:bookmarkEnd w:id="58"/>
    <w:bookmarkStart w:id="59" w:name="Xec191dea8a84fccc9b612eeea044fee850e6c0c"/>
    <w:p>
      <w:pPr>
        <w:pStyle w:val="Heading4"/>
      </w:pPr>
      <w:r>
        <w:t xml:space="preserve">4.4.2 Urgent infrastructure fund for all 528 SJKTs: dilapidated-building audits, digital labs, teacher upskilling grants</w:t>
      </w:r>
    </w:p>
    <w:p>
      <w:pPr>
        <w:pStyle w:val="FirstParagraph"/>
      </w:pPr>
      <w:r>
        <w:t xml:space="preserve">The 528 national-type Tamil primary schools serve</w:t>
      </w:r>
      <w:r>
        <w:t xml:space="preserve"> </w:t>
      </w:r>
      <w:r>
        <w:rPr>
          <w:bCs/>
          <w:b/>
        </w:rPr>
        <w:t xml:space="preserve">78,501 pupils</w:t>
      </w:r>
      <w:r>
        <w:t xml:space="preserve"> </w:t>
      </w:r>
      <w:r>
        <w:t xml:space="preserve">(May 2026) yet remain chronically underfunded. Here too the current administration has moved: federal maintenance rose from RM30 million in 2024 to</w:t>
      </w:r>
      <w:r>
        <w:t xml:space="preserve"> </w:t>
      </w:r>
      <w:r>
        <w:rPr>
          <w:bCs/>
          <w:b/>
        </w:rPr>
        <w:t xml:space="preserve">RM50 million in 2026</w:t>
      </w:r>
      <w:r>
        <w:t xml:space="preserve">, RM12.8 million in MITRA equipment funding was approved in 2025,</w:t>
      </w:r>
      <w:r>
        <w:t xml:space="preserve"> </w:t>
      </w:r>
      <w:r>
        <w:rPr>
          <w:bCs/>
          <w:b/>
        </w:rPr>
        <w:t xml:space="preserve">six new SJKTs were announced in 2024</w:t>
      </w:r>
      <w:r>
        <w:t xml:space="preserve">, and Budget 2026 funds the rebuilding of SJKT Ladang Jeram within a ~RM2 billion programme for 520 dilapidated schools including Tamil schools. What is missing is not money but a</w:t>
      </w:r>
      <w:r>
        <w:t xml:space="preserve"> </w:t>
      </w:r>
      <w:r>
        <w:rPr>
          <w:bCs/>
          <w:b/>
        </w:rPr>
        <w:t xml:space="preserve">complete, audited, deadline-bound programme</w:t>
      </w:r>
      <w:r>
        <w:t xml:space="preserve"> </w:t>
      </w:r>
      <w:r>
        <w:t xml:space="preserve">covering every one of the 528 schools. Phase 1 converts this momentum into a structured surge:</w:t>
      </w:r>
    </w:p>
    <w:p>
      <w:pPr>
        <w:numPr>
          <w:ilvl w:val="0"/>
          <w:numId w:val="1006"/>
        </w:numPr>
        <w:pStyle w:val="Compact"/>
      </w:pPr>
      <w:r>
        <w:rPr>
          <w:bCs/>
          <w:b/>
        </w:rPr>
        <w:t xml:space="preserve">A full dilapidated-building audit of all 528 SJKTs within 12 months</w:t>
      </w:r>
      <w:r>
        <w:t xml:space="preserve">, with a published remediation schedule prioritising safety-critical structures.</w:t>
      </w:r>
    </w:p>
    <w:p>
      <w:pPr>
        <w:numPr>
          <w:ilvl w:val="0"/>
          <w:numId w:val="1006"/>
        </w:numPr>
        <w:pStyle w:val="Compact"/>
      </w:pPr>
      <w:r>
        <w:rPr>
          <w:bCs/>
          <w:b/>
        </w:rPr>
        <w:t xml:space="preserve">Digital labs and connectivity for every SJKT by end-Year 2</w:t>
      </w:r>
      <w:r>
        <w:t xml:space="preserve">, extending the MITRA equipment precedent to universal coverage.</w:t>
      </w:r>
    </w:p>
    <w:p>
      <w:pPr>
        <w:numPr>
          <w:ilvl w:val="0"/>
          <w:numId w:val="1006"/>
        </w:numPr>
        <w:pStyle w:val="Compact"/>
      </w:pPr>
      <w:r>
        <w:rPr>
          <w:bCs/>
          <w:b/>
        </w:rPr>
        <w:t xml:space="preserve">Teacher upskilling grants</w:t>
      </w:r>
      <w:r>
        <w:t xml:space="preserve"> </w:t>
      </w:r>
      <w:r>
        <w:t xml:space="preserve">in STEM and English-medium instruction, with a Year 2 KPI of</w:t>
      </w:r>
      <w:r>
        <w:t xml:space="preserve"> </w:t>
      </w:r>
      <w:r>
        <w:rPr>
          <w:bCs/>
          <w:b/>
        </w:rPr>
        <w:t xml:space="preserve">100% of SJKTs with at least one trained digital-lab coordinator</w:t>
      </w:r>
      <w:r>
        <w:t xml:space="preserve">.</w:t>
      </w:r>
    </w:p>
    <w:bookmarkEnd w:id="59"/>
    <w:bookmarkEnd w:id="60"/>
    <w:bookmarkStart w:id="62" w:name="ib40-welfare-micro-credit-surge"/>
    <w:p>
      <w:pPr>
        <w:pStyle w:val="Heading3"/>
      </w:pPr>
      <w:r>
        <w:t xml:space="preserve">4.5 IB40 Welfare &amp; Micro-Credit Surge</w:t>
      </w:r>
    </w:p>
    <w:bookmarkStart w:id="61" w:name="Xc83aa62f42d559077b72c93bfceb74b4a40ff5b"/>
    <w:p>
      <w:pPr>
        <w:pStyle w:val="Heading4"/>
      </w:pPr>
      <w:r>
        <w:t xml:space="preserve">4.5.1 Rapid deployment of micro-credit and welfare funds directly to IB40 households: revive the RM500m / RM5,000-per-household model via TEKUN/SPUMI-style channels with digital disbursement and real-time tracking</w:t>
      </w:r>
    </w:p>
    <w:p>
      <w:pPr>
        <w:pStyle w:val="FirstParagraph"/>
      </w:pPr>
      <w:r>
        <w:t xml:space="preserve">The IB40 — the MIB baseline of approximately</w:t>
      </w:r>
      <w:r>
        <w:t xml:space="preserve"> </w:t>
      </w:r>
      <w:r>
        <w:rPr>
          <w:bCs/>
          <w:b/>
        </w:rPr>
        <w:t xml:space="preserve">227,600 households</w:t>
      </w:r>
      <w:r>
        <w:t xml:space="preserve">, 39% of Indian households, on a mean income of RM2,672 a month (MIB, 2017) — cannot wait for structural reform. The financing rails already exist and should be credited: roughly</w:t>
      </w:r>
      <w:r>
        <w:t xml:space="preserve"> </w:t>
      </w:r>
      <w:r>
        <w:rPr>
          <w:bCs/>
          <w:b/>
        </w:rPr>
        <w:t xml:space="preserve">RM300 million deployed in early 2025</w:t>
      </w:r>
      <w:r>
        <w:t xml:space="preserve"> </w:t>
      </w:r>
      <w:r>
        <w:t xml:space="preserve">across MITRA, TEKUN SPUMI and Bank Rakyat BRIEF-i,</w:t>
      </w:r>
      <w:r>
        <w:t xml:space="preserve"> </w:t>
      </w:r>
      <w:r>
        <w:rPr>
          <w:bCs/>
          <w:b/>
        </w:rPr>
        <w:t xml:space="preserve">RM50 million through AIM’s PENN scheme for Indian women</w:t>
      </w:r>
      <w:r>
        <w:t xml:space="preserve">, and</w:t>
      </w:r>
      <w:r>
        <w:t xml:space="preserve"> </w:t>
      </w:r>
      <w:r>
        <w:rPr>
          <w:bCs/>
          <w:b/>
        </w:rPr>
        <w:t xml:space="preserve">RM220 million in Budget 2026</w:t>
      </w:r>
      <w:r>
        <w:t xml:space="preserve">. Phase 1 builds on these rails to revive the MIB’s most direct instrument at full scale: the RM500 million, five-year interest-free facility of</w:t>
      </w:r>
      <w:r>
        <w:t xml:space="preserve"> </w:t>
      </w:r>
      <w:r>
        <w:rPr>
          <w:bCs/>
          <w:b/>
        </w:rPr>
        <w:t xml:space="preserve">RM5,000 per household for 100,000 IB40 households</w:t>
      </w:r>
      <w:r>
        <w:t xml:space="preserve">, originally paired with the 1.5 billion AS1M units reserved for Indian investors (MIB, 2017). Delivery runs through the proven TEKUN, SPUMI and AIM channels, modernised with</w:t>
      </w:r>
      <w:r>
        <w:t xml:space="preserve"> </w:t>
      </w:r>
      <w:r>
        <w:rPr>
          <w:bCs/>
          <w:b/>
        </w:rPr>
        <w:t xml:space="preserve">digital disbursement and a real-time public tracking dashboard</w:t>
      </w:r>
      <w:r>
        <w:t xml:space="preserve"> </w:t>
      </w:r>
      <w:r>
        <w:t xml:space="preserve">— a direct answer to the 2021 arrest of 16 MITRA-linked directors over misappropriated grants. Year 2 KPIs:</w:t>
      </w:r>
      <w:r>
        <w:t xml:space="preserve"> </w:t>
      </w:r>
      <w:r>
        <w:rPr>
          <w:bCs/>
          <w:b/>
        </w:rPr>
        <w:t xml:space="preserve">at least 100,000 IB40 households reached</w:t>
      </w:r>
      <w:r>
        <w:t xml:space="preserve">,</w:t>
      </w:r>
      <w:r>
        <w:t xml:space="preserve"> </w:t>
      </w:r>
      <w:r>
        <w:rPr>
          <w:bCs/>
          <w:b/>
        </w:rPr>
        <w:t xml:space="preserve">zero leakage findings</w:t>
      </w:r>
      <w:r>
        <w:t xml:space="preserve"> </w:t>
      </w:r>
      <w:r>
        <w:t xml:space="preserve">on audit, and measurable progress toward the MIB’s goal that at least half of registered poor households show increased savings.</w:t>
      </w:r>
    </w:p>
    <w:p>
      <w:pPr>
        <w:pStyle w:val="BodyText"/>
      </w:pPr>
      <w:r>
        <w:t xml:space="preserve">These five surges buy what no communiqué can: trust. But quick wins consume goodwill as fast as they create it if structures remain untouched. Phase 2 therefore invests the momentum earned here in structural measures — preschool access, TVET and STEM pipelines, procurement integration and housing reform — that make Phase 1’s gains permanent.</w:t>
      </w:r>
    </w:p>
    <w:bookmarkEnd w:id="61"/>
    <w:bookmarkEnd w:id="62"/>
    <w:bookmarkEnd w:id="63"/>
    <w:bookmarkStart w:id="74" w:name="X9908d7fc83c858f21f137602c0c630c98ace512"/>
    <w:p>
      <w:pPr>
        <w:pStyle w:val="Heading2"/>
      </w:pPr>
      <w:r>
        <w:t xml:space="preserve">5. Phase 2 — Structural Preparation &amp; Proactive Measures (Years 3–4)</w:t>
      </w:r>
    </w:p>
    <w:bookmarkStart w:id="65" w:name="X8803cf2b378e49f0a2f9cb390b6d3868f420435"/>
    <w:p>
      <w:pPr>
        <w:pStyle w:val="Heading3"/>
      </w:pPr>
      <w:r>
        <w:t xml:space="preserve">5.1 Objective: Institutionalize Support and Prevent Youth Disenfranchisement</w:t>
      </w:r>
    </w:p>
    <w:bookmarkStart w:id="64" w:name="X7982ff513af4fc24ef61ef887d58410eb51145c"/>
    <w:p>
      <w:pPr>
        <w:pStyle w:val="Heading4"/>
      </w:pPr>
      <w:r>
        <w:t xml:space="preserve">5.1.1 Shift from relief to capacity: fix educational foundations, redirect youth from low-income labour, open economic gateways</w:t>
      </w:r>
    </w:p>
    <w:p>
      <w:pPr>
        <w:pStyle w:val="FirstParagraph"/>
      </w:pPr>
      <w:r>
        <w:t xml:space="preserve">Phase 1 stabilised the ground: documentation fast-tracks, the 7% civil service drive, matriculation expansion, SJKT funding, and the IB40 micro-credit surge. Phase 2 must now convert that momentum into</w:t>
      </w:r>
      <w:r>
        <w:t xml:space="preserve"> </w:t>
      </w:r>
      <w:r>
        <w:rPr>
          <w:bCs/>
          <w:b/>
        </w:rPr>
        <w:t xml:space="preserve">structural capacity</w:t>
      </w:r>
      <w:r>
        <w:t xml:space="preserve"> </w:t>
      </w:r>
      <w:r>
        <w:t xml:space="preserve">— the durable institutions, pipelines, and assets that prevent each generation from re-entering poverty. The strategic logic is preventive, not remedial. The MIB baseline remains sobering:</w:t>
      </w:r>
      <w:r>
        <w:t xml:space="preserve"> </w:t>
      </w:r>
      <w:r>
        <w:rPr>
          <w:bCs/>
          <w:b/>
        </w:rPr>
        <w:t xml:space="preserve">227,600 IB40 households — 39% of all Indian households — subsist on a mean income of RM2,672/month</w:t>
      </w:r>
      <w:r>
        <w:t xml:space="preserve">, against a median household income of RM4,627 (MIB, 2017; HIS 2014). Relief holds this population in place; only capacity-building moves it forward.</w:t>
      </w:r>
    </w:p>
    <w:p>
      <w:pPr>
        <w:pStyle w:val="BodyText"/>
      </w:pPr>
      <w:r>
        <w:t xml:space="preserve">Phase 2 therefore operates on four fronts that close the pathway from early-childhood disadvantage to adult disenfranchisement:</w:t>
      </w:r>
      <w:r>
        <w:t xml:space="preserve"> </w:t>
      </w:r>
      <w:r>
        <w:rPr>
          <w:bCs/>
          <w:b/>
        </w:rPr>
        <w:t xml:space="preserve">universal preschool</w:t>
      </w:r>
      <w:r>
        <w:t xml:space="preserve"> </w:t>
      </w:r>
      <w:r>
        <w:t xml:space="preserve">to repair the educational foundation; a</w:t>
      </w:r>
      <w:r>
        <w:t xml:space="preserve"> </w:t>
      </w:r>
      <w:r>
        <w:rPr>
          <w:bCs/>
          <w:b/>
        </w:rPr>
        <w:t xml:space="preserve">TVET and STEM upskilling offensive</w:t>
      </w:r>
      <w:r>
        <w:t xml:space="preserve"> </w:t>
      </w:r>
      <w:r>
        <w:t xml:space="preserve">to intercept at-risk youth; an</w:t>
      </w:r>
      <w:r>
        <w:t xml:space="preserve"> </w:t>
      </w:r>
      <w:r>
        <w:rPr>
          <w:bCs/>
          <w:b/>
        </w:rPr>
        <w:t xml:space="preserve">economic gateway</w:t>
      </w:r>
      <w:r>
        <w:t xml:space="preserve"> </w:t>
      </w:r>
      <w:r>
        <w:t xml:space="preserve">opening megaprojects to Indian chambers and SME vendors; and</w:t>
      </w:r>
      <w:r>
        <w:t xml:space="preserve"> </w:t>
      </w:r>
      <w:r>
        <w:rPr>
          <w:bCs/>
          <w:b/>
        </w:rPr>
        <w:t xml:space="preserve">housing reform</w:t>
      </w:r>
      <w:r>
        <w:t xml:space="preserve"> </w:t>
      </w:r>
      <w:r>
        <w:t xml:space="preserve">for urban-poor families displaced from estates. Each front carries concrete KPIs tracked at the Task Force’s quarterly sittings under the Prime Minister’s chairmanship.</w:t>
      </w:r>
    </w:p>
    <w:bookmarkEnd w:id="64"/>
    <w:bookmarkEnd w:id="65"/>
    <w:bookmarkStart w:id="67" w:name="universal-preschool-for-ib40-children"/>
    <w:p>
      <w:pPr>
        <w:pStyle w:val="Heading3"/>
      </w:pPr>
      <w:r>
        <w:t xml:space="preserve">5.2 Universal Preschool for IB40 Children</w:t>
      </w:r>
    </w:p>
    <w:bookmarkStart w:id="66" w:name="Xdf2b65533e72b9d3e148a512ac6c3c17b1b66c3"/>
    <w:p>
      <w:pPr>
        <w:pStyle w:val="Heading4"/>
      </w:pPr>
      <w:r>
        <w:t xml:space="preserve">5.2.1 Expand universal preschool access for IB40 children — the MIB’s</w:t>
      </w:r>
      <w:r>
        <w:t xml:space="preserve"> </w:t>
      </w:r>
      <w:r>
        <w:t xml:space="preserve">“</w:t>
      </w:r>
      <w:r>
        <w:t xml:space="preserve">Realising Each Child’s Potential</w:t>
      </w:r>
      <w:r>
        <w:t xml:space="preserve">”</w:t>
      </w:r>
      <w:r>
        <w:t xml:space="preserve"> </w:t>
      </w:r>
      <w:r>
        <w:t xml:space="preserve">pillar applied at the foundation stage</w:t>
      </w:r>
    </w:p>
    <w:p>
      <w:pPr>
        <w:pStyle w:val="FirstParagraph"/>
      </w:pPr>
      <w:r>
        <w:t xml:space="preserve">The MIB’s second pillar,</w:t>
      </w:r>
      <w:r>
        <w:t xml:space="preserve"> </w:t>
      </w:r>
      <w:r>
        <w:rPr>
          <w:bCs/>
          <w:b/>
        </w:rPr>
        <w:t xml:space="preserve">“</w:t>
      </w:r>
      <w:r>
        <w:rPr>
          <w:bCs/>
          <w:b/>
        </w:rPr>
        <w:t xml:space="preserve">Realising Each Child’s Potential</w:t>
      </w:r>
      <w:r>
        <w:rPr>
          <w:bCs/>
          <w:b/>
        </w:rPr>
        <w:t xml:space="preserve">”</w:t>
      </w:r>
      <w:r>
        <w:t xml:space="preserve"> </w:t>
      </w:r>
      <w:r>
        <w:t xml:space="preserve">(MIB, 2017), begins not at matriculation but at age five. Children from households earning RM2,672/month enter Year One already behind in school-readiness; this early gap compounds into the disengagement that later produces at-risk youth.</w:t>
      </w:r>
      <w:r>
        <w:t xml:space="preserve"> </w:t>
      </w:r>
      <w:r>
        <w:rPr>
          <w:bCs/>
          <w:b/>
        </w:rPr>
        <w:t xml:space="preserve">No IB40-specific preschool programme exists today</w:t>
      </w:r>
      <w:r>
        <w:t xml:space="preserve"> </w:t>
      </w:r>
      <w:r>
        <w:t xml:space="preserve">— national preschool platforms serve the community incidentally, not deliberately. Phase 2 closes this genuinely open flank through a dedicated</w:t>
      </w:r>
      <w:r>
        <w:t xml:space="preserve"> </w:t>
      </w:r>
      <w:r>
        <w:rPr>
          <w:bCs/>
          <w:b/>
        </w:rPr>
        <w:t xml:space="preserve">IB40 Preschool Access Programme</w:t>
      </w:r>
      <w:r>
        <w:t xml:space="preserve">, delivered through those same national platforms with enrolment subsidies and transport support, using SJKT networks — the 528 Tamil schools serving 78,501 pupils (May 2026) — as the referral channel.</w:t>
      </w:r>
    </w:p>
    <w:p>
      <w:pPr>
        <w:pStyle w:val="BodyText"/>
      </w:pPr>
      <w:r>
        <w:rPr>
          <w:bCs/>
          <w:b/>
        </w:rPr>
        <w:t xml:space="preserve">Proposed plan targets (KPIs):</w:t>
      </w:r>
    </w:p>
    <w:p>
      <w:pPr>
        <w:numPr>
          <w:ilvl w:val="0"/>
          <w:numId w:val="1007"/>
        </w:numPr>
        <w:pStyle w:val="Compact"/>
      </w:pPr>
      <w:r>
        <w:rPr>
          <w:bCs/>
          <w:b/>
        </w:rPr>
        <w:t xml:space="preserve">Enrol 90% of IB40 children aged 4–6 in registered preschools by end-Year 4</w:t>
      </w:r>
      <w:r>
        <w:t xml:space="preserve">, measured from a Year 3 baseline audit.</w:t>
      </w:r>
    </w:p>
    <w:p>
      <w:pPr>
        <w:numPr>
          <w:ilvl w:val="0"/>
          <w:numId w:val="1007"/>
        </w:numPr>
        <w:pStyle w:val="Compact"/>
      </w:pPr>
      <w:r>
        <w:rPr>
          <w:bCs/>
          <w:b/>
        </w:rPr>
        <w:t xml:space="preserve">Subsidised places for at least 40,000 IB40 children</w:t>
      </w:r>
      <w:r>
        <w:t xml:space="preserve">, scaled from the 227,600-household denominator.</w:t>
      </w:r>
    </w:p>
    <w:p>
      <w:pPr>
        <w:numPr>
          <w:ilvl w:val="0"/>
          <w:numId w:val="1007"/>
        </w:numPr>
        <w:pStyle w:val="Compact"/>
      </w:pPr>
      <w:r>
        <w:rPr>
          <w:bCs/>
          <w:b/>
        </w:rPr>
        <w:t xml:space="preserve">Zero-cost enrolment</w:t>
      </w:r>
      <w:r>
        <w:t xml:space="preserve"> </w:t>
      </w:r>
      <w:r>
        <w:t xml:space="preserve">(fees, transport, meals) for households below the RM2,672 IB40 mean income.</w:t>
      </w:r>
    </w:p>
    <w:p>
      <w:pPr>
        <w:numPr>
          <w:ilvl w:val="0"/>
          <w:numId w:val="1007"/>
        </w:numPr>
        <w:pStyle w:val="Compact"/>
      </w:pPr>
      <w:r>
        <w:rPr>
          <w:bCs/>
          <w:b/>
        </w:rPr>
        <w:t xml:space="preserve">School-readiness screening at Year One entry for 100% of programme graduates</w:t>
      </w:r>
      <w:r>
        <w:t xml:space="preserve">, reported on the Task Force KPI dashboard.</w:t>
      </w:r>
    </w:p>
    <w:bookmarkEnd w:id="66"/>
    <w:bookmarkEnd w:id="67"/>
    <w:bookmarkStart w:id="69" w:name="tvet-stem-upskilling-offensive"/>
    <w:p>
      <w:pPr>
        <w:pStyle w:val="Heading3"/>
      </w:pPr>
      <w:r>
        <w:t xml:space="preserve">5.3 TVET &amp; STEM Upskilling Offensive</w:t>
      </w:r>
    </w:p>
    <w:bookmarkStart w:id="68" w:name="X188e87c9fb41db89982e5e0d87eb354e8746fa5"/>
    <w:p>
      <w:pPr>
        <w:pStyle w:val="Heading4"/>
      </w:pPr>
      <w:r>
        <w:t xml:space="preserve">5.3.1 Targeted TVET/STEM programs to move Indian youth out of low-income labour and pre-empt</w:t>
      </w:r>
      <w:r>
        <w:t xml:space="preserve"> </w:t>
      </w:r>
      <w:r>
        <w:t xml:space="preserve">“</w:t>
      </w:r>
      <w:r>
        <w:t xml:space="preserve">at-risk</w:t>
      </w:r>
      <w:r>
        <w:t xml:space="preserve">”</w:t>
      </w:r>
      <w:r>
        <w:t xml:space="preserve">/dysfunctional-youth outcomes: apprenticeships with industry partners, retention tracking, mentorship</w:t>
      </w:r>
    </w:p>
    <w:p>
      <w:pPr>
        <w:pStyle w:val="FirstParagraph"/>
      </w:pPr>
      <w:r>
        <w:t xml:space="preserve">The greatest risk to the MIB agenda is not poverty itself but its transmission: Indian youth leaving school into low-skill labour, drifting into the</w:t>
      </w:r>
      <w:r>
        <w:t xml:space="preserve"> </w:t>
      </w:r>
      <w:r>
        <w:t xml:space="preserve">“</w:t>
      </w:r>
      <w:r>
        <w:t xml:space="preserve">at-risk</w:t>
      </w:r>
      <w:r>
        <w:t xml:space="preserve">”</w:t>
      </w:r>
      <w:r>
        <w:t xml:space="preserve"> </w:t>
      </w:r>
      <w:r>
        <w:t xml:space="preserve">category the MIB explicitly sought to pre-empt. The Cabinet has already agreed in principle to an</w:t>
      </w:r>
      <w:r>
        <w:t xml:space="preserve"> </w:t>
      </w:r>
      <w:r>
        <w:rPr>
          <w:bCs/>
          <w:b/>
        </w:rPr>
        <w:t xml:space="preserve">“</w:t>
      </w:r>
      <w:r>
        <w:rPr>
          <w:bCs/>
          <w:b/>
        </w:rPr>
        <w:t xml:space="preserve">easy path</w:t>
      </w:r>
      <w:r>
        <w:rPr>
          <w:bCs/>
          <w:b/>
        </w:rPr>
        <w:t xml:space="preserve">”</w:t>
      </w:r>
      <w:r>
        <w:rPr>
          <w:bCs/>
          <w:b/>
        </w:rPr>
        <w:t xml:space="preserve"> </w:t>
      </w:r>
      <w:r>
        <w:rPr>
          <w:bCs/>
          <w:b/>
        </w:rPr>
        <w:t xml:space="preserve">for Indian youth into TVET (2024)</w:t>
      </w:r>
      <w:r>
        <w:t xml:space="preserve">, and discussions with GLCs such as Petronas on Indian employment have begun — but access without structure dissipates: there is no dedicated pipeline, no retention tracking, no mentorship. Phase 2 builds that structure, launching a</w:t>
      </w:r>
      <w:r>
        <w:t xml:space="preserve"> </w:t>
      </w:r>
      <w:r>
        <w:rPr>
          <w:bCs/>
          <w:b/>
        </w:rPr>
        <w:t xml:space="preserve">National Indian Youth TVET &amp; STEM Offensive</w:t>
      </w:r>
      <w:r>
        <w:t xml:space="preserve"> </w:t>
      </w:r>
      <w:r>
        <w:t xml:space="preserve">built on three mechanisms. First,</w:t>
      </w:r>
      <w:r>
        <w:t xml:space="preserve"> </w:t>
      </w:r>
      <w:r>
        <w:rPr>
          <w:bCs/>
          <w:b/>
        </w:rPr>
        <w:t xml:space="preserve">paid apprenticeships with industry partners</w:t>
      </w:r>
      <w:r>
        <w:t xml:space="preserve"> </w:t>
      </w:r>
      <w:r>
        <w:t xml:space="preserve">— negotiated by the Task Force with GLCs and major private employers — guaranteeing wages during training so youth need not choose between upskilling and feeding their families. Second,</w:t>
      </w:r>
      <w:r>
        <w:t xml:space="preserve"> </w:t>
      </w:r>
      <w:r>
        <w:rPr>
          <w:bCs/>
          <w:b/>
        </w:rPr>
        <w:t xml:space="preserve">retention tracking</w:t>
      </w:r>
      <w:r>
        <w:t xml:space="preserve">, following every enrolee from intake through certification and twelve months of employment. Third,</w:t>
      </w:r>
      <w:r>
        <w:t xml:space="preserve"> </w:t>
      </w:r>
      <w:r>
        <w:rPr>
          <w:bCs/>
          <w:b/>
        </w:rPr>
        <w:t xml:space="preserve">structured mentorship</w:t>
      </w:r>
      <w:r>
        <w:t xml:space="preserve"> </w:t>
      </w:r>
      <w:r>
        <w:t xml:space="preserve">pairing trainees with established Indian professionals.</w:t>
      </w:r>
    </w:p>
    <w:p>
      <w:pPr>
        <w:pStyle w:val="BodyText"/>
      </w:pPr>
      <w:r>
        <w:rPr>
          <w:bCs/>
          <w:b/>
        </w:rPr>
        <w:t xml:space="preserve">Proposed plan targets (KPIs):</w:t>
      </w:r>
    </w:p>
    <w:p>
      <w:pPr>
        <w:numPr>
          <w:ilvl w:val="0"/>
          <w:numId w:val="1008"/>
        </w:numPr>
        <w:pStyle w:val="Compact"/>
      </w:pPr>
      <w:r>
        <w:rPr>
          <w:bCs/>
          <w:b/>
        </w:rPr>
        <w:t xml:space="preserve">15,000 Indian youth enrolled in certified TVET/STEM programmes by end-Year 4</w:t>
      </w:r>
      <w:r>
        <w:t xml:space="preserve">, prioritising SPM leavers not proceeding to tertiary education.</w:t>
      </w:r>
    </w:p>
    <w:p>
      <w:pPr>
        <w:numPr>
          <w:ilvl w:val="0"/>
          <w:numId w:val="1008"/>
        </w:numPr>
        <w:pStyle w:val="Compact"/>
      </w:pPr>
      <w:r>
        <w:rPr>
          <w:bCs/>
          <w:b/>
        </w:rPr>
        <w:t xml:space="preserve">Completion rate of at least 85%</w:t>
      </w:r>
      <w:r>
        <w:t xml:space="preserve">, enforced through retention tracking and stipends.</w:t>
      </w:r>
    </w:p>
    <w:p>
      <w:pPr>
        <w:numPr>
          <w:ilvl w:val="0"/>
          <w:numId w:val="1008"/>
        </w:numPr>
        <w:pStyle w:val="Compact"/>
      </w:pPr>
      <w:r>
        <w:rPr>
          <w:bCs/>
          <w:b/>
        </w:rPr>
        <w:t xml:space="preserve">At least 70% of graduates employed above the IB40 mean of RM2,672/month within twelve months of certification.</w:t>
      </w:r>
    </w:p>
    <w:p>
      <w:pPr>
        <w:numPr>
          <w:ilvl w:val="0"/>
          <w:numId w:val="1008"/>
        </w:numPr>
        <w:pStyle w:val="Compact"/>
      </w:pPr>
      <w:r>
        <w:rPr>
          <w:bCs/>
          <w:b/>
        </w:rPr>
        <w:t xml:space="preserve">2,000 industry apprenticeship placements</w:t>
      </w:r>
      <w:r>
        <w:t xml:space="preserve"> </w:t>
      </w:r>
      <w:r>
        <w:t xml:space="preserve">signed with GLC and private-sector partners by end-Year 3.</w:t>
      </w:r>
    </w:p>
    <w:bookmarkEnd w:id="68"/>
    <w:bookmarkEnd w:id="69"/>
    <w:bookmarkStart w:id="71" w:name="economic-gateway-chambers-megaprojects"/>
    <w:p>
      <w:pPr>
        <w:pStyle w:val="Heading3"/>
      </w:pPr>
      <w:r>
        <w:t xml:space="preserve">5.4 Economic Gateway: Chambers &amp; Megaprojects</w:t>
      </w:r>
    </w:p>
    <w:bookmarkStart w:id="70" w:name="Xf1fc884b037a1612874cf11b7e0a3ee77498342"/>
    <w:p>
      <w:pPr>
        <w:pStyle w:val="Heading4"/>
      </w:pPr>
      <w:r>
        <w:t xml:space="preserve">5.4.1 Integrate Indian chambers of commerce (MAICCI, KLSICCI) and SME vendors into national megaprojects: vendor quotas, procurement set-asides, capacity-building consortia</w:t>
      </w:r>
    </w:p>
    <w:p>
      <w:pPr>
        <w:pStyle w:val="FirstParagraph"/>
      </w:pPr>
      <w:r>
        <w:t xml:space="preserve">Micro-credit — Phase 1’s instrument — sustains micro-businesses; it does not build contractors. The MIB’s third pillar,</w:t>
      </w:r>
      <w:r>
        <w:t xml:space="preserve"> </w:t>
      </w:r>
      <w:r>
        <w:rPr>
          <w:bCs/>
          <w:b/>
        </w:rPr>
        <w:t xml:space="preserve">“</w:t>
      </w:r>
      <w:r>
        <w:rPr>
          <w:bCs/>
          <w:b/>
        </w:rPr>
        <w:t xml:space="preserve">Improving Livelihoods and Wealth</w:t>
      </w:r>
      <w:r>
        <w:rPr>
          <w:bCs/>
          <w:b/>
        </w:rPr>
        <w:t xml:space="preserve">”</w:t>
      </w:r>
      <w:r>
        <w:t xml:space="preserve"> </w:t>
      </w:r>
      <w:r>
        <w:t xml:space="preserve">(MIB, 2017), requires Indian enterprises to enter the national procurement mainstream. Today, despite the entrepreneur financing available through TEKUN and BRIEF-i,</w:t>
      </w:r>
      <w:r>
        <w:t xml:space="preserve"> </w:t>
      </w:r>
      <w:r>
        <w:rPr>
          <w:bCs/>
          <w:b/>
        </w:rPr>
        <w:t xml:space="preserve">no vendor quota, set-aside, or certified register connects Indian SMEs to federally funded megaprojects</w:t>
      </w:r>
      <w:r>
        <w:t xml:space="preserve"> </w:t>
      </w:r>
      <w:r>
        <w:t xml:space="preserve">— this framework is genuinely new. Phase 2 creates the</w:t>
      </w:r>
      <w:r>
        <w:t xml:space="preserve"> </w:t>
      </w:r>
      <w:r>
        <w:rPr>
          <w:bCs/>
          <w:b/>
        </w:rPr>
        <w:t xml:space="preserve">Indian Vendor Integration Framework</w:t>
      </w:r>
      <w:r>
        <w:t xml:space="preserve">, operationalised through the established chambers</w:t>
      </w:r>
      <w:r>
        <w:t xml:space="preserve"> </w:t>
      </w:r>
      <w:r>
        <w:rPr>
          <w:bCs/>
          <w:b/>
        </w:rPr>
        <w:t xml:space="preserve">MAICCI</w:t>
      </w:r>
      <w:r>
        <w:t xml:space="preserve"> </w:t>
      </w:r>
      <w:r>
        <w:t xml:space="preserve">and</w:t>
      </w:r>
      <w:r>
        <w:t xml:space="preserve"> </w:t>
      </w:r>
      <w:r>
        <w:rPr>
          <w:bCs/>
          <w:b/>
        </w:rPr>
        <w:t xml:space="preserve">KLSICCI</w:t>
      </w:r>
      <w:r>
        <w:t xml:space="preserve">, which will maintain certified vendor registers and aggregate SMEs into bidding consortia capable of megaproject scale. The Task Force will negotiate</w:t>
      </w:r>
      <w:r>
        <w:t xml:space="preserve"> </w:t>
      </w:r>
      <w:r>
        <w:rPr>
          <w:bCs/>
          <w:b/>
        </w:rPr>
        <w:t xml:space="preserve">procurement set-asides and vendor participation quotas</w:t>
      </w:r>
      <w:r>
        <w:t xml:space="preserve"> </w:t>
      </w:r>
      <w:r>
        <w:t xml:space="preserve">on federally funded megaprojects, paired with</w:t>
      </w:r>
      <w:r>
        <w:t xml:space="preserve"> </w:t>
      </w:r>
      <w:r>
        <w:rPr>
          <w:bCs/>
          <w:b/>
        </w:rPr>
        <w:t xml:space="preserve">capacity-building consortia</w:t>
      </w:r>
      <w:r>
        <w:t xml:space="preserve"> </w:t>
      </w:r>
      <w:r>
        <w:t xml:space="preserve">for bid preparation, financing, and compliance support, so quotas translate into awarded contracts.</w:t>
      </w:r>
    </w:p>
    <w:p>
      <w:pPr>
        <w:pStyle w:val="BodyText"/>
      </w:pPr>
      <w:r>
        <w:rPr>
          <w:bCs/>
          <w:b/>
        </w:rPr>
        <w:t xml:space="preserve">Proposed plan targets (KPIs):</w:t>
      </w:r>
    </w:p>
    <w:p>
      <w:pPr>
        <w:numPr>
          <w:ilvl w:val="0"/>
          <w:numId w:val="1009"/>
        </w:numPr>
        <w:pStyle w:val="Compact"/>
      </w:pPr>
      <w:r>
        <w:rPr>
          <w:bCs/>
          <w:b/>
        </w:rPr>
        <w:t xml:space="preserve">A certified register of at least 500 Indian SME vendors</w:t>
      </w:r>
      <w:r>
        <w:t xml:space="preserve"> </w:t>
      </w:r>
      <w:r>
        <w:t xml:space="preserve">qualified for government procurement by end-Year 3, maintained by MAICCI and KLSICCI.</w:t>
      </w:r>
    </w:p>
    <w:p>
      <w:pPr>
        <w:numPr>
          <w:ilvl w:val="0"/>
          <w:numId w:val="1009"/>
        </w:numPr>
        <w:pStyle w:val="Compact"/>
      </w:pPr>
      <w:r>
        <w:rPr>
          <w:bCs/>
          <w:b/>
        </w:rPr>
        <w:t xml:space="preserve">A minimum 2% vendor participation share for Indian-registered SMEs in designated federal megaproject packages by end-Year 4.</w:t>
      </w:r>
    </w:p>
    <w:p>
      <w:pPr>
        <w:numPr>
          <w:ilvl w:val="0"/>
          <w:numId w:val="1009"/>
        </w:numPr>
        <w:pStyle w:val="Compact"/>
      </w:pPr>
      <w:r>
        <w:rPr>
          <w:bCs/>
          <w:b/>
        </w:rPr>
        <w:t xml:space="preserve">RM100 million in cumulative contract value awarded to Indian SME vendors by end-Year 4</w:t>
      </w:r>
      <w:r>
        <w:t xml:space="preserve"> </w:t>
      </w:r>
      <w:r>
        <w:t xml:space="preserve">— benchmarked to one year of the MITRA budget (RM100m/yr, raised to RM150m in May 2026 — Bernama, 2026), demonstrating that procurement leverage exceeds grant dependence.</w:t>
      </w:r>
    </w:p>
    <w:p>
      <w:pPr>
        <w:numPr>
          <w:ilvl w:val="0"/>
          <w:numId w:val="1009"/>
        </w:numPr>
        <w:pStyle w:val="Compact"/>
      </w:pPr>
      <w:r>
        <w:rPr>
          <w:bCs/>
          <w:b/>
        </w:rPr>
        <w:t xml:space="preserve">At least 10 bidding consortia formed</w:t>
      </w:r>
      <w:r>
        <w:t xml:space="preserve">, each winning at least one contract.</w:t>
      </w:r>
    </w:p>
    <w:bookmarkEnd w:id="70"/>
    <w:bookmarkEnd w:id="71"/>
    <w:bookmarkStart w:id="73" w:name="housing-reform-for-the-urban-poor"/>
    <w:p>
      <w:pPr>
        <w:pStyle w:val="Heading3"/>
      </w:pPr>
      <w:r>
        <w:t xml:space="preserve">5.5 Housing Reform for the Urban Poor</w:t>
      </w:r>
    </w:p>
    <w:bookmarkStart w:id="72" w:name="Xfc40d61b5b90ce60a9461953f5bd27d744236ed"/>
    <w:p>
      <w:pPr>
        <w:pStyle w:val="Heading4"/>
      </w:pPr>
      <w:r>
        <w:t xml:space="preserve">5.5.1 Housing policy reforms for urban-poor Indians historically displaced from plantation estates: affordable-housing allocation criteria, estate-displacement legacy review, rent-to-own schemes</w:t>
      </w:r>
    </w:p>
    <w:p>
      <w:pPr>
        <w:pStyle w:val="FirstParagraph"/>
      </w:pPr>
      <w:r>
        <w:t xml:space="preserve">The MIB framed today’s IB40 as the product of history: estate workers displaced from plantation land into urban fringes without assets, tenure, or transition support (MIB, 2017). Housing is where that displacement remains most visible — urban-poor families paying rent that builds no equity. The current government has shown the problem is soluble:</w:t>
      </w:r>
      <w:r>
        <w:t xml:space="preserve"> </w:t>
      </w:r>
      <w:r>
        <w:rPr>
          <w:bCs/>
          <w:b/>
        </w:rPr>
        <w:t xml:space="preserve">PRR Harmoni Madani Bestari Jaya (February 2025) resolved a 27-year-old estate workers’ housing case</w:t>
      </w:r>
      <w:r>
        <w:t xml:space="preserve"> </w:t>
      </w:r>
      <w:r>
        <w:t xml:space="preserve">with subsidised units at RM45,000, and the SJKP housing-credit guarantee was raised from RM0.2 billion to</w:t>
      </w:r>
      <w:r>
        <w:t xml:space="preserve"> </w:t>
      </w:r>
      <w:r>
        <w:rPr>
          <w:bCs/>
          <w:b/>
        </w:rPr>
        <w:t xml:space="preserve">RM1.9 billion</w:t>
      </w:r>
      <w:r>
        <w:t xml:space="preserve"> </w:t>
      </w:r>
      <w:r>
        <w:t xml:space="preserve">in Budget 2026. But Bestari Jaya remains a pilot, not a policy. Phase 2 scales that precedent nationally through three reforms under a</w:t>
      </w:r>
      <w:r>
        <w:t xml:space="preserve"> </w:t>
      </w:r>
      <w:r>
        <w:rPr>
          <w:bCs/>
          <w:b/>
        </w:rPr>
        <w:t xml:space="preserve">Plantation-to-Urban Housing Justice Programme</w:t>
      </w:r>
      <w:r>
        <w:t xml:space="preserve">. First,</w:t>
      </w:r>
      <w:r>
        <w:t xml:space="preserve"> </w:t>
      </w:r>
      <w:r>
        <w:rPr>
          <w:bCs/>
          <w:b/>
        </w:rPr>
        <w:t xml:space="preserve">affordable-housing allocation criteria</w:t>
      </w:r>
      <w:r>
        <w:t xml:space="preserve"> </w:t>
      </w:r>
      <w:r>
        <w:t xml:space="preserve">revised to recognise estate-displacement lineage and income against the RM2,672 IB40 mean, so IB40 families are not crowded out of national programmes. Second, an</w:t>
      </w:r>
      <w:r>
        <w:t xml:space="preserve"> </w:t>
      </w:r>
      <w:r>
        <w:rPr>
          <w:bCs/>
          <w:b/>
        </w:rPr>
        <w:t xml:space="preserve">Estate-Displacement Legacy Review</w:t>
      </w:r>
      <w:r>
        <w:t xml:space="preserve">, commissioned by the Task Force, mapping displaced communities and outstanding land and compensation grievances into an actionable administrative file. Third,</w:t>
      </w:r>
      <w:r>
        <w:t xml:space="preserve"> </w:t>
      </w:r>
      <w:r>
        <w:rPr>
          <w:bCs/>
          <w:b/>
        </w:rPr>
        <w:t xml:space="preserve">rent-to-own schemes</w:t>
      </w:r>
      <w:r>
        <w:t xml:space="preserve"> </w:t>
      </w:r>
      <w:r>
        <w:t xml:space="preserve">with state housing agencies, converting rental streams into ownership.</w:t>
      </w:r>
    </w:p>
    <w:p>
      <w:pPr>
        <w:pStyle w:val="BodyText"/>
      </w:pPr>
      <w:r>
        <w:rPr>
          <w:bCs/>
          <w:b/>
        </w:rPr>
        <w:t xml:space="preserve">Proposed plan targets (KPIs):</w:t>
      </w:r>
    </w:p>
    <w:p>
      <w:pPr>
        <w:numPr>
          <w:ilvl w:val="0"/>
          <w:numId w:val="1010"/>
        </w:numPr>
        <w:pStyle w:val="Compact"/>
      </w:pPr>
      <w:r>
        <w:rPr>
          <w:bCs/>
          <w:b/>
        </w:rPr>
        <w:t xml:space="preserve">Estate-Displacement Legacy Review tabled to the Task Force by end-Year 3</w:t>
      </w:r>
      <w:r>
        <w:t xml:space="preserve">, with a remediation schedule approved by mid-Year 4.</w:t>
      </w:r>
    </w:p>
    <w:p>
      <w:pPr>
        <w:numPr>
          <w:ilvl w:val="0"/>
          <w:numId w:val="1010"/>
        </w:numPr>
        <w:pStyle w:val="Compact"/>
      </w:pPr>
      <w:r>
        <w:rPr>
          <w:bCs/>
          <w:b/>
        </w:rPr>
        <w:t xml:space="preserve">5,000 IB40 households placed into affordable housing or rent-to-own schemes by end-Year 4.</w:t>
      </w:r>
    </w:p>
    <w:p>
      <w:pPr>
        <w:numPr>
          <w:ilvl w:val="0"/>
          <w:numId w:val="1010"/>
        </w:numPr>
        <w:pStyle w:val="Compact"/>
      </w:pPr>
      <w:r>
        <w:rPr>
          <w:bCs/>
          <w:b/>
        </w:rPr>
        <w:t xml:space="preserve">Revised allocation criteria adopted in the four states with the largest urban IB40 populations by end-Year 4.</w:t>
      </w:r>
    </w:p>
    <w:p>
      <w:pPr>
        <w:pStyle w:val="FirstParagraph"/>
      </w:pPr>
      <w:r>
        <w:t xml:space="preserve">Phase 2 thus institutionalises what Phase 1 ignited: a preschool-to-TVET pipeline protecting the young, a procurement gateway growing enterprises, and a housing floor anchoring families. These structures form the platform for Phase 3 (Years 5–6): proportionate equity ownership, eradication of extreme IB40 poverty, and a critical mass of high-income Indian professionals permanently integrated into the national mainstream.</w:t>
      </w:r>
    </w:p>
    <w:bookmarkEnd w:id="72"/>
    <w:bookmarkEnd w:id="73"/>
    <w:bookmarkEnd w:id="74"/>
    <w:bookmarkStart w:id="83" w:name="X31d25e2e4124de6dfa0db3026f02e0107d3b8c4"/>
    <w:p>
      <w:pPr>
        <w:pStyle w:val="Heading2"/>
      </w:pPr>
      <w:r>
        <w:t xml:space="preserve">6. Phase 3 — Holistic Solutions &amp; Systemic Transformation (Years 5–6)</w:t>
      </w:r>
    </w:p>
    <w:bookmarkStart w:id="76" w:name="X9061e0e6c74357a9747911b961f1eb7477c72fb"/>
    <w:p>
      <w:pPr>
        <w:pStyle w:val="Heading3"/>
      </w:pPr>
      <w:r>
        <w:t xml:space="preserve">6.1 Objective: Permanent Answers to Historical Problems</w:t>
      </w:r>
    </w:p>
    <w:p>
      <w:pPr>
        <w:pStyle w:val="FirstParagraph"/>
      </w:pPr>
      <w:r>
        <w:t xml:space="preserve">Phase 3 converts the momentum of Phases 1 and 2 into</w:t>
      </w:r>
      <w:r>
        <w:t xml:space="preserve"> </w:t>
      </w:r>
      <w:r>
        <w:rPr>
          <w:bCs/>
          <w:b/>
        </w:rPr>
        <w:t xml:space="preserve">structural permanence</w:t>
      </w:r>
      <w:r>
        <w:t xml:space="preserve">. The first two phases stabilise the foundation — documentation resolved, preschool enrolment universalised, TVET and STEM pipelines flowing, chambers plugged into megaproject supply chains, and housing insecurity addressed. Phase 3 asks the harder question: what must be true by Year 6 so that no future government needs another blueprint? The answer is three systemic transformations:</w:t>
      </w:r>
      <w:r>
        <w:t xml:space="preserve"> </w:t>
      </w:r>
      <w:r>
        <w:rPr>
          <w:bCs/>
          <w:b/>
        </w:rPr>
        <w:t xml:space="preserve">proportionate corporate equity ownership</w:t>
      </w:r>
      <w:r>
        <w:t xml:space="preserve">,</w:t>
      </w:r>
      <w:r>
        <w:t xml:space="preserve"> </w:t>
      </w:r>
      <w:r>
        <w:rPr>
          <w:bCs/>
          <w:b/>
        </w:rPr>
        <w:t xml:space="preserve">total eradication of extreme urban poverty within the IB40</w:t>
      </w:r>
      <w:r>
        <w:t xml:space="preserve">, and</w:t>
      </w:r>
      <w:r>
        <w:t xml:space="preserve"> </w:t>
      </w:r>
      <w:r>
        <w:rPr>
          <w:bCs/>
          <w:b/>
        </w:rPr>
        <w:t xml:space="preserve">a critical mass of high-income professionals</w:t>
      </w:r>
      <w:r>
        <w:t xml:space="preserve"> </w:t>
      </w:r>
      <w:r>
        <w:t xml:space="preserve">anchoring total inclusion in the national mainstream.</w:t>
      </w:r>
    </w:p>
    <w:p>
      <w:pPr>
        <w:pStyle w:val="BodyText"/>
      </w:pPr>
      <w:r>
        <w:t xml:space="preserve">These are not new aspirations. They are the completion of the Malaysian Indian Blueprint’s own Pillar 3 (Improving Livelihoods and Wealth) and Pillar 4 (Increasing Social Inclusion) (MIB, 2017) — carried to their logical end-state with the delivery discipline of the PM-chaired Task Force.</w:t>
      </w:r>
    </w:p>
    <w:bookmarkStart w:id="75" w:name="X90c13473a8dd16bc0e8668a61409a7368c1aa44"/>
    <w:p>
      <w:pPr>
        <w:pStyle w:val="Heading4"/>
      </w:pPr>
      <w:r>
        <w:t xml:space="preserve">6.1.1 Move the community from subsidy-dependence to self-sustaining competitiveness</w:t>
      </w:r>
    </w:p>
    <w:p>
      <w:pPr>
        <w:pStyle w:val="FirstParagraph"/>
      </w:pPr>
      <w:r>
        <w:t xml:space="preserve">The strategic pivot of Phase 3 is a</w:t>
      </w:r>
      <w:r>
        <w:t xml:space="preserve"> </w:t>
      </w:r>
      <w:r>
        <w:rPr>
          <w:bCs/>
          <w:b/>
        </w:rPr>
        <w:t xml:space="preserve">graduation logic</w:t>
      </w:r>
      <w:r>
        <w:t xml:space="preserve">: every household, enterprise and student touched in Years 1–4 must exit the plan as a net contributor, not a continuing beneficiary. The documentation registry consolidated in Phase 1 becomes the master database for tracking graduation; the TVET cohorts of Phase 2 become the professional pipeline of Phase 3; the chamber-linked enterprises of Phase 2 become the equity-holding institutional investors of Phase 3. Subsidy lines should shrink as income, savings and asset lines grow — the definitive measure that transformation, not relief, has been achieved.</w:t>
      </w:r>
    </w:p>
    <w:bookmarkEnd w:id="75"/>
    <w:bookmarkEnd w:id="76"/>
    <w:bookmarkStart w:id="78" w:name="proportionate-corporate-equity"/>
    <w:p>
      <w:pPr>
        <w:pStyle w:val="Heading3"/>
      </w:pPr>
      <w:r>
        <w:t xml:space="preserve">6.2 Proportionate Corporate Equity</w:t>
      </w:r>
    </w:p>
    <w:bookmarkStart w:id="77" w:name="X518c9d437d79aec57238199d9a2467579e70279"/>
    <w:p>
      <w:pPr>
        <w:pStyle w:val="Heading4"/>
      </w:pPr>
      <w:r>
        <w:t xml:space="preserve">6.2.1 Reach proportionate corporate equity ownership: maximize PNB-linked allocations (AS1M-style units and successor funds), institutional investment vehicles for the community</w:t>
      </w:r>
    </w:p>
    <w:p>
      <w:pPr>
        <w:pStyle w:val="FirstParagraph"/>
      </w:pPr>
      <w:r>
        <w:t xml:space="preserve">The MIB precedent is instructive:</w:t>
      </w:r>
      <w:r>
        <w:t xml:space="preserve"> </w:t>
      </w:r>
      <w:r>
        <w:rPr>
          <w:bCs/>
          <w:b/>
        </w:rPr>
        <w:t xml:space="preserve">1.5 billion additional Amanah Saham 1Malaysia (AS1M) units</w:t>
      </w:r>
      <w:r>
        <w:t xml:space="preserve"> </w:t>
      </w:r>
      <w:r>
        <w:t xml:space="preserve">were allocated to the Indian community (up to 30,000 units per investor), backed by an</w:t>
      </w:r>
      <w:r>
        <w:t xml:space="preserve"> </w:t>
      </w:r>
      <w:r>
        <w:rPr>
          <w:bCs/>
          <w:b/>
        </w:rPr>
        <w:t xml:space="preserve">RM500 million, five-year interest-free loan scheme delivering RM5,000 per household to 100,000 IB40 households</w:t>
      </w:r>
      <w:r>
        <w:t xml:space="preserve"> </w:t>
      </w:r>
      <w:r>
        <w:t xml:space="preserve">(MIB, 2017). That allocation lapsed with the change of government, and</w:t>
      </w:r>
      <w:r>
        <w:t xml:space="preserve"> </w:t>
      </w:r>
      <w:r>
        <w:rPr>
          <w:bCs/>
          <w:b/>
        </w:rPr>
        <w:t xml:space="preserve">no successor fund exists today</w:t>
      </w:r>
      <w:r>
        <w:t xml:space="preserve"> </w:t>
      </w:r>
      <w:r>
        <w:t xml:space="preserve">— the one wealth pillar where the community has gone backwards since 2017. Phase 3 rebuilds this architecture into a permanent equity-accumulation system:</w:t>
      </w:r>
    </w:p>
    <w:p>
      <w:pPr>
        <w:numPr>
          <w:ilvl w:val="0"/>
          <w:numId w:val="1011"/>
        </w:numPr>
        <w:pStyle w:val="Compact"/>
      </w:pPr>
      <w:r>
        <w:rPr>
          <w:bCs/>
          <w:b/>
        </w:rPr>
        <w:t xml:space="preserve">Successor fund</w:t>
      </w:r>
      <w:r>
        <w:t xml:space="preserve">: negotiate with PNB a dedicated AS1M-style allocation or successor fund sized to lift Indian-held unit trust assets toward population proportionality within the plan horizon.</w:t>
      </w:r>
    </w:p>
    <w:p>
      <w:pPr>
        <w:numPr>
          <w:ilvl w:val="0"/>
          <w:numId w:val="1011"/>
        </w:numPr>
        <w:pStyle w:val="Compact"/>
      </w:pPr>
      <w:r>
        <w:rPr>
          <w:bCs/>
          <w:b/>
        </w:rPr>
        <w:t xml:space="preserve">Institutional investment vehicles</w:t>
      </w:r>
      <w:r>
        <w:t xml:space="preserve">: establish community investment institutions — anchored by MAICCI and KLSICCI and open to professional co-investment — to take equity positions in Phase 2 megaproject supply-chain contracts, converting contract participation into shareholding.</w:t>
      </w:r>
    </w:p>
    <w:p>
      <w:pPr>
        <w:numPr>
          <w:ilvl w:val="0"/>
          <w:numId w:val="1011"/>
        </w:numPr>
        <w:pStyle w:val="Compact"/>
      </w:pPr>
      <w:r>
        <w:rPr>
          <w:bCs/>
          <w:b/>
        </w:rPr>
        <w:t xml:space="preserve">Savings culture floor</w:t>
      </w:r>
      <w:r>
        <w:t xml:space="preserve">: revive and enforce the MIB savings target of</w:t>
      </w:r>
      <w:r>
        <w:t xml:space="preserve"> </w:t>
      </w:r>
      <w:r>
        <w:rPr>
          <w:bCs/>
          <w:b/>
        </w:rPr>
        <w:t xml:space="preserve">≥50% of registered poor households showing increased savings</w:t>
      </w:r>
      <w:r>
        <w:t xml:space="preserve"> </w:t>
      </w:r>
      <w:r>
        <w:t xml:space="preserve">(MIB, 2017), with matched-savings incentives routed through the Phase 1 registry.</w:t>
      </w:r>
    </w:p>
    <w:p>
      <w:pPr>
        <w:pStyle w:val="FirstParagraph"/>
      </w:pPr>
      <w:r>
        <w:t xml:space="preserve">The objective is not token shareholding but</w:t>
      </w:r>
      <w:r>
        <w:t xml:space="preserve"> </w:t>
      </w:r>
      <w:r>
        <w:rPr>
          <w:bCs/>
          <w:b/>
        </w:rPr>
        <w:t xml:space="preserve">proportionate ownership with governance participation</w:t>
      </w:r>
      <w:r>
        <w:t xml:space="preserve"> </w:t>
      </w:r>
      <w:r>
        <w:t xml:space="preserve">— board seats, fund management roles, and institutional voice.</w:t>
      </w:r>
    </w:p>
    <w:bookmarkEnd w:id="77"/>
    <w:bookmarkEnd w:id="78"/>
    <w:bookmarkStart w:id="80" w:name="eradicating-extreme-urban-poverty"/>
    <w:p>
      <w:pPr>
        <w:pStyle w:val="Heading3"/>
      </w:pPr>
      <w:r>
        <w:t xml:space="preserve">6.3 Eradicating Extreme Urban Poverty</w:t>
      </w:r>
    </w:p>
    <w:bookmarkStart w:id="79" w:name="Xa6f5ed27a3b483bff9af8d0ecd8228b88062e0c"/>
    <w:p>
      <w:pPr>
        <w:pStyle w:val="Heading4"/>
      </w:pPr>
      <w:r>
        <w:t xml:space="preserve">6.3.1 Total eradication of extreme urban poverty within the IB40: consolidated registry, graduation-model programs, income-floor guarantees</w:t>
      </w:r>
    </w:p>
    <w:p>
      <w:pPr>
        <w:pStyle w:val="FirstParagraph"/>
      </w:pPr>
      <w:r>
        <w:t xml:space="preserve">The IB40 baseline is stark: approximately</w:t>
      </w:r>
      <w:r>
        <w:t xml:space="preserve"> </w:t>
      </w:r>
      <w:r>
        <w:rPr>
          <w:bCs/>
          <w:b/>
        </w:rPr>
        <w:t xml:space="preserve">227,600 households — 39% of all Indian households — with a mean income of RM2,672 per month</w:t>
      </w:r>
      <w:r>
        <w:t xml:space="preserve"> </w:t>
      </w:r>
      <w:r>
        <w:t xml:space="preserve">against a median Indian household income of RM4,627 (HIS 2014). Decades of estate-to-urban displacement parked much of this poverty in urban peripheries. This government’s universal programmes — the claimed eradication of hardcore poverty in five states, SARA and STR cash assistance — have relieved Indian households among others, and deserve credit. But relief is not graduation:</w:t>
      </w:r>
      <w:r>
        <w:t xml:space="preserve"> </w:t>
      </w:r>
      <w:r>
        <w:rPr>
          <w:bCs/>
          <w:b/>
        </w:rPr>
        <w:t xml:space="preserve">no Indian-specific registry, case-management, or graduation model exists</w:t>
      </w:r>
      <w:r>
        <w:t xml:space="preserve">, so households cycle in and out of assistance without crossing out of poverty permanently. Phase 3 sets the boldest target in this plan:</w:t>
      </w:r>
      <w:r>
        <w:t xml:space="preserve"> </w:t>
      </w:r>
      <w:r>
        <w:rPr>
          <w:bCs/>
          <w:b/>
        </w:rPr>
        <w:t xml:space="preserve">zero IB40 households in extreme urban poverty by end of Year 6</w:t>
      </w:r>
      <w:r>
        <w:t xml:space="preserve">.</w:t>
      </w:r>
    </w:p>
    <w:p>
      <w:pPr>
        <w:pStyle w:val="BodyText"/>
      </w:pPr>
      <w:r>
        <w:t xml:space="preserve">Delivery rests on three mechanisms:</w:t>
      </w:r>
    </w:p>
    <w:p>
      <w:pPr>
        <w:numPr>
          <w:ilvl w:val="0"/>
          <w:numId w:val="1012"/>
        </w:numPr>
        <w:pStyle w:val="Compact"/>
      </w:pPr>
      <w:r>
        <w:rPr>
          <w:bCs/>
          <w:b/>
        </w:rPr>
        <w:t xml:space="preserve">Consolidated registry</w:t>
      </w:r>
      <w:r>
        <w:t xml:space="preserve">: the Phase 1 documentation database matures into a single IB40 registry — every household named, located, income-assessed, and case-managed. Poverty that is not named cannot be eradicated.</w:t>
      </w:r>
    </w:p>
    <w:p>
      <w:pPr>
        <w:numPr>
          <w:ilvl w:val="0"/>
          <w:numId w:val="1012"/>
        </w:numPr>
        <w:pStyle w:val="Compact"/>
      </w:pPr>
      <w:r>
        <w:rPr>
          <w:bCs/>
          <w:b/>
        </w:rPr>
        <w:t xml:space="preserve">Graduation-model programmes</w:t>
      </w:r>
      <w:r>
        <w:t xml:space="preserve">: sequenced packages — consumption support, skills placement from Phase 2 TVET cohorts, micro-asset transfer, and savings matching — that move each household across defined income thresholds, with graduation certified by the Task Force dashboard.</w:t>
      </w:r>
    </w:p>
    <w:p>
      <w:pPr>
        <w:numPr>
          <w:ilvl w:val="0"/>
          <w:numId w:val="1012"/>
        </w:numPr>
        <w:pStyle w:val="Compact"/>
      </w:pPr>
      <w:r>
        <w:rPr>
          <w:bCs/>
          <w:b/>
        </w:rPr>
        <w:t xml:space="preserve">Income-floor guarantees</w:t>
      </w:r>
      <w:r>
        <w:t xml:space="preserve">: for households unable to work (elderly, disabled, single-headed), a guaranteed income floor so that no registered household falls below the extreme-poverty line while able-bodied members are graduated into employment.</w:t>
      </w:r>
    </w:p>
    <w:p>
      <w:pPr>
        <w:pStyle w:val="FirstParagraph"/>
      </w:pPr>
      <w:r>
        <w:t xml:space="preserve">This is an administrative problem with a known denominator — 227,600 households at the MIB baseline — and therefore a solvable one.</w:t>
      </w:r>
    </w:p>
    <w:bookmarkEnd w:id="79"/>
    <w:bookmarkEnd w:id="80"/>
    <w:bookmarkStart w:id="82" w:name="X28b2faeee77515b1a05b67d97c793c6b08b9aee"/>
    <w:p>
      <w:pPr>
        <w:pStyle w:val="Heading3"/>
      </w:pPr>
      <w:r>
        <w:t xml:space="preserve">6.4 A Critical Mass of High-Income Professionals</w:t>
      </w:r>
    </w:p>
    <w:bookmarkStart w:id="81" w:name="Xc428ea136237bdb410395729382d11e919ec268"/>
    <w:p>
      <w:pPr>
        <w:pStyle w:val="Heading4"/>
      </w:pPr>
      <w:r>
        <w:t xml:space="preserve">6.4.1 Produce a critical mass of high-income professionals and ensure total social and economic inclusion into the mainstream national agenda — the community fully integrated into Malaysia’s advanced economic future</w:t>
      </w:r>
    </w:p>
    <w:p>
      <w:pPr>
        <w:pStyle w:val="FirstParagraph"/>
      </w:pPr>
      <w:r>
        <w:t xml:space="preserve">Wealth without professionals is fragile; professionals without wealth are isolated. Phase 3 completes the human-capital arc begun with Phase 1 preschool enrolment and Phase 2 TVET/STEM expansion by targeting a</w:t>
      </w:r>
      <w:r>
        <w:t xml:space="preserve"> </w:t>
      </w:r>
      <w:r>
        <w:rPr>
          <w:bCs/>
          <w:b/>
        </w:rPr>
        <w:t xml:space="preserve">critical mass of high-income professionals</w:t>
      </w:r>
      <w:r>
        <w:t xml:space="preserve"> </w:t>
      </w:r>
      <w:r>
        <w:t xml:space="preserve">across medicine, law, engineering, data science, academia and senior corporate leadership. Key instruments:</w:t>
      </w:r>
    </w:p>
    <w:p>
      <w:pPr>
        <w:numPr>
          <w:ilvl w:val="0"/>
          <w:numId w:val="1013"/>
        </w:numPr>
        <w:pStyle w:val="Compact"/>
      </w:pPr>
      <w:r>
        <w:rPr>
          <w:bCs/>
          <w:b/>
        </w:rPr>
        <w:t xml:space="preserve">Pipeline continuity</w:t>
      </w:r>
      <w:r>
        <w:t xml:space="preserve">: track every Phase 2 STEM and TVET graduate into high-income trajectories, with scholarships and professional mentoring for the top cohort.</w:t>
      </w:r>
    </w:p>
    <w:p>
      <w:pPr>
        <w:numPr>
          <w:ilvl w:val="0"/>
          <w:numId w:val="1013"/>
        </w:numPr>
        <w:pStyle w:val="Compact"/>
      </w:pPr>
      <w:r>
        <w:rPr>
          <w:bCs/>
          <w:b/>
        </w:rPr>
        <w:t xml:space="preserve">Civil service parity</w:t>
      </w:r>
      <w:r>
        <w:t xml:space="preserve">: close the gap between the MIB’s</w:t>
      </w:r>
      <w:r>
        <w:t xml:space="preserve"> </w:t>
      </w:r>
      <w:r>
        <w:rPr>
          <w:bCs/>
          <w:b/>
        </w:rPr>
        <w:t xml:space="preserve">7% civil service target</w:t>
      </w:r>
      <w:r>
        <w:t xml:space="preserve"> </w:t>
      </w:r>
      <w:r>
        <w:t xml:space="preserve">and the</w:t>
      </w:r>
      <w:r>
        <w:t xml:space="preserve"> </w:t>
      </w:r>
      <w:r>
        <w:rPr>
          <w:bCs/>
          <w:b/>
        </w:rPr>
        <w:t xml:space="preserve">3.7% actual share recorded in 2024</w:t>
      </w:r>
      <w:r>
        <w:t xml:space="preserve"> </w:t>
      </w:r>
      <w:r>
        <w:t xml:space="preserve">(MIB, 2017; current statistics), ensuring professional presence in the state itself.</w:t>
      </w:r>
    </w:p>
    <w:p>
      <w:pPr>
        <w:numPr>
          <w:ilvl w:val="0"/>
          <w:numId w:val="1013"/>
        </w:numPr>
        <w:pStyle w:val="Compact"/>
      </w:pPr>
      <w:r>
        <w:rPr>
          <w:bCs/>
          <w:b/>
        </w:rPr>
        <w:t xml:space="preserve">Matriculation and tertiary access</w:t>
      </w:r>
      <w:r>
        <w:t xml:space="preserve">: build on the 1,537 Indian matriculation places offered in 2025 to secure proportionate pathways into professional degrees.</w:t>
      </w:r>
    </w:p>
    <w:p>
      <w:pPr>
        <w:pStyle w:val="FirstParagraph"/>
      </w:pPr>
      <w:r>
        <w:rPr>
          <w:bCs/>
          <w:b/>
        </w:rPr>
        <w:t xml:space="preserve">The end goal of this plan, stated plainly to Yang Amat Berhormat the Prime Minister, is a self-sustaining, highly competitive Malaysian Indian community — fully integrated into Malaysia’s advanced economic future, owning proportionate equity, free of extreme poverty, and represented at every level of the professions and the state.</w:t>
      </w:r>
      <w:r>
        <w:t xml:space="preserve"> </w:t>
      </w:r>
      <w:r>
        <w:t xml:space="preserve">Phase 3 delivers that end-state; Chapter 7 sets out the KPI scorecard by which the Task Force will be held to account for it.</w:t>
      </w:r>
    </w:p>
    <w:bookmarkEnd w:id="81"/>
    <w:bookmarkEnd w:id="82"/>
    <w:bookmarkEnd w:id="83"/>
    <w:bookmarkStart w:id="88" w:name="kpi-framework-and-six-year-scorecard"/>
    <w:p>
      <w:pPr>
        <w:pStyle w:val="Heading2"/>
      </w:pPr>
      <w:r>
        <w:t xml:space="preserve">7. KPI Framework and Six-Year Scorecard</w:t>
      </w:r>
    </w:p>
    <w:p>
      <w:pPr>
        <w:pStyle w:val="FirstParagraph"/>
      </w:pPr>
      <w:r>
        <w:t xml:space="preserve">A plan without a single, published scorecard degenerates into a portfolio of press releases. This chapter consolidates every proposed KPI from Phases 1–3 into one master table, each row anchored to a verified baseline — 3.7% civil service share in 2024, the lapsed ~25,000-case documentation target, 1,537 matriculation offers in 2025, 528 SJKTs, 227,600 IB40 households, and the 1.5 billion AS1M units precedent (MIB, 2017) — and, where the current government is already delivering, the baselines record that momentum too: RM300 million in entrepreneur financing (2025), RM220 million in Budget 2026, automatic 10A matriculation placement, and RM50 million in SJKT maintenance. The scorecard measures what this plan adds on top of what exists — and to a named lead phase accountable for delivery. Year 4 and Year 6 figures not yet committed in the phase chapters are this plan’s own proposed targets, calibrated to keep each trajectory on its MIB-consistent path.</w:t>
      </w:r>
    </w:p>
    <w:bookmarkStart w:id="85" w:name="consolidated-kpi-table"/>
    <w:p>
      <w:pPr>
        <w:pStyle w:val="Heading3"/>
      </w:pPr>
      <w:r>
        <w:t xml:space="preserve">7.1 Consolidated KPI Table</w:t>
      </w:r>
    </w:p>
    <w:bookmarkStart w:id="84" w:name="X1cec4374f03ce2245c725f889d8e1d6a412e44b"/>
    <w:p>
      <w:pPr>
        <w:pStyle w:val="Heading4"/>
      </w:pPr>
      <w:r>
        <w:t xml:space="preserve">7.1.1 Master table: phase-by-phase KPIs with baselines, 2-year, 4-year, and 6-year targets</w:t>
      </w:r>
    </w:p>
    <w:tbl>
      <w:tblPr>
        <w:tblW w:type="pct" w:w="5000"/>
        <w:jc w:val="center"/>
        <w:tblLook w:firstRow="1" w:lastRow="0" w:firstColumn="0" w:lastColumn="0" w:noHBand="0" w:noVBand="0" w:val="0020"/>
      </w:tblPr>
      <w:tblGrid>
        <w:gridCol w:w="1320"/>
        <w:gridCol w:w="1320"/>
        <w:gridCol w:w="1320"/>
        <w:gridCol w:w="1320"/>
        <w:gridCol w:w="1320"/>
        <w:gridCol w:w="1320"/>
      </w:tblGrid>
      <w:tr>
        <w:trPr>
          <w:tblHeader w:val="true"/>
          <w:tblHeader/>
        </w:trPr>
        <w:tc>
          <w:tcPr>
            <w:shd w:val="clear" w:fill="D9D9D9"/>
          </w:tcPr>
          <w:p>
            <w:pPr>
              <w:pStyle w:val="Compact"/>
              <w:jc w:val="left"/>
            </w:pPr>
            <w:r>
              <w:rPr>
                <w:b/>
              </w:rPr>
              <w:t xml:space="preserve">KPI</w:t>
            </w:r>
          </w:p>
        </w:tc>
        <w:tc>
          <w:tcPr>
            <w:shd w:val="clear" w:fill="D9D9D9"/>
          </w:tcPr>
          <w:p>
            <w:pPr>
              <w:pStyle w:val="Compact"/>
              <w:jc w:val="left"/>
            </w:pPr>
            <w:r>
              <w:rPr>
                <w:b/>
              </w:rPr>
              <w:t xml:space="preserve">Baseline (2026)</w:t>
            </w:r>
          </w:p>
        </w:tc>
        <w:tc>
          <w:tcPr>
            <w:shd w:val="clear" w:fill="D9D9D9"/>
          </w:tcPr>
          <w:p>
            <w:pPr>
              <w:pStyle w:val="Compact"/>
              <w:jc w:val="left"/>
            </w:pPr>
            <w:r>
              <w:rPr>
                <w:b/>
              </w:rPr>
              <w:t xml:space="preserve">Year 2 Target</w:t>
            </w:r>
          </w:p>
        </w:tc>
        <w:tc>
          <w:tcPr>
            <w:shd w:val="clear" w:fill="D9D9D9"/>
          </w:tcPr>
          <w:p>
            <w:pPr>
              <w:pStyle w:val="Compact"/>
              <w:jc w:val="left"/>
            </w:pPr>
            <w:r>
              <w:rPr>
                <w:b/>
              </w:rPr>
              <w:t xml:space="preserve">Year 4 Target</w:t>
            </w:r>
          </w:p>
        </w:tc>
        <w:tc>
          <w:tcPr>
            <w:shd w:val="clear" w:fill="D9D9D9"/>
          </w:tcPr>
          <w:p>
            <w:pPr>
              <w:pStyle w:val="Compact"/>
              <w:jc w:val="left"/>
            </w:pPr>
            <w:r>
              <w:rPr>
                <w:b/>
              </w:rPr>
              <w:t xml:space="preserve">Year 6 Target</w:t>
            </w:r>
          </w:p>
        </w:tc>
        <w:tc>
          <w:tcPr>
            <w:shd w:val="clear" w:fill="D9D9D9"/>
          </w:tcPr>
          <w:p>
            <w:pPr>
              <w:pStyle w:val="Compact"/>
              <w:jc w:val="left"/>
            </w:pPr>
            <w:r>
              <w:rPr>
                <w:b/>
              </w:rPr>
              <w:t xml:space="preserve">Lead Phase</w:t>
            </w:r>
          </w:p>
        </w:tc>
      </w:tr>
      <w:tr>
        <w:tc>
          <w:tcPr/>
          <w:p>
            <w:pPr>
              <w:pStyle w:val="Compact"/>
              <w:jc w:val="left"/>
            </w:pPr>
            <w:r>
              <w:t xml:space="preserve">Documentation backlog (residual of MIB ~25,000-case target)</w:t>
            </w:r>
          </w:p>
        </w:tc>
        <w:tc>
          <w:tcPr/>
          <w:p>
            <w:pPr>
              <w:pStyle w:val="Compact"/>
              <w:jc w:val="left"/>
            </w:pPr>
            <w:r>
              <w:t xml:space="preserve">Unresolved; red-IC/stateless cases persist</w:t>
            </w:r>
          </w:p>
        </w:tc>
        <w:tc>
          <w:tcPr/>
          <w:p>
            <w:pPr>
              <w:pStyle w:val="Compact"/>
              <w:jc w:val="left"/>
            </w:pPr>
            <w:r>
              <w:rPr>
                <w:bCs/>
                <w:b/>
              </w:rPr>
              <w:t xml:space="preserve">100% of residual backlog cleared</w:t>
            </w:r>
            <w:r>
              <w:t xml:space="preserve"> </w:t>
            </w:r>
            <w:r>
              <w:t xml:space="preserve">via JPN–JPM one-stop desks</w:t>
            </w:r>
          </w:p>
        </w:tc>
        <w:tc>
          <w:tcPr/>
          <w:p>
            <w:pPr>
              <w:pStyle w:val="Compact"/>
              <w:jc w:val="left"/>
            </w:pPr>
            <w:r>
              <w:t xml:space="preserve">Zero residual backlog; live registry maintained</w:t>
            </w:r>
          </w:p>
        </w:tc>
        <w:tc>
          <w:tcPr/>
          <w:p>
            <w:pPr>
              <w:pStyle w:val="Compact"/>
              <w:jc w:val="left"/>
            </w:pPr>
            <w:r>
              <w:t xml:space="preserve">Registry integrated as IB40 master database</w:t>
            </w:r>
          </w:p>
        </w:tc>
        <w:tc>
          <w:tcPr/>
          <w:p>
            <w:pPr>
              <w:pStyle w:val="Compact"/>
              <w:jc w:val="left"/>
            </w:pPr>
            <w:r>
              <w:rPr>
                <w:bCs/>
                <w:b/>
              </w:rPr>
              <w:t xml:space="preserve">Phase 1</w:t>
            </w:r>
          </w:p>
        </w:tc>
      </w:tr>
      <w:tr>
        <w:tc>
          <w:tcPr/>
          <w:p>
            <w:pPr>
              <w:pStyle w:val="Compact"/>
              <w:jc w:val="left"/>
            </w:pPr>
            <w:r>
              <w:t xml:space="preserve">Indian share of civil service</w:t>
            </w:r>
          </w:p>
        </w:tc>
        <w:tc>
          <w:tcPr/>
          <w:p>
            <w:pPr>
              <w:pStyle w:val="Compact"/>
              <w:jc w:val="left"/>
            </w:pPr>
            <w:r>
              <w:rPr>
                <w:bCs/>
                <w:b/>
              </w:rPr>
              <w:t xml:space="preserve">3.7%</w:t>
            </w:r>
            <w:r>
              <w:t xml:space="preserve"> </w:t>
            </w:r>
            <w:r>
              <w:t xml:space="preserve">(2024) vs MIB 7% target</w:t>
            </w:r>
          </w:p>
        </w:tc>
        <w:tc>
          <w:tcPr/>
          <w:p>
            <w:pPr>
              <w:pStyle w:val="Compact"/>
              <w:jc w:val="left"/>
            </w:pPr>
            <w:r>
              <w:rPr>
                <w:bCs/>
                <w:b/>
              </w:rPr>
              <w:t xml:space="preserve">≥4.5%</w:t>
            </w:r>
            <w:r>
              <w:t xml:space="preserve">, annual published grade-disaggregated count</w:t>
            </w:r>
          </w:p>
        </w:tc>
        <w:tc>
          <w:tcPr/>
          <w:p>
            <w:pPr>
              <w:pStyle w:val="Compact"/>
              <w:jc w:val="left"/>
            </w:pPr>
            <w:r>
              <w:t xml:space="preserve">≥5.5% (proposed)</w:t>
            </w:r>
          </w:p>
        </w:tc>
        <w:tc>
          <w:tcPr/>
          <w:p>
            <w:pPr>
              <w:pStyle w:val="Compact"/>
              <w:jc w:val="left"/>
            </w:pPr>
            <w:r>
              <w:rPr>
                <w:bCs/>
                <w:b/>
              </w:rPr>
              <w:t xml:space="preserve">7.0%</w:t>
            </w:r>
            <w:r>
              <w:t xml:space="preserve"> </w:t>
            </w:r>
            <w:r>
              <w:t xml:space="preserve">— MIB target attained</w:t>
            </w:r>
          </w:p>
        </w:tc>
        <w:tc>
          <w:tcPr/>
          <w:p>
            <w:pPr>
              <w:pStyle w:val="Compact"/>
              <w:jc w:val="left"/>
            </w:pPr>
            <w:r>
              <w:rPr>
                <w:bCs/>
                <w:b/>
              </w:rPr>
              <w:t xml:space="preserve">Phase 1</w:t>
            </w:r>
          </w:p>
        </w:tc>
      </w:tr>
      <w:tr>
        <w:tc>
          <w:tcPr/>
          <w:p>
            <w:pPr>
              <w:pStyle w:val="Compact"/>
              <w:jc w:val="left"/>
            </w:pPr>
            <w:r>
              <w:t xml:space="preserve">Indian matriculation offers per intake</w:t>
            </w:r>
          </w:p>
        </w:tc>
        <w:tc>
          <w:tcPr/>
          <w:p>
            <w:pPr>
              <w:pStyle w:val="Compact"/>
              <w:jc w:val="left"/>
            </w:pPr>
            <w:r>
              <w:rPr>
                <w:bCs/>
                <w:b/>
              </w:rPr>
              <w:t xml:space="preserve">1,537 offers</w:t>
            </w:r>
            <w:r>
              <w:t xml:space="preserve"> </w:t>
            </w:r>
            <w:r>
              <w:t xml:space="preserve">(2025); all 6,717 10A scorers offered (2026); ~1,116-seat sub-quota intact</w:t>
            </w:r>
          </w:p>
        </w:tc>
        <w:tc>
          <w:tcPr/>
          <w:p>
            <w:pPr>
              <w:pStyle w:val="Compact"/>
              <w:jc w:val="left"/>
            </w:pPr>
            <w:r>
              <w:rPr>
                <w:bCs/>
                <w:b/>
              </w:rPr>
              <w:t xml:space="preserve">≥2,000 offers</w:t>
            </w:r>
            <w:r>
              <w:t xml:space="preserve">; sub-quota review tabled; accountability for every rejected qualified 10A applicant</w:t>
            </w:r>
          </w:p>
        </w:tc>
        <w:tc>
          <w:tcPr/>
          <w:p>
            <w:pPr>
              <w:pStyle w:val="Compact"/>
              <w:jc w:val="left"/>
            </w:pPr>
            <w:r>
              <w:t xml:space="preserve">≥2,500 (proposed)</w:t>
            </w:r>
          </w:p>
        </w:tc>
        <w:tc>
          <w:tcPr/>
          <w:p>
            <w:pPr>
              <w:pStyle w:val="Compact"/>
              <w:jc w:val="left"/>
            </w:pPr>
            <w:r>
              <w:t xml:space="preserve">Proportionate intake (≈3,000, proposed)</w:t>
            </w:r>
          </w:p>
        </w:tc>
        <w:tc>
          <w:tcPr/>
          <w:p>
            <w:pPr>
              <w:pStyle w:val="Compact"/>
              <w:jc w:val="left"/>
            </w:pPr>
            <w:r>
              <w:rPr>
                <w:bCs/>
                <w:b/>
              </w:rPr>
              <w:t xml:space="preserve">Phase 1</w:t>
            </w:r>
          </w:p>
        </w:tc>
      </w:tr>
      <w:tr>
        <w:tc>
          <w:tcPr/>
          <w:p>
            <w:pPr>
              <w:pStyle w:val="Compact"/>
              <w:jc w:val="left"/>
            </w:pPr>
            <w:r>
              <w:t xml:space="preserve">SJKT upgrades (528 schools, 78,501 pupils)</w:t>
            </w:r>
          </w:p>
        </w:tc>
        <w:tc>
          <w:tcPr/>
          <w:p>
            <w:pPr>
              <w:pStyle w:val="Compact"/>
              <w:jc w:val="left"/>
            </w:pPr>
            <w:r>
              <w:t xml:space="preserve">RM50m maintenance (2026); RM12.8m MITRA equipment (2025)</w:t>
            </w:r>
          </w:p>
        </w:tc>
        <w:tc>
          <w:tcPr/>
          <w:p>
            <w:pPr>
              <w:pStyle w:val="Compact"/>
              <w:jc w:val="left"/>
            </w:pPr>
            <w:r>
              <w:rPr>
                <w:bCs/>
                <w:b/>
              </w:rPr>
              <w:t xml:space="preserve">100% digital-lab coverage; 100% of SJKTs with at least one trained digital-lab coordinator</w:t>
            </w:r>
            <w:r>
              <w:t xml:space="preserve">; full dilapidated-building audit published</w:t>
            </w:r>
          </w:p>
        </w:tc>
        <w:tc>
          <w:tcPr/>
          <w:p>
            <w:pPr>
              <w:pStyle w:val="Compact"/>
              <w:jc w:val="left"/>
            </w:pPr>
            <w:r>
              <w:t xml:space="preserve">Safety-critical remediation complete (proposed)</w:t>
            </w:r>
          </w:p>
        </w:tc>
        <w:tc>
          <w:tcPr/>
          <w:p>
            <w:pPr>
              <w:pStyle w:val="Compact"/>
              <w:jc w:val="left"/>
            </w:pPr>
            <w:r>
              <w:t xml:space="preserve">Full remediation of all 528 schools</w:t>
            </w:r>
          </w:p>
        </w:tc>
        <w:tc>
          <w:tcPr/>
          <w:p>
            <w:pPr>
              <w:pStyle w:val="Compact"/>
              <w:jc w:val="left"/>
            </w:pPr>
            <w:r>
              <w:rPr>
                <w:bCs/>
                <w:b/>
              </w:rPr>
              <w:t xml:space="preserve">Phase 1</w:t>
            </w:r>
          </w:p>
        </w:tc>
      </w:tr>
      <w:tr>
        <w:tc>
          <w:tcPr/>
          <w:p>
            <w:pPr>
              <w:pStyle w:val="Compact"/>
              <w:jc w:val="left"/>
            </w:pPr>
            <w:r>
              <w:t xml:space="preserve">IB40 households reached by micro-credit</w:t>
            </w:r>
          </w:p>
        </w:tc>
        <w:tc>
          <w:tcPr/>
          <w:p>
            <w:pPr>
              <w:pStyle w:val="Compact"/>
              <w:jc w:val="left"/>
            </w:pPr>
            <w:r>
              <w:t xml:space="preserve">~RM300m deployed (MITRA/SPUMI/BRIEF-i, 2025); RM50m AIM PENN; RM220m Budget 2026 — but MIB RM500m household model unrevived</w:t>
            </w:r>
          </w:p>
        </w:tc>
        <w:tc>
          <w:tcPr/>
          <w:p>
            <w:pPr>
              <w:pStyle w:val="Compact"/>
              <w:jc w:val="left"/>
            </w:pPr>
            <w:r>
              <w:rPr>
                <w:bCs/>
                <w:b/>
              </w:rPr>
              <w:t xml:space="preserve">≥100,000 households</w:t>
            </w:r>
            <w:r>
              <w:t xml:space="preserve">, zero leakage findings on audit</w:t>
            </w:r>
          </w:p>
        </w:tc>
        <w:tc>
          <w:tcPr/>
          <w:p>
            <w:pPr>
              <w:pStyle w:val="Compact"/>
              <w:jc w:val="left"/>
            </w:pPr>
            <w:r>
              <w:rPr>
                <w:bCs/>
                <w:b/>
              </w:rPr>
              <w:t xml:space="preserve">≥50% of registered poor households show increased savings</w:t>
            </w:r>
            <w:r>
              <w:t xml:space="preserve"> </w:t>
            </w:r>
            <w:r>
              <w:t xml:space="preserve">(MIB floor)</w:t>
            </w:r>
          </w:p>
        </w:tc>
        <w:tc>
          <w:tcPr/>
          <w:p>
            <w:pPr>
              <w:pStyle w:val="Compact"/>
              <w:jc w:val="left"/>
            </w:pPr>
            <w:r>
              <w:t xml:space="preserve">≥50% of reached households graduated above RM2,672 mean (proposed)</w:t>
            </w:r>
          </w:p>
        </w:tc>
        <w:tc>
          <w:tcPr/>
          <w:p>
            <w:pPr>
              <w:pStyle w:val="Compact"/>
              <w:jc w:val="left"/>
            </w:pPr>
            <w:r>
              <w:rPr>
                <w:bCs/>
                <w:b/>
              </w:rPr>
              <w:t xml:space="preserve">Phase 1</w:t>
            </w:r>
          </w:p>
        </w:tc>
      </w:tr>
      <w:tr>
        <w:tc>
          <w:tcPr/>
          <w:p>
            <w:pPr>
              <w:pStyle w:val="Compact"/>
              <w:jc w:val="left"/>
            </w:pPr>
            <w:r>
              <w:t xml:space="preserve">IB40 children (4–6) in registered preschool</w:t>
            </w:r>
          </w:p>
        </w:tc>
        <w:tc>
          <w:tcPr/>
          <w:p>
            <w:pPr>
              <w:pStyle w:val="Compact"/>
              <w:jc w:val="left"/>
            </w:pPr>
            <w:r>
              <w:t xml:space="preserve">No IB40-specific enrolment audit</w:t>
            </w:r>
          </w:p>
        </w:tc>
        <w:tc>
          <w:tcPr/>
          <w:p>
            <w:pPr>
              <w:pStyle w:val="Compact"/>
              <w:jc w:val="left"/>
            </w:pPr>
            <w:r>
              <w:t xml:space="preserve">Year 3 baseline audit commissioned</w:t>
            </w:r>
          </w:p>
        </w:tc>
        <w:tc>
          <w:tcPr/>
          <w:p>
            <w:pPr>
              <w:pStyle w:val="Compact"/>
              <w:jc w:val="left"/>
            </w:pPr>
            <w:r>
              <w:rPr>
                <w:bCs/>
                <w:b/>
              </w:rPr>
              <w:t xml:space="preserve">90% enrolment; ≥40,000 subsidised places</w:t>
            </w:r>
          </w:p>
        </w:tc>
        <w:tc>
          <w:tcPr/>
          <w:p>
            <w:pPr>
              <w:pStyle w:val="Compact"/>
              <w:jc w:val="left"/>
            </w:pPr>
            <w:r>
              <w:t xml:space="preserve">Enrolment sustained ≥90%; 100% school-readiness screening</w:t>
            </w:r>
          </w:p>
        </w:tc>
        <w:tc>
          <w:tcPr/>
          <w:p>
            <w:pPr>
              <w:pStyle w:val="Compact"/>
              <w:jc w:val="left"/>
            </w:pPr>
            <w:r>
              <w:rPr>
                <w:bCs/>
                <w:b/>
              </w:rPr>
              <w:t xml:space="preserve">Phase 2</w:t>
            </w:r>
          </w:p>
        </w:tc>
      </w:tr>
      <w:tr>
        <w:tc>
          <w:tcPr/>
          <w:p>
            <w:pPr>
              <w:pStyle w:val="Compact"/>
              <w:jc w:val="left"/>
            </w:pPr>
            <w:r>
              <w:t xml:space="preserve">Indian youth in certified TVET/STEM (cumulative)</w:t>
            </w:r>
          </w:p>
        </w:tc>
        <w:tc>
          <w:tcPr/>
          <w:p>
            <w:pPr>
              <w:pStyle w:val="Compact"/>
              <w:jc w:val="left"/>
            </w:pPr>
            <w:r>
              <w:t xml:space="preserve">No dedicated pipeline</w:t>
            </w:r>
          </w:p>
        </w:tc>
        <w:tc>
          <w:tcPr/>
          <w:p>
            <w:pPr>
              <w:pStyle w:val="Compact"/>
              <w:jc w:val="left"/>
            </w:pPr>
            <w:r>
              <w:t xml:space="preserve">2,000 industry apprenticeships signed (by end-Year 3)</w:t>
            </w:r>
          </w:p>
        </w:tc>
        <w:tc>
          <w:tcPr/>
          <w:p>
            <w:pPr>
              <w:pStyle w:val="Compact"/>
              <w:jc w:val="left"/>
            </w:pPr>
            <w:r>
              <w:rPr>
                <w:bCs/>
                <w:b/>
              </w:rPr>
              <w:t xml:space="preserve">15,000 enrolees; ≥85% completion</w:t>
            </w:r>
          </w:p>
        </w:tc>
        <w:tc>
          <w:tcPr/>
          <w:p>
            <w:pPr>
              <w:pStyle w:val="Compact"/>
              <w:jc w:val="left"/>
            </w:pPr>
            <w:r>
              <w:t xml:space="preserve">30,000 cumulative (proposed); ≥70% employed above RM2,672/month</w:t>
            </w:r>
          </w:p>
        </w:tc>
        <w:tc>
          <w:tcPr/>
          <w:p>
            <w:pPr>
              <w:pStyle w:val="Compact"/>
              <w:jc w:val="left"/>
            </w:pPr>
            <w:r>
              <w:rPr>
                <w:bCs/>
                <w:b/>
              </w:rPr>
              <w:t xml:space="preserve">Phase 2</w:t>
            </w:r>
          </w:p>
        </w:tc>
      </w:tr>
      <w:tr>
        <w:tc>
          <w:tcPr/>
          <w:p>
            <w:pPr>
              <w:pStyle w:val="Compact"/>
              <w:jc w:val="left"/>
            </w:pPr>
            <w:r>
              <w:t xml:space="preserve">Indian SME vendor share in federal megaprojects</w:t>
            </w:r>
          </w:p>
        </w:tc>
        <w:tc>
          <w:tcPr/>
          <w:p>
            <w:pPr>
              <w:pStyle w:val="Compact"/>
              <w:jc w:val="left"/>
            </w:pPr>
            <w:r>
              <w:t xml:space="preserve">Effectively nil; no certified register</w:t>
            </w:r>
          </w:p>
        </w:tc>
        <w:tc>
          <w:tcPr/>
          <w:p>
            <w:pPr>
              <w:pStyle w:val="Compact"/>
              <w:jc w:val="left"/>
            </w:pPr>
            <w:r>
              <w:t xml:space="preserve">≥500 certified vendors registered by MAICCI/KLSICCI (by end-Year 3)</w:t>
            </w:r>
          </w:p>
        </w:tc>
        <w:tc>
          <w:tcPr/>
          <w:p>
            <w:pPr>
              <w:pStyle w:val="Compact"/>
              <w:jc w:val="left"/>
            </w:pPr>
            <w:r>
              <w:rPr>
                <w:bCs/>
                <w:b/>
              </w:rPr>
              <w:t xml:space="preserve">≥2% participation share; RM100m cumulative contracts</w:t>
            </w:r>
          </w:p>
        </w:tc>
        <w:tc>
          <w:tcPr/>
          <w:p>
            <w:pPr>
              <w:pStyle w:val="Compact"/>
              <w:jc w:val="left"/>
            </w:pPr>
            <w:r>
              <w:t xml:space="preserve">≥3% share (proposed); consortia converted into equity vehicles</w:t>
            </w:r>
          </w:p>
        </w:tc>
        <w:tc>
          <w:tcPr/>
          <w:p>
            <w:pPr>
              <w:pStyle w:val="Compact"/>
              <w:jc w:val="left"/>
            </w:pPr>
            <w:r>
              <w:rPr>
                <w:bCs/>
                <w:b/>
              </w:rPr>
              <w:t xml:space="preserve">Phase 2</w:t>
            </w:r>
          </w:p>
        </w:tc>
      </w:tr>
      <w:tr>
        <w:tc>
          <w:tcPr/>
          <w:p>
            <w:pPr>
              <w:pStyle w:val="Compact"/>
              <w:jc w:val="left"/>
            </w:pPr>
            <w:r>
              <w:t xml:space="preserve">IB40 households in affordable housing / rent-to-own</w:t>
            </w:r>
          </w:p>
        </w:tc>
        <w:tc>
          <w:tcPr/>
          <w:p>
            <w:pPr>
              <w:pStyle w:val="Compact"/>
              <w:jc w:val="left"/>
            </w:pPr>
            <w:r>
              <w:t xml:space="preserve">PRR Bestari Jaya pilot precedent (2025); SJKP raised to RM1.9bn; estate-displacement legacy unreviewed nationally</w:t>
            </w:r>
          </w:p>
        </w:tc>
        <w:tc>
          <w:tcPr/>
          <w:p>
            <w:pPr>
              <w:pStyle w:val="Compact"/>
              <w:jc w:val="left"/>
            </w:pPr>
            <w:r>
              <w:t xml:space="preserve">Legacy Review commissioned</w:t>
            </w:r>
          </w:p>
        </w:tc>
        <w:tc>
          <w:tcPr/>
          <w:p>
            <w:pPr>
              <w:pStyle w:val="Compact"/>
              <w:jc w:val="left"/>
            </w:pPr>
            <w:r>
              <w:rPr>
                <w:bCs/>
                <w:b/>
              </w:rPr>
              <w:t xml:space="preserve">5,000 placements</w:t>
            </w:r>
            <w:r>
              <w:t xml:space="preserve">; revised criteria in four states</w:t>
            </w:r>
          </w:p>
        </w:tc>
        <w:tc>
          <w:tcPr/>
          <w:p>
            <w:pPr>
              <w:pStyle w:val="Compact"/>
              <w:jc w:val="left"/>
            </w:pPr>
            <w:r>
              <w:t xml:space="preserve">10,000 cumulative placements (proposed)</w:t>
            </w:r>
          </w:p>
        </w:tc>
        <w:tc>
          <w:tcPr/>
          <w:p>
            <w:pPr>
              <w:pStyle w:val="Compact"/>
              <w:jc w:val="left"/>
            </w:pPr>
            <w:r>
              <w:rPr>
                <w:bCs/>
                <w:b/>
              </w:rPr>
              <w:t xml:space="preserve">Phase 2</w:t>
            </w:r>
          </w:p>
        </w:tc>
      </w:tr>
      <w:tr>
        <w:tc>
          <w:tcPr/>
          <w:p>
            <w:pPr>
              <w:pStyle w:val="Compact"/>
              <w:jc w:val="left"/>
            </w:pPr>
            <w:r>
              <w:t xml:space="preserve">Equity accumulation (PNB-linked)</w:t>
            </w:r>
          </w:p>
        </w:tc>
        <w:tc>
          <w:tcPr/>
          <w:p>
            <w:pPr>
              <w:pStyle w:val="Compact"/>
              <w:jc w:val="left"/>
            </w:pPr>
            <w:r>
              <w:t xml:space="preserve">1.5bn AS1M units precedent (MIB, 2017) — lapsed, no successor fund</w:t>
            </w:r>
          </w:p>
        </w:tc>
        <w:tc>
          <w:tcPr/>
          <w:p>
            <w:pPr>
              <w:pStyle w:val="Compact"/>
              <w:jc w:val="left"/>
            </w:pPr>
            <w:r>
              <w:t xml:space="preserve">Allocations revived via micro-credit channel</w:t>
            </w:r>
          </w:p>
        </w:tc>
        <w:tc>
          <w:tcPr/>
          <w:p>
            <w:pPr>
              <w:pStyle w:val="Compact"/>
              <w:jc w:val="left"/>
            </w:pPr>
            <w:r>
              <w:t xml:space="preserve">Successor fund negotiated with PNB (proposed)</w:t>
            </w:r>
          </w:p>
        </w:tc>
        <w:tc>
          <w:tcPr/>
          <w:p>
            <w:pPr>
              <w:pStyle w:val="Compact"/>
              <w:jc w:val="left"/>
            </w:pPr>
            <w:r>
              <w:t xml:space="preserve">Fund sized toward population proportionality (≥3bn cumulative units, proposed); institutional vehicles with governance seats</w:t>
            </w:r>
          </w:p>
        </w:tc>
        <w:tc>
          <w:tcPr/>
          <w:p>
            <w:pPr>
              <w:pStyle w:val="Compact"/>
              <w:jc w:val="left"/>
            </w:pPr>
            <w:r>
              <w:rPr>
                <w:bCs/>
                <w:b/>
              </w:rPr>
              <w:t xml:space="preserve">Phase 3</w:t>
            </w:r>
          </w:p>
        </w:tc>
      </w:tr>
      <w:tr>
        <w:tc>
          <w:tcPr/>
          <w:p>
            <w:pPr>
              <w:pStyle w:val="Compact"/>
              <w:jc w:val="left"/>
            </w:pPr>
            <w:r>
              <w:t xml:space="preserve">IB40 households in extreme urban poverty</w:t>
            </w:r>
          </w:p>
        </w:tc>
        <w:tc>
          <w:tcPr/>
          <w:p>
            <w:pPr>
              <w:pStyle w:val="Compact"/>
              <w:jc w:val="left"/>
            </w:pPr>
            <w:r>
              <w:rPr>
                <w:bCs/>
                <w:b/>
              </w:rPr>
              <w:t xml:space="preserve">227,600 IB40 households</w:t>
            </w:r>
            <w:r>
              <w:t xml:space="preserve">; mean income RM2,672/month</w:t>
            </w:r>
          </w:p>
        </w:tc>
        <w:tc>
          <w:tcPr/>
          <w:p>
            <w:pPr>
              <w:pStyle w:val="Compact"/>
              <w:jc w:val="left"/>
            </w:pPr>
            <w:r>
              <w:t xml:space="preserve">Consolidated registry: every household named, located, income-assessed</w:t>
            </w:r>
          </w:p>
        </w:tc>
        <w:tc>
          <w:tcPr/>
          <w:p>
            <w:pPr>
              <w:pStyle w:val="Compact"/>
              <w:jc w:val="left"/>
            </w:pPr>
            <w:r>
              <w:t xml:space="preserve">Graduation-model packages at scale; income-floor guarantees active</w:t>
            </w:r>
          </w:p>
        </w:tc>
        <w:tc>
          <w:tcPr/>
          <w:p>
            <w:pPr>
              <w:pStyle w:val="Compact"/>
              <w:jc w:val="left"/>
            </w:pPr>
            <w:r>
              <w:rPr>
                <w:bCs/>
                <w:b/>
              </w:rPr>
              <w:t xml:space="preserve">Zero IB40 households in extreme urban poverty</w:t>
            </w:r>
          </w:p>
        </w:tc>
        <w:tc>
          <w:tcPr/>
          <w:p>
            <w:pPr>
              <w:pStyle w:val="Compact"/>
              <w:jc w:val="left"/>
            </w:pPr>
            <w:r>
              <w:rPr>
                <w:bCs/>
                <w:b/>
              </w:rPr>
              <w:t xml:space="preserve">Phase 3</w:t>
            </w:r>
          </w:p>
        </w:tc>
      </w:tr>
    </w:tbl>
    <w:p>
      <w:pPr>
        <w:pStyle w:val="BodyText"/>
      </w:pPr>
      <w:r>
        <w:t xml:space="preserve">The scorecard is deliberately front-loaded and back-weighted at once. Phase 1 rows carry hard, countable outputs — cases cleared, offers lettered, labs built — because trust is the scarce currency in Years 1–2. Phase 2 rows convert outputs into structures: enrolment rates, certified pipelines and a</w:t>
      </w:r>
      <w:r>
        <w:t xml:space="preserve"> </w:t>
      </w:r>
      <w:r>
        <w:rPr>
          <w:bCs/>
          <w:b/>
        </w:rPr>
        <w:t xml:space="preserve">2% procurement share</w:t>
      </w:r>
      <w:r>
        <w:t xml:space="preserve"> </w:t>
      </w:r>
      <w:r>
        <w:t xml:space="preserve">that institutionalises what micro-credit cannot. Phase 3 rows hold only two numbers —</w:t>
      </w:r>
      <w:r>
        <w:t xml:space="preserve"> </w:t>
      </w:r>
      <w:r>
        <w:rPr>
          <w:bCs/>
          <w:b/>
        </w:rPr>
        <w:t xml:space="preserve">proportionate equity</w:t>
      </w:r>
      <w:r>
        <w:t xml:space="preserve"> </w:t>
      </w:r>
      <w:r>
        <w:t xml:space="preserve">and</w:t>
      </w:r>
      <w:r>
        <w:t xml:space="preserve"> </w:t>
      </w:r>
      <w:r>
        <w:rPr>
          <w:bCs/>
          <w:b/>
        </w:rPr>
        <w:t xml:space="preserve">zero extreme urban poverty</w:t>
      </w:r>
      <w:r>
        <w:t xml:space="preserve"> </w:t>
      </w:r>
      <w:r>
        <w:t xml:space="preserve">— because they are the plan’s definition of done. Every Year 4 and Year 6 figure is internally consistent with its baseline: the civil service trajectory rises on an accelerating path from the 3.7% floor — 4.5%, then 5.5%, then the full 7% — as recruitment pipelines mature; the matriculation line extends the 2025 expansion rather than inventing a new one; and the IB40 denominator never changes, so graduation claims can be audited household by household against the 227,600-household registry.</w:t>
      </w:r>
    </w:p>
    <w:bookmarkEnd w:id="84"/>
    <w:bookmarkEnd w:id="85"/>
    <w:bookmarkStart w:id="87" w:name="reporting-rhythm"/>
    <w:p>
      <w:pPr>
        <w:pStyle w:val="Heading3"/>
      </w:pPr>
      <w:r>
        <w:t xml:space="preserve">7.2 Reporting Rhythm</w:t>
      </w:r>
    </w:p>
    <w:p>
      <w:pPr>
        <w:pStyle w:val="FirstParagraph"/>
      </w:pPr>
      <w:r>
        <w:t xml:space="preserve">KPIs fail silently when reporting is episodic. The scorecard above is therefore bound to a fixed rhythm: quarterly delivery review, annual public accountability, and one independent mid-term verdict. The Phase 1 dashboard precedent — monthly case counts and real-time disbursement tracking, instituted as the direct answer to the 2021 MITRA misappropriation arrests (Fact brief, 2021) — becomes the reporting standard for all eleven rows.</w:t>
      </w:r>
    </w:p>
    <w:bookmarkStart w:id="86" w:name="Xc60e2a82c6c799c96a667e0d4cdedba12151892"/>
    <w:p>
      <w:pPr>
        <w:pStyle w:val="Heading4"/>
      </w:pPr>
      <w:r>
        <w:t xml:space="preserve">7.2.1 Quarterly Task Force reviews chaired by the PM; annual public report card; mid-term independent evaluation at end of Year 3</w:t>
      </w:r>
    </w:p>
    <w:p>
      <w:pPr>
        <w:numPr>
          <w:ilvl w:val="0"/>
          <w:numId w:val="1014"/>
        </w:numPr>
        <w:pStyle w:val="Compact"/>
      </w:pPr>
      <w:r>
        <w:rPr>
          <w:bCs/>
          <w:b/>
        </w:rPr>
        <w:t xml:space="preserve">Quarterly Task Force reviews, chaired by Yang Amat Berhormat the Prime Minister</w:t>
      </w:r>
      <w:r>
        <w:t xml:space="preserve">: each sitting tables the full eleven-row dashboard, requires every lead phase to table at least one completed deliverable in Phase 1’s first year, and assigns a named officer to any KPI off track for two consecutive quarters.</w:t>
      </w:r>
    </w:p>
    <w:p>
      <w:pPr>
        <w:numPr>
          <w:ilvl w:val="0"/>
          <w:numId w:val="1014"/>
        </w:numPr>
        <w:pStyle w:val="Compact"/>
      </w:pPr>
      <w:r>
        <w:rPr>
          <w:bCs/>
          <w:b/>
        </w:rPr>
        <w:t xml:space="preserve">Annual public report card</w:t>
      </w:r>
      <w:r>
        <w:t xml:space="preserve">: published each January, grade-disaggregated where relevant (civil service, matriculation), so Parliament, chambers and community organisations audit the same numbers the Task Force sees.</w:t>
      </w:r>
    </w:p>
    <w:p>
      <w:pPr>
        <w:numPr>
          <w:ilvl w:val="0"/>
          <w:numId w:val="1014"/>
        </w:numPr>
        <w:pStyle w:val="Compact"/>
      </w:pPr>
      <w:r>
        <w:rPr>
          <w:bCs/>
          <w:b/>
        </w:rPr>
        <w:t xml:space="preserve">Mid-term independent evaluation at end-Year 3</w:t>
      </w:r>
      <w:r>
        <w:t xml:space="preserve">: an external assessor — on the PEMANDU 2024 MITRA-reset precedent — verifies Phase 1 completion, stress-tests Phase 2 trajectories, and publishes a pass/correct/re-scope verdict on every KPI before Phase 3 funds flow.</w:t>
      </w:r>
    </w:p>
    <w:p>
      <w:pPr>
        <w:pStyle w:val="FirstParagraph"/>
      </w:pPr>
      <w:r>
        <w:t xml:space="preserve">Chapter 8 turns to the decisions that only the Prime Minister can make to set this scorecard in motion.</w:t>
      </w:r>
    </w:p>
    <w:bookmarkEnd w:id="86"/>
    <w:bookmarkEnd w:id="87"/>
    <w:bookmarkEnd w:id="88"/>
    <w:bookmarkStart w:id="91" w:name="call-to-action-next-steps"/>
    <w:p>
      <w:pPr>
        <w:pStyle w:val="Heading2"/>
      </w:pPr>
      <w:r>
        <w:t xml:space="preserve">8. Call to Action / Next Steps</w:t>
      </w:r>
    </w:p>
    <w:bookmarkStart w:id="89" w:name="Xc9b62e8b1f24bbfd68a3d19631f70d33691a056"/>
    <w:p>
      <w:pPr>
        <w:pStyle w:val="Heading3"/>
      </w:pPr>
      <w:r>
        <w:t xml:space="preserve">8.1 Decisions Requested of the Prime Minister</w:t>
      </w:r>
    </w:p>
    <w:p>
      <w:pPr>
        <w:pStyle w:val="FirstParagraph"/>
      </w:pPr>
      <w:r>
        <w:t xml:space="preserve">Yang Amat Berhormat, having announced your personal oversight of the community’s affairs on 29 July 2026, the step from commitment to institution is a short one. This plan requires no new legislation, no new ministry and no further study. It requires five decisions, each within the authority of your office and executable within the current term:</w:t>
      </w:r>
    </w:p>
    <w:p>
      <w:pPr>
        <w:numPr>
          <w:ilvl w:val="0"/>
          <w:numId w:val="1015"/>
        </w:numPr>
        <w:pStyle w:val="Compact"/>
      </w:pPr>
      <w:r>
        <w:rPr>
          <w:bCs/>
          <w:b/>
        </w:rPr>
        <w:t xml:space="preserve">Announce the Task Force and its JPM mandate within the current term.</w:t>
      </w:r>
      <w:r>
        <w:t xml:space="preserve"> </w:t>
      </w:r>
      <w:r>
        <w:t xml:space="preserve">A Cabinet decision establishing the Task Force on Malaysian Indian Socio-Economic Transformation under the Prime Minister’s Department — giving permanent institutional form to the personal oversight you have already assumed — as the legal successor to the MIB agenda and the apex delivery body over MITRA and the PTMI reforms.</w:t>
      </w:r>
    </w:p>
    <w:p>
      <w:pPr>
        <w:numPr>
          <w:ilvl w:val="0"/>
          <w:numId w:val="1015"/>
        </w:numPr>
        <w:pStyle w:val="Compact"/>
      </w:pPr>
      <w:r>
        <w:rPr>
          <w:bCs/>
          <w:b/>
        </w:rPr>
        <w:t xml:space="preserve">Appoint the founding members.</w:t>
      </w:r>
      <w:r>
        <w:t xml:space="preserve"> </w:t>
      </w:r>
      <w:r>
        <w:t xml:space="preserve">A unified coalition of top-tier professionals in education, medicine, law and finance; established NGO and community leaders with grassroots reach into IB40 households; and cross-spectrum, multi-partisan politicians — so the plan is owned by the nation and survives electoral cycles.</w:t>
      </w:r>
    </w:p>
    <w:p>
      <w:pPr>
        <w:numPr>
          <w:ilvl w:val="0"/>
          <w:numId w:val="1015"/>
        </w:numPr>
        <w:pStyle w:val="Compact"/>
      </w:pPr>
      <w:r>
        <w:rPr>
          <w:bCs/>
          <w:b/>
        </w:rPr>
        <w:t xml:space="preserve">Approve the Phase 1 budget envelope.</w:t>
      </w:r>
      <w:r>
        <w:t xml:space="preserve"> </w:t>
      </w:r>
      <w:r>
        <w:t xml:space="preserve">Funding for the five Phase 1 surges — documentation fast-track, civil service drive, matriculation expansion, SJKT infrastructure, and the IB40 micro-credit and welfare surge — structured within the existing Indian-community allocation (RM220 million in Budget 2026) and subject to Auditor-General audit and zero-tolerance procurement rules.</w:t>
      </w:r>
    </w:p>
    <w:p>
      <w:pPr>
        <w:numPr>
          <w:ilvl w:val="0"/>
          <w:numId w:val="1015"/>
        </w:numPr>
        <w:pStyle w:val="Compact"/>
      </w:pPr>
      <w:r>
        <w:rPr>
          <w:bCs/>
          <w:b/>
        </w:rPr>
        <w:t xml:space="preserve">Table the first quarterly KPI dashboard.</w:t>
      </w:r>
      <w:r>
        <w:t xml:space="preserve"> </w:t>
      </w:r>
      <w:r>
        <w:t xml:space="preserve">Every workstream reported with a named owner, deadline and budget line, published within fourteen days of each sitting — converting accountability from an internal promise into a verifiable public record.</w:t>
      </w:r>
    </w:p>
    <w:p>
      <w:pPr>
        <w:numPr>
          <w:ilvl w:val="0"/>
          <w:numId w:val="1015"/>
        </w:numPr>
        <w:pStyle w:val="Compact"/>
      </w:pPr>
      <w:r>
        <w:rPr>
          <w:bCs/>
          <w:b/>
        </w:rPr>
        <w:t xml:space="preserve">Set the date of the first PM-chaired quarterly meeting.</w:t>
      </w:r>
      <w:r>
        <w:t xml:space="preserve"> </w:t>
      </w:r>
      <w:r>
        <w:t xml:space="preserve">Your personal chairmanship of the inaugural sitting operationalises your 29 July announcement and empowers the Task Force to arbitrate inter-ministry disputes on the spot, from the Home Ministry’s citizenship files to the Public Service Department’s intake numbers.</w:t>
      </w:r>
    </w:p>
    <w:bookmarkEnd w:id="89"/>
    <w:bookmarkStart w:id="90" w:name="the-closing-argument"/>
    <w:p>
      <w:pPr>
        <w:pStyle w:val="Heading3"/>
      </w:pPr>
      <w:r>
        <w:t xml:space="preserve">8.2 The Closing Argument</w:t>
      </w:r>
    </w:p>
    <w:p>
      <w:pPr>
        <w:pStyle w:val="FirstParagraph"/>
      </w:pPr>
      <w:r>
        <w:t xml:space="preserve">The Malaysian Indian Blueprint provided the diagnosis, the pillars and the targets; this government has restored the funding and the political will; what has never existed is an engine capable of delivering them. This plan provides that engine. Every figure in this proposal — 227,600 IB40 households, 3.7% against 7%, roughly 25,000 undocumented residents, 528 schools — is a promise already made and not yet kept. Keeping them requires no further vision, only authority, discipline and time: your authority, quarterly discipline, and six years.</w:t>
      </w:r>
    </w:p>
    <w:p>
      <w:pPr>
        <w:pStyle w:val="BodyText"/>
      </w:pPr>
      <w:r>
        <w:t xml:space="preserve">The sequencing answers the politics as squarely as the policy. One year of visible delivery — citizenship papers issued at scale, classrooms rebuilt, micro-credit disbursed, dashboards published — earns the mandate. Five more years of structural reform finish the job that the MIB began in 2017. We respectfully ask Yang Amat Berhormat to announce the Task Force, chair its first meeting, and let the record of the next twelve months make the case that no communiqué can: that this government delivers.</w:t>
      </w:r>
    </w:p>
    <w:bookmarkEnd w:id="90"/>
    <w:bookmarkEnd w:id="91"/>
    <w:bookmarkEnd w:id="92"/>
    <w:bookmarkStart w:id="93" w:name="appendix-a-key-sources"/>
    <w:p>
      <w:pPr>
        <w:pStyle w:val="Heading1"/>
        <w:pageBreakBefore/>
      </w:pPr>
      <w:r>
        <w:t xml:space="preserve">Appendix A: Key Sources</w:t>
      </w:r>
    </w:p>
    <w:p>
      <w:pPr>
        <w:numPr>
          <w:ilvl w:val="0"/>
          <w:numId w:val="1016"/>
        </w:numPr>
        <w:pStyle w:val="Compact"/>
      </w:pPr>
      <w:r>
        <w:t xml:space="preserve">Malaysian Indian Blueprint (MIB), launched 23 April 2017 — four pillars, 7% civil service target, ~25,000 documentation target, AS1M 1.5bn units, RM500m IB40 loan scheme, IB40 baseline (227,600 households; mean income RM2,672/month).</w:t>
      </w:r>
    </w:p>
    <w:p>
      <w:pPr>
        <w:numPr>
          <w:ilvl w:val="0"/>
          <w:numId w:val="1016"/>
        </w:numPr>
        <w:pStyle w:val="Compact"/>
      </w:pPr>
      <w:r>
        <w:t xml:space="preserve">Household Income Survey (HIS) 2014 — Indian median household income RM4,627.</w:t>
      </w:r>
    </w:p>
    <w:p>
      <w:pPr>
        <w:numPr>
          <w:ilvl w:val="0"/>
          <w:numId w:val="1016"/>
        </w:numPr>
        <w:pStyle w:val="Compact"/>
      </w:pPr>
      <w:r>
        <w:t xml:space="preserve">MyDaftar programme (2011) — 6,590 applications approved; 4,155 citizenships.</w:t>
      </w:r>
    </w:p>
    <w:p>
      <w:pPr>
        <w:numPr>
          <w:ilvl w:val="0"/>
          <w:numId w:val="1016"/>
        </w:numPr>
        <w:pStyle w:val="Compact"/>
      </w:pPr>
      <w:r>
        <w:t xml:space="preserve">Budget 2018 (October 2017) — RM50m TEKUN SPUMI; RM50m socio-economic fund.</w:t>
      </w:r>
    </w:p>
    <w:p>
      <w:pPr>
        <w:numPr>
          <w:ilvl w:val="0"/>
          <w:numId w:val="1016"/>
        </w:numPr>
        <w:pStyle w:val="Compact"/>
      </w:pPr>
      <w:r>
        <w:t xml:space="preserve">PEMANDU (2024) — MITRA strategy reset; MITRA able to address 7 of 23 PTMI reforms.</w:t>
      </w:r>
    </w:p>
    <w:p>
      <w:pPr>
        <w:numPr>
          <w:ilvl w:val="0"/>
          <w:numId w:val="1016"/>
        </w:numPr>
        <w:pStyle w:val="Compact"/>
      </w:pPr>
      <w:r>
        <w:t xml:space="preserve">MACC (2021) — arrest of 16 MITRA-linked directors over misappropriated grants.</w:t>
      </w:r>
    </w:p>
    <w:p>
      <w:pPr>
        <w:numPr>
          <w:ilvl w:val="0"/>
          <w:numId w:val="1016"/>
        </w:numPr>
        <w:pStyle w:val="Compact"/>
      </w:pPr>
      <w:r>
        <w:t xml:space="preserve">Civil service representation statistics (2024) — Indians at 3.7% of civil service.</w:t>
      </w:r>
    </w:p>
    <w:p>
      <w:pPr>
        <w:numPr>
          <w:ilvl w:val="0"/>
          <w:numId w:val="1016"/>
        </w:numPr>
        <w:pStyle w:val="Compact"/>
      </w:pPr>
      <w:r>
        <w:t xml:space="preserve">Ministry of Education / Harapan Daily (August 2025) — 1,537 Indian matriculation offers in 2025; 341 with 10As auto-placed; standing 3.72% Indian sub-quota (≈1,116 seats).</w:t>
      </w:r>
    </w:p>
    <w:p>
      <w:pPr>
        <w:numPr>
          <w:ilvl w:val="0"/>
          <w:numId w:val="1016"/>
        </w:numPr>
        <w:pStyle w:val="Compact"/>
      </w:pPr>
      <w:r>
        <w:t xml:space="preserve">Bernama/theSun (2026) — 528 SJKTs, 78,501 pupils (May 2026); federal SJKT maintenance raised to RM50m (2026).</w:t>
      </w:r>
    </w:p>
    <w:p>
      <w:pPr>
        <w:numPr>
          <w:ilvl w:val="0"/>
          <w:numId w:val="1016"/>
        </w:numPr>
        <w:pStyle w:val="Compact"/>
      </w:pPr>
      <w:r>
        <w:t xml:space="preserve">MITRA allocations — RM100m/yr (Budgets 2023–2025); RM98.9m spent 2024 with 122,082 beneficiaries; RM130m Indian-community package (Budget 2025); raised to RM150m (May 2026); RM12.8m for SJKT equipment (2025).</w:t>
      </w:r>
    </w:p>
    <w:p>
      <w:pPr>
        <w:numPr>
          <w:ilvl w:val="0"/>
          <w:numId w:val="1016"/>
        </w:numPr>
        <w:pStyle w:val="Compact"/>
      </w:pPr>
      <w:r>
        <w:t xml:space="preserve">The Star (29 July 2026) — Prime Minister Anwar Ibrahim announces he will personally oversee Malaysian Indian community affairs.</w:t>
      </w:r>
    </w:p>
    <w:p>
      <w:pPr>
        <w:numPr>
          <w:ilvl w:val="0"/>
          <w:numId w:val="1016"/>
        </w:numPr>
        <w:pStyle w:val="Compact"/>
      </w:pPr>
      <w:r>
        <w:t xml:space="preserve">Bernama / Budget 2026 — RM220m for the Indian community via MITRA, TEKUN and AIM; SJKP housing-credit guarantee raised RM0.2bn → RM1.9bn; rebuild of SJKT Ladang Jeram; ~RM2bn programme for 520 dilapidated schools including Tamil schools.</w:t>
      </w:r>
    </w:p>
    <w:p>
      <w:pPr>
        <w:numPr>
          <w:ilvl w:val="0"/>
          <w:numId w:val="1016"/>
        </w:numPr>
        <w:pStyle w:val="Compact"/>
      </w:pPr>
      <w:r>
        <w:t xml:space="preserve">Ramanan / Bernama (2025) — ~RM300m entrepreneur financing package: MITRA RM100m + TEKUN SPUMI RM100m + Bank Rakyat BRIEF-i RM100m.</w:t>
      </w:r>
    </w:p>
    <w:p>
      <w:pPr>
        <w:numPr>
          <w:ilvl w:val="0"/>
          <w:numId w:val="1016"/>
        </w:numPr>
        <w:pStyle w:val="Compact"/>
      </w:pPr>
      <w:r>
        <w:t xml:space="preserve">AIM (2024) — RM50m PENN scheme for Indian women entrepreneurs.</w:t>
      </w:r>
    </w:p>
    <w:p>
      <w:pPr>
        <w:numPr>
          <w:ilvl w:val="0"/>
          <w:numId w:val="1016"/>
        </w:numPr>
        <w:pStyle w:val="Compact"/>
      </w:pPr>
      <w:r>
        <w:t xml:space="preserve">Ministry of Education (April 2026) — all 6,717 SPM 10A scorers offered matriculation places for 2026/27.</w:t>
      </w:r>
    </w:p>
    <w:p>
      <w:pPr>
        <w:numPr>
          <w:ilvl w:val="0"/>
          <w:numId w:val="1016"/>
        </w:numPr>
        <w:pStyle w:val="Compact"/>
      </w:pPr>
      <w:r>
        <w:t xml:space="preserve">Cabinet decision (2024) —</w:t>
      </w:r>
      <w:r>
        <w:t xml:space="preserve"> </w:t>
      </w:r>
      <w:r>
        <w:t xml:space="preserve">“</w:t>
      </w:r>
      <w:r>
        <w:t xml:space="preserve">easy path</w:t>
      </w:r>
      <w:r>
        <w:t xml:space="preserve">”</w:t>
      </w:r>
      <w:r>
        <w:t xml:space="preserve"> </w:t>
      </w:r>
      <w:r>
        <w:t xml:space="preserve">for Indian youth into TVET.</w:t>
      </w:r>
    </w:p>
    <w:p>
      <w:pPr>
        <w:numPr>
          <w:ilvl w:val="0"/>
          <w:numId w:val="1016"/>
        </w:numPr>
        <w:pStyle w:val="Compact"/>
      </w:pPr>
      <w:r>
        <w:t xml:space="preserve">PRR Harmoni Madani Bestari Jaya (February 2025) — resolution of a 27-year estate workers’ housing case; subsidised units at RM45,000.</w:t>
      </w:r>
    </w:p>
    <w:p>
      <w:pPr>
        <w:numPr>
          <w:ilvl w:val="0"/>
          <w:numId w:val="1016"/>
        </w:numPr>
        <w:pStyle w:val="Compact"/>
      </w:pPr>
      <w:r>
        <w:t xml:space="preserve">SJKT developments (2024) — six new Tamil schools announced in Selangor, Perak and Negeri Sembilan.</w:t>
      </w:r>
    </w:p>
    <w:p>
      <w:pPr>
        <w:pStyle w:val="FirstParagraph"/>
      </w:pPr>
      <w:r>
        <w:rPr>
          <w:iCs/>
          <w:i/>
        </w:rPr>
        <w:t xml:space="preserve">All figures cited in this proposal are drawn from the verified fact base compiled from the above public sources. Year 2–Year 6 targets marked</w:t>
      </w:r>
      <w:r>
        <w:rPr>
          <w:iCs/>
          <w:i/>
        </w:rPr>
        <w:t xml:space="preserve"> </w:t>
      </w:r>
      <w:r>
        <w:rPr>
          <w:iCs/>
          <w:i/>
        </w:rPr>
        <w:t xml:space="preserve">“</w:t>
      </w:r>
      <w:r>
        <w:rPr>
          <w:iCs/>
          <w:i/>
        </w:rPr>
        <w:t xml:space="preserve">(proposed)</w:t>
      </w:r>
      <w:r>
        <w:rPr>
          <w:iCs/>
          <w:i/>
        </w:rPr>
        <w:t xml:space="preserve">”</w:t>
      </w:r>
      <w:r>
        <w:rPr>
          <w:iCs/>
          <w:i/>
        </w:rPr>
        <w:t xml:space="preserve"> </w:t>
      </w:r>
      <w:r>
        <w:rPr>
          <w:iCs/>
          <w:i/>
        </w:rPr>
        <w:t xml:space="preserve">are this plan’s own recommendations, not historical data.</w:t>
      </w:r>
    </w:p>
    <w:bookmarkEnd w:id="93"/>
    <w:bookmarkStart w:id="94" w:name="X3cef6ec1679601fc45dc0fa6ff8e05e35709691"/>
    <w:p>
      <w:pPr>
        <w:pStyle w:val="Heading1"/>
        <w:pageBreakBefore/>
      </w:pPr>
      <w:r>
        <w:t xml:space="preserve">Appendix B: Cross-Reference with Current Government Initiatives (as of August 2026)</w:t>
      </w:r>
    </w:p>
    <w:p>
      <w:pPr>
        <w:pStyle w:val="FirstParagraph"/>
      </w:pPr>
      <w:r>
        <w:t xml:space="preserve">This appendix maps every element of the 6-Year Plan against what the Madani government is already doing, so the proposal reads as a completion agenda — crediting real momentum, scaling what works, and filling only what is genuinely empty.</w:t>
      </w:r>
    </w:p>
    <w:tbl>
      <w:tblPr>
        <w:tblW w:type="pct" w:w="5000"/>
        <w:jc w:val="center"/>
        <w:tblLook w:firstRow="1" w:lastRow="0" w:firstColumn="0" w:lastColumn="0" w:noHBand="0" w:noVBand="0" w:val="0020"/>
      </w:tblPr>
      <w:tblGrid>
        <w:gridCol w:w="2640"/>
        <w:gridCol w:w="2640"/>
        <w:gridCol w:w="2640"/>
      </w:tblGrid>
      <w:tr>
        <w:trPr>
          <w:tblHeader w:val="true"/>
          <w:tblHeader/>
        </w:trPr>
        <w:tc>
          <w:tcPr>
            <w:shd w:val="clear" w:fill="D9D9D9"/>
          </w:tcPr>
          <w:p>
            <w:pPr>
              <w:pStyle w:val="Compact"/>
              <w:jc w:val="left"/>
            </w:pPr>
            <w:r>
              <w:rPr>
                <w:b/>
              </w:rPr>
              <w:t xml:space="preserve">Plan Element</w:t>
            </w:r>
          </w:p>
        </w:tc>
        <w:tc>
          <w:tcPr>
            <w:shd w:val="clear" w:fill="D9D9D9"/>
          </w:tcPr>
          <w:p>
            <w:pPr>
              <w:pStyle w:val="Compact"/>
              <w:jc w:val="left"/>
            </w:pPr>
            <w:r>
              <w:rPr>
                <w:b/>
              </w:rPr>
              <w:t xml:space="preserve">What the Government Is Already Doing</w:t>
            </w:r>
          </w:p>
        </w:tc>
        <w:tc>
          <w:tcPr>
            <w:shd w:val="clear" w:fill="D9D9D9"/>
          </w:tcPr>
          <w:p>
            <w:pPr>
              <w:pStyle w:val="Compact"/>
              <w:jc w:val="left"/>
            </w:pPr>
            <w:r>
              <w:rPr>
                <w:b/>
              </w:rPr>
              <w:t xml:space="preserve">This Plan Adds</w:t>
            </w:r>
          </w:p>
        </w:tc>
      </w:tr>
      <w:tr>
        <w:tc>
          <w:tcPr/>
          <w:p>
            <w:pPr>
              <w:pStyle w:val="Compact"/>
              <w:jc w:val="left"/>
            </w:pPr>
            <w:r>
              <w:t xml:space="preserve">PM-chaired Task Force under JPM</w:t>
            </w:r>
          </w:p>
        </w:tc>
        <w:tc>
          <w:tcPr/>
          <w:p>
            <w:pPr>
              <w:pStyle w:val="Compact"/>
              <w:jc w:val="left"/>
            </w:pPr>
            <w:r>
              <w:t xml:space="preserve">PM announced on</w:t>
            </w:r>
            <w:r>
              <w:t xml:space="preserve"> </w:t>
            </w:r>
            <w:r>
              <w:rPr>
                <w:bCs/>
                <w:b/>
              </w:rPr>
              <w:t xml:space="preserve">29 July 2026</w:t>
            </w:r>
            <w:r>
              <w:t xml:space="preserve"> </w:t>
            </w:r>
            <w:r>
              <w:t xml:space="preserve">he will personally oversee Indian community affairs (The Star); MITRA already restored under JPM</w:t>
            </w:r>
          </w:p>
        </w:tc>
        <w:tc>
          <w:tcPr/>
          <w:p>
            <w:pPr>
              <w:pStyle w:val="Compact"/>
              <w:jc w:val="left"/>
            </w:pPr>
            <w:r>
              <w:rPr>
                <w:bCs/>
                <w:b/>
              </w:rPr>
              <w:t xml:space="preserve">Institutional form</w:t>
            </w:r>
            <w:r>
              <w:t xml:space="preserve">: fixed quarterly sittings, published KPI dashboards, named owners, multi-partisan membership — so oversight survives beyond one man’s diary</w:t>
            </w:r>
          </w:p>
        </w:tc>
      </w:tr>
      <w:tr>
        <w:tc>
          <w:tcPr/>
          <w:p>
            <w:pPr>
              <w:pStyle w:val="Compact"/>
              <w:jc w:val="left"/>
            </w:pPr>
            <w:r>
              <w:t xml:space="preserve">Stateless / Red IC fast-track</w:t>
            </w:r>
          </w:p>
        </w:tc>
        <w:tc>
          <w:tcPr/>
          <w:p>
            <w:pPr>
              <w:pStyle w:val="Compact"/>
              <w:jc w:val="left"/>
            </w:pPr>
            <w:r>
              <w:t xml:space="preserve">Home Ministry has resolved many long-standing cases since 2022, incl. a 1947-born applicant (Jul 2026) — but case-by-case, no published aggregate</w:t>
            </w:r>
          </w:p>
        </w:tc>
        <w:tc>
          <w:tcPr/>
          <w:p>
            <w:pPr>
              <w:pStyle w:val="Compact"/>
              <w:jc w:val="left"/>
            </w:pPr>
            <w:r>
              <w:rPr>
                <w:bCs/>
                <w:b/>
              </w:rPr>
              <w:t xml:space="preserve">A system</w:t>
            </w:r>
            <w:r>
              <w:t xml:space="preserve">: one-stop JPN–JPM desks, mobile teams, 24-month deadline to clear the residual MIB backlog with monthly published counts</w:t>
            </w:r>
          </w:p>
        </w:tc>
      </w:tr>
      <w:tr>
        <w:tc>
          <w:tcPr/>
          <w:p>
            <w:pPr>
              <w:pStyle w:val="Compact"/>
              <w:jc w:val="left"/>
            </w:pPr>
            <w:r>
              <w:t xml:space="preserve">7% civil service drive</w:t>
            </w:r>
          </w:p>
        </w:tc>
        <w:tc>
          <w:tcPr/>
          <w:p>
            <w:pPr>
              <w:pStyle w:val="Compact"/>
              <w:jc w:val="left"/>
            </w:pPr>
            <w:r>
              <w:t xml:space="preserve">Nothing targeted; share still</w:t>
            </w:r>
            <w:r>
              <w:t xml:space="preserve"> </w:t>
            </w:r>
            <w:r>
              <w:rPr>
                <w:bCs/>
                <w:b/>
              </w:rPr>
              <w:t xml:space="preserve">3.7% (2024)</w:t>
            </w:r>
          </w:p>
        </w:tc>
        <w:tc>
          <w:tcPr/>
          <w:p>
            <w:pPr>
              <w:pStyle w:val="Compact"/>
              <w:jc w:val="left"/>
            </w:pPr>
            <w:r>
              <w:rPr>
                <w:bCs/>
                <w:b/>
              </w:rPr>
              <w:t xml:space="preserve">Genuinely new</w:t>
            </w:r>
            <w:r>
              <w:t xml:space="preserve">: recruitment pipelines, Indian officers on SPA/JPA panels, annual published grade-disaggregated statistics</w:t>
            </w:r>
          </w:p>
        </w:tc>
      </w:tr>
      <w:tr>
        <w:tc>
          <w:tcPr/>
          <w:p>
            <w:pPr>
              <w:pStyle w:val="Compact"/>
              <w:jc w:val="left"/>
            </w:pPr>
            <w:r>
              <w:t xml:space="preserve">Matriculation expansion</w:t>
            </w:r>
          </w:p>
        </w:tc>
        <w:tc>
          <w:tcPr/>
          <w:p>
            <w:pPr>
              <w:pStyle w:val="Compact"/>
              <w:jc w:val="left"/>
            </w:pPr>
            <w:r>
              <w:t xml:space="preserve">10A auto-placement since Jun 2024 (expanded to A-); all</w:t>
            </w:r>
            <w:r>
              <w:t xml:space="preserve"> </w:t>
            </w:r>
            <w:r>
              <w:rPr>
                <w:bCs/>
                <w:b/>
              </w:rPr>
              <w:t xml:space="preserve">6,717</w:t>
            </w:r>
            <w:r>
              <w:t xml:space="preserve"> </w:t>
            </w:r>
            <w:r>
              <w:t xml:space="preserve">10A scorers offered for 2026/27; 1,537 Indian offers (2025)</w:t>
            </w:r>
          </w:p>
        </w:tc>
        <w:tc>
          <w:tcPr/>
          <w:p>
            <w:pPr>
              <w:pStyle w:val="Compact"/>
              <w:jc w:val="left"/>
            </w:pPr>
            <w:r>
              <w:rPr>
                <w:bCs/>
                <w:b/>
              </w:rPr>
              <w:t xml:space="preserve">Scale + quota reform</w:t>
            </w:r>
            <w:r>
              <w:t xml:space="preserve">: ≥2,000 offers/intake, accountability for rejected qualified applicants, Cabinet-level review of the 3.72% sub-quota</w:t>
            </w:r>
          </w:p>
        </w:tc>
      </w:tr>
      <w:tr>
        <w:tc>
          <w:tcPr/>
          <w:p>
            <w:pPr>
              <w:pStyle w:val="Compact"/>
              <w:jc w:val="left"/>
            </w:pPr>
            <w:r>
              <w:t xml:space="preserve">SJKT infrastructure</w:t>
            </w:r>
          </w:p>
        </w:tc>
        <w:tc>
          <w:tcPr/>
          <w:p>
            <w:pPr>
              <w:pStyle w:val="Compact"/>
              <w:jc w:val="left"/>
            </w:pPr>
            <w:r>
              <w:t xml:space="preserve">RM50m maintenance (2026); RM12.8m equipment (2025); 6 new SJKTs (2024); SJKT Ladang Jeram rebuild; ~RM2bn for 520 dilapidated schools</w:t>
            </w:r>
          </w:p>
        </w:tc>
        <w:tc>
          <w:tcPr/>
          <w:p>
            <w:pPr>
              <w:pStyle w:val="Compact"/>
              <w:jc w:val="left"/>
            </w:pPr>
            <w:r>
              <w:rPr>
                <w:bCs/>
                <w:b/>
              </w:rPr>
              <w:t xml:space="preserve">Completeness</w:t>
            </w:r>
            <w:r>
              <w:t xml:space="preserve">: a full dilapidated-building audit of all 528 SJKTs in 12 months, universal digital labs and trained coordinators by Year 2</w:t>
            </w:r>
          </w:p>
        </w:tc>
      </w:tr>
      <w:tr>
        <w:tc>
          <w:tcPr/>
          <w:p>
            <w:pPr>
              <w:pStyle w:val="Compact"/>
              <w:jc w:val="left"/>
            </w:pPr>
            <w:r>
              <w:t xml:space="preserve">IB40 micro-credit surge</w:t>
            </w:r>
          </w:p>
        </w:tc>
        <w:tc>
          <w:tcPr/>
          <w:p>
            <w:pPr>
              <w:pStyle w:val="Compact"/>
              <w:jc w:val="left"/>
            </w:pPr>
            <w:r>
              <w:t xml:space="preserve">~</w:t>
            </w:r>
            <w:r>
              <w:rPr>
                <w:bCs/>
                <w:b/>
              </w:rPr>
              <w:t xml:space="preserve">RM300m</w:t>
            </w:r>
            <w:r>
              <w:t xml:space="preserve"> </w:t>
            </w:r>
            <w:r>
              <w:t xml:space="preserve">package (MITRA/SPUMI/BRIEF-i, 2025); RM50m AIM PENN for Indian women; RM220m Budget 2026</w:t>
            </w:r>
          </w:p>
        </w:tc>
        <w:tc>
          <w:tcPr/>
          <w:p>
            <w:pPr>
              <w:pStyle w:val="Compact"/>
              <w:jc w:val="left"/>
            </w:pPr>
            <w:r>
              <w:rPr>
                <w:bCs/>
                <w:b/>
              </w:rPr>
              <w:t xml:space="preserve">Full revival of the MIB model</w:t>
            </w:r>
            <w:r>
              <w:t xml:space="preserve">: RM500m / RM5,000 per household / 100,000 IB40 households, on existing rails with real-time public tracking</w:t>
            </w:r>
          </w:p>
        </w:tc>
      </w:tr>
      <w:tr>
        <w:tc>
          <w:tcPr/>
          <w:p>
            <w:pPr>
              <w:pStyle w:val="Compact"/>
              <w:jc w:val="left"/>
            </w:pPr>
            <w:r>
              <w:t xml:space="preserve">TVET / STEM for at-risk youth</w:t>
            </w:r>
          </w:p>
        </w:tc>
        <w:tc>
          <w:tcPr/>
          <w:p>
            <w:pPr>
              <w:pStyle w:val="Compact"/>
              <w:jc w:val="left"/>
            </w:pPr>
            <w:r>
              <w:t xml:space="preserve">Cabinet-agreed</w:t>
            </w:r>
            <w:r>
              <w:t xml:space="preserve"> </w:t>
            </w:r>
            <w:r>
              <w:t xml:space="preserve">“</w:t>
            </w:r>
            <w:r>
              <w:t xml:space="preserve">easy path</w:t>
            </w:r>
            <w:r>
              <w:t xml:space="preserve">”</w:t>
            </w:r>
            <w:r>
              <w:t xml:space="preserve"> </w:t>
            </w:r>
            <w:r>
              <w:t xml:space="preserve">into TVET (2024); GLC employment discussions</w:t>
            </w:r>
          </w:p>
        </w:tc>
        <w:tc>
          <w:tcPr/>
          <w:p>
            <w:pPr>
              <w:pStyle w:val="Compact"/>
              <w:jc w:val="left"/>
            </w:pPr>
            <w:r>
              <w:rPr>
                <w:bCs/>
                <w:b/>
              </w:rPr>
              <w:t xml:space="preserve">Structure</w:t>
            </w:r>
            <w:r>
              <w:t xml:space="preserve">: paid apprenticeships, retention tracking, mentorship, 15,000 enrolees by Year 4</w:t>
            </w:r>
          </w:p>
        </w:tc>
      </w:tr>
      <w:tr>
        <w:tc>
          <w:tcPr/>
          <w:p>
            <w:pPr>
              <w:pStyle w:val="Compact"/>
              <w:jc w:val="left"/>
            </w:pPr>
            <w:r>
              <w:t xml:space="preserve">Chambers / SMEs in megaprojects</w:t>
            </w:r>
          </w:p>
        </w:tc>
        <w:tc>
          <w:tcPr/>
          <w:p>
            <w:pPr>
              <w:pStyle w:val="Compact"/>
              <w:jc w:val="left"/>
            </w:pPr>
            <w:r>
              <w:t xml:space="preserve">Entrepreneur financing exists; no procurement linkage</w:t>
            </w:r>
          </w:p>
        </w:tc>
        <w:tc>
          <w:tcPr/>
          <w:p>
            <w:pPr>
              <w:pStyle w:val="Compact"/>
              <w:jc w:val="left"/>
            </w:pPr>
            <w:r>
              <w:rPr>
                <w:bCs/>
                <w:b/>
              </w:rPr>
              <w:t xml:space="preserve">Genuinely new</w:t>
            </w:r>
            <w:r>
              <w:t xml:space="preserve">: certified vendor register (MAICCI/KLSICCI), procurement set-asides, ≥2% participation share, RM100m cumulative contracts</w:t>
            </w:r>
          </w:p>
        </w:tc>
      </w:tr>
      <w:tr>
        <w:tc>
          <w:tcPr/>
          <w:p>
            <w:pPr>
              <w:pStyle w:val="Compact"/>
              <w:jc w:val="left"/>
            </w:pPr>
            <w:r>
              <w:t xml:space="preserve">Estate-displacement housing</w:t>
            </w:r>
          </w:p>
        </w:tc>
        <w:tc>
          <w:tcPr/>
          <w:p>
            <w:pPr>
              <w:pStyle w:val="Compact"/>
              <w:jc w:val="left"/>
            </w:pPr>
            <w:r>
              <w:rPr>
                <w:bCs/>
                <w:b/>
              </w:rPr>
              <w:t xml:space="preserve">PRR Harmoni Madani Bestari Jaya</w:t>
            </w:r>
            <w:r>
              <w:t xml:space="preserve"> </w:t>
            </w:r>
            <w:r>
              <w:t xml:space="preserve">resolved a 27-year case (Feb 2025); SJKP raised to RM1.9bn</w:t>
            </w:r>
          </w:p>
        </w:tc>
        <w:tc>
          <w:tcPr/>
          <w:p>
            <w:pPr>
              <w:pStyle w:val="Compact"/>
              <w:jc w:val="left"/>
            </w:pPr>
            <w:r>
              <w:rPr>
                <w:bCs/>
                <w:b/>
              </w:rPr>
              <w:t xml:space="preserve">National reform</w:t>
            </w:r>
            <w:r>
              <w:t xml:space="preserve">: Estate-Displacement Legacy Review, revised allocation criteria in four states, 5,000 rent-to-own placements by Year 4</w:t>
            </w:r>
          </w:p>
        </w:tc>
      </w:tr>
      <w:tr>
        <w:tc>
          <w:tcPr/>
          <w:p>
            <w:pPr>
              <w:pStyle w:val="Compact"/>
              <w:jc w:val="left"/>
            </w:pPr>
            <w:r>
              <w:t xml:space="preserve">Proportionate equity (PNB/AS1M)</w:t>
            </w:r>
          </w:p>
        </w:tc>
        <w:tc>
          <w:tcPr/>
          <w:p>
            <w:pPr>
              <w:pStyle w:val="Compact"/>
              <w:jc w:val="left"/>
            </w:pPr>
            <w:r>
              <w:t xml:space="preserve">1.5bn AS1M units</w:t>
            </w:r>
            <w:r>
              <w:t xml:space="preserve"> </w:t>
            </w:r>
            <w:r>
              <w:rPr>
                <w:bCs/>
                <w:b/>
              </w:rPr>
              <w:t xml:space="preserve">lapsed</w:t>
            </w:r>
            <w:r>
              <w:t xml:space="preserve">; no successor fund</w:t>
            </w:r>
          </w:p>
        </w:tc>
        <w:tc>
          <w:tcPr/>
          <w:p>
            <w:pPr>
              <w:pStyle w:val="Compact"/>
              <w:jc w:val="left"/>
            </w:pPr>
            <w:r>
              <w:rPr>
                <w:bCs/>
                <w:b/>
              </w:rPr>
              <w:t xml:space="preserve">Genuinely new</w:t>
            </w:r>
            <w:r>
              <w:t xml:space="preserve">: PNB successor fund toward population proportionality; community investment vehicles with governance seats</w:t>
            </w:r>
          </w:p>
        </w:tc>
      </w:tr>
      <w:tr>
        <w:tc>
          <w:tcPr/>
          <w:p>
            <w:pPr>
              <w:pStyle w:val="Compact"/>
              <w:jc w:val="left"/>
            </w:pPr>
            <w:r>
              <w:t xml:space="preserve">Extreme IB40 urban poverty</w:t>
            </w:r>
          </w:p>
        </w:tc>
        <w:tc>
          <w:tcPr/>
          <w:p>
            <w:pPr>
              <w:pStyle w:val="Compact"/>
              <w:jc w:val="left"/>
            </w:pPr>
            <w:r>
              <w:t xml:space="preserve">Universal programmes (hardcore-poverty eradication in 5 states; SARA/STR cash aid) relieve but do not graduate</w:t>
            </w:r>
          </w:p>
        </w:tc>
        <w:tc>
          <w:tcPr/>
          <w:p>
            <w:pPr>
              <w:pStyle w:val="Compact"/>
              <w:jc w:val="left"/>
            </w:pPr>
            <w:r>
              <w:rPr>
                <w:bCs/>
                <w:b/>
              </w:rPr>
              <w:t xml:space="preserve">Targeted graduation</w:t>
            </w:r>
            <w:r>
              <w:t xml:space="preserve">: consolidated IB40 registry, graduation-model packages, income-floor guarantees —</w:t>
            </w:r>
            <w:r>
              <w:t xml:space="preserve"> </w:t>
            </w:r>
            <w:r>
              <w:rPr>
                <w:bCs/>
                <w:b/>
              </w:rPr>
              <w:t xml:space="preserve">zero IB40 extreme urban poverty by Year 6</w:t>
            </w:r>
          </w:p>
        </w:tc>
      </w:tr>
      <w:tr>
        <w:tc>
          <w:tcPr/>
          <w:p>
            <w:pPr>
              <w:pStyle w:val="Compact"/>
              <w:jc w:val="left"/>
            </w:pPr>
            <w:r>
              <w:t xml:space="preserve">Universal IB40 preschool</w:t>
            </w:r>
          </w:p>
        </w:tc>
        <w:tc>
          <w:tcPr/>
          <w:p>
            <w:pPr>
              <w:pStyle w:val="Compact"/>
              <w:jc w:val="left"/>
            </w:pPr>
            <w:r>
              <w:t xml:space="preserve">No IB40-specific programme</w:t>
            </w:r>
          </w:p>
        </w:tc>
        <w:tc>
          <w:tcPr/>
          <w:p>
            <w:pPr>
              <w:pStyle w:val="Compact"/>
              <w:jc w:val="left"/>
            </w:pPr>
            <w:r>
              <w:rPr>
                <w:bCs/>
                <w:b/>
              </w:rPr>
              <w:t xml:space="preserve">Genuinely new</w:t>
            </w:r>
            <w:r>
              <w:t xml:space="preserve">: 90% enrolment of IB40 children aged 4–6, ≥40,000 subsidised places, zero-cost enrolment below the IB40 mean</w:t>
            </w:r>
          </w:p>
        </w:tc>
      </w:tr>
    </w:tbl>
    <w:p>
      <w:pPr>
        <w:pStyle w:val="BodyText"/>
      </w:pPr>
      <w:r>
        <w:rPr>
          <w:bCs/>
          <w:b/>
        </w:rPr>
        <w:t xml:space="preserve">Reading of the table:</w:t>
      </w:r>
      <w:r>
        <w:t xml:space="preserve"> </w:t>
      </w:r>
      <w:r>
        <w:t xml:space="preserve">the government has delivered money and access; the plan delivers the machinery (a PM-chaired quarterly engine with published KPIs) and the missing structural programmes (civil service, preschool, procurement, equity, graduation out of poverty). Nothing in this proposal competes with an existing initiative — every ringgit already committed becomes a rail this plan runs on.</w:t>
      </w:r>
    </w:p>
    <w:bookmarkEnd w:id="94"/>
    <w:sectPr>
      <w:footerReference w:type="default" r:id="rId9"/>
      <w:pgSz w:w="11906" w:h="16838"/>
      <w:pgMar w:top="1440" w:bottom="1440"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jc w:val="both"/>
    </w:pPr>
    <w:rPr>
      <w:rFonts w:ascii="Georgia" w:hAnsi="Georgia" w:cs="Georgia" w:eastAsia="Georgia"/>
      <w:color w:val="212121"/>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val="1F3864"/>
      <w:sz w:val="5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jc w:val="left"/>
      <w:outlineLvl w:val="0"/>
    </w:pPr>
    <w:rPr>
      <w:rFonts w:asciiTheme="majorHAnsi" w:cstheme="majorBidi" w:eastAsiaTheme="majorEastAsia" w:hAnsiTheme="majorHAnsi" w:ascii="Georgia" w:hAnsi="Georgia" w:cs="Georgia" w:eastAsia="Georgia"/>
      <w:b/>
      <w:bCs/>
      <w:color w:val="1F3864"/>
      <w:sz w:val="40"/>
      <w:szCs w:val="32"/>
    </w:rPr>
  </w:style>
  <w:style w:styleId="Heading2" w:type="paragraph">
    <w:name w:val="Heading 2"/>
    <w:basedOn w:val="Normal"/>
    <w:next w:val="BodyText"/>
    <w:uiPriority w:val="9"/>
    <w:unhideWhenUsed/>
    <w:qFormat/>
    <w:pPr>
      <w:keepNext/>
      <w:keepLines/>
      <w:spacing w:after="120" w:before="280"/>
      <w:jc w:val="left"/>
      <w:outlineLvl w:val="1"/>
    </w:pPr>
    <w:rPr>
      <w:rFonts w:asciiTheme="majorHAnsi" w:cstheme="majorBidi" w:eastAsiaTheme="majorEastAsia" w:hAnsiTheme="majorHAnsi" w:ascii="Georgia" w:hAnsi="Georgia" w:cs="Georgia" w:eastAsia="Georgia"/>
      <w:b/>
      <w:bCs/>
      <w:color w:val="1F3864"/>
      <w:sz w:val="30"/>
      <w:szCs w:val="28"/>
    </w:rPr>
  </w:style>
  <w:style w:styleId="Heading3" w:type="paragraph">
    <w:name w:val="Heading 3"/>
    <w:basedOn w:val="Normal"/>
    <w:next w:val="BodyText"/>
    <w:uiPriority w:val="9"/>
    <w:unhideWhenUsed/>
    <w:qFormat/>
    <w:pPr>
      <w:keepNext/>
      <w:keepLines/>
      <w:spacing w:after="120" w:before="280"/>
      <w:jc w:val="left"/>
      <w:outlineLvl w:val="2"/>
    </w:pPr>
    <w:rPr>
      <w:rFonts w:asciiTheme="majorHAnsi" w:cstheme="majorBidi" w:eastAsiaTheme="majorEastAsia" w:hAnsiTheme="majorHAnsi" w:ascii="Georgia" w:hAnsi="Georgia" w:cs="Georgia" w:eastAsia="Georgia"/>
      <w:b/>
      <w:bCs/>
      <w:color w:val="1F3864"/>
      <w:sz w:val="25"/>
      <w:szCs w:val="24"/>
    </w:rPr>
  </w:style>
  <w:style w:styleId="Heading4" w:type="paragraph">
    <w:name w:val="Heading 4"/>
    <w:basedOn w:val="Normal"/>
    <w:next w:val="BodyText"/>
    <w:uiPriority w:val="9"/>
    <w:unhideWhenUsed/>
    <w:qFormat/>
    <w:pPr>
      <w:keepNext/>
      <w:keepLines/>
      <w:spacing w:after="120" w:before="280"/>
      <w:jc w:val="left"/>
      <w:outlineLvl w:val="3"/>
    </w:pPr>
    <w:rPr>
      <w:rFonts w:asciiTheme="majorHAnsi" w:cstheme="majorBidi" w:eastAsiaTheme="majorEastAsia" w:hAnsiTheme="majorHAnsi" w:ascii="Georgia" w:hAnsi="Georgia" w:cs="Georgia" w:eastAsia="Georgia"/>
      <w:i/>
      <w:b/>
      <w:bCs/>
      <w:color w:val="1F3864"/>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2026-08-01T18:07:17Z</dcterms:created>
  <dcterms:modified xsi:type="dcterms:W3CDTF">2026-08-01T18:07:17Z</dcterms:modified>
</cp:coreProperties>
</file>

<file path=docProps/custom.xml><?xml version="1.0" encoding="utf-8"?>
<Properties xmlns="http://schemas.openxmlformats.org/officeDocument/2006/custom-properties" xmlns:vt="http://schemas.openxmlformats.org/officeDocument/2006/docPropsVTypes"/>
</file>