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1dcc7500c5bb90d2012e138e12b9966c8514ab"/>
    <w:p>
      <w:pPr>
        <w:pStyle w:val="Heading1"/>
        <w:keepNext/>
        <w:spacing w:before="1800" w:after="200"/>
        <w:jc w:val="center"/>
      </w:pPr>
      <w:r>
        <w:rPr>
          <w:rFonts w:ascii="Calibri" w:hAnsi="Calibri"/>
          <w:b/>
          <w:color w:val="0B2545"/>
          <w:sz w:val="52"/>
        </w:rPr>
        <w:t xml:space="preserve">MIB 2.0 — Malaysian Indian Progression Blueprint</w:t>
      </w:r>
    </w:p>
    <w:p>
      <w:pPr>
        <w:spacing w:after="320"/>
        <w:jc w:val="center"/>
      </w:pPr>
      <w:r>
        <w:rPr>
          <w:rFonts w:ascii="Calibri" w:hAnsi="Calibri"/>
          <w:color w:val="1F4D78"/>
          <w:sz w:val="28"/>
        </w:rPr>
        <w:t>Evidence-led six-year policy architecture for preliminary decision</w:t>
      </w:r>
    </w:p>
    <w:p>
      <w:pPr>
        <w:spacing w:after="240"/>
        <w:jc w:val="center"/>
      </w:pPr>
      <w:r>
        <w:rPr>
          <w:rFonts w:ascii="Calibri" w:hAnsi="Calibri"/>
          <w:b/>
          <w:color w:val="5A626C"/>
          <w:sz w:val="20"/>
        </w:rPr>
        <w:t>CONTROLLED DRAFT  |  2026 nominal ringgit  |  Stage 9 assurance release</w:t>
      </w:r>
    </w:p>
    <w:p>
      <w:pPr>
        <w:spacing w:before="200" w:after="2800"/>
        <w:jc w:val="center"/>
      </w:pPr>
      <w:r>
        <w:rPr>
          <w:rFonts w:ascii="Calibri" w:hAnsi="Calibri"/>
          <w:i/>
          <w:color w:val="0B2545"/>
          <w:sz w:val="22"/>
        </w:rPr>
        <w:t>This document seeks bounded preliminary decisions. It is not a legal clearance, Treasury-approved envelope, appropriation, programme launch authority, or beneficiary entitlement.</w:t>
      </w:r>
      <w:r>
        <w:br w:type="page"/>
      </w:r>
    </w:p>
    <w:bookmarkStart w:id="21" w:name="X5b436a9e8d7cacd6ca2208139a19edcf4a4c10a"/>
    <w:p>
      <w:pPr>
        <w:pStyle w:val="Heading2"/>
        <w:keepNext/>
      </w:pPr>
      <w:r>
        <w:t xml:space="preserve">A Six-Year National Blueprint for Malaysian Indian Socioeconomic Advancement</w:t>
      </w:r>
    </w:p>
    <w:bookmarkStart w:id="20" w:name="Xd12e22d1720479e55240b05d14af83d666dea10"/>
    <w:p>
      <w:pPr>
        <w:pStyle w:val="Heading3"/>
        <w:keepNext/>
      </w:pPr>
      <w:r>
        <w:t xml:space="preserve">Executive Proposal for Preliminary Consideration by the Prime Minister and Cabinet</w:t>
      </w:r>
    </w:p>
    <w:p>
      <w:r>
        <w:pict>
          <v:rect style="width:0;height:1.5pt" o:hralign="center" o:hrstd="t" o:hr="t"/>
        </w:pict>
      </w:r>
    </w:p>
    <w:p>
      <w:pPr>
        <w:pStyle w:val="FirstParagraph"/>
      </w:pPr>
      <w:r>
        <w:rPr>
          <w:bCs/>
          <w:b/>
        </w:rPr>
        <w:t xml:space="preserve">Status of this document.</w:t>
      </w:r>
      <w:r>
        <w:t xml:space="preserve"> </w:t>
      </w:r>
      <w:r>
        <w:t xml:space="preserve">This is an executive proposal seeking a bounded preliminary decision: approval of policy direction and a 90-calendar-day validation process; conditional endorsement of the architecture as a design basis; and express deferral of all implementation and fiscal commitments. It is not a Cabinet Memorandum, an appropriation request or a final implementation blueprint. Only the items marked</w:t>
      </w:r>
      <w:r>
        <w:t xml:space="preserve"> </w:t>
      </w:r>
      <w:r>
        <w:rPr>
          <w:bCs/>
          <w:b/>
        </w:rPr>
        <w:t xml:space="preserve">Approve now</w:t>
      </w:r>
      <w:r>
        <w:t xml:space="preserve"> </w:t>
      </w:r>
      <w:r>
        <w:t xml:space="preserve">in Part 2 would become operative.</w:t>
      </w:r>
    </w:p>
    <w:p>
      <w:pPr>
        <w:pStyle w:val="BodyText"/>
      </w:pPr>
      <w:r>
        <w:rPr>
          <w:bCs/>
          <w:b/>
        </w:rPr>
        <w:t xml:space="preserve">Price basis.</w:t>
      </w:r>
      <w:r>
        <w:t xml:space="preserve"> </w:t>
      </w:r>
      <w:r>
        <w:t xml:space="preserve">All figures are 2026 nominal ringgit, price base year 2026, with no inflation escalation applied. This understates the nominal cash requirement in Years 3–6 by approximately 10–13% at 2.5% annual inflation, and is disclosed as a limitation (VAL-26).</w:t>
      </w:r>
    </w:p>
    <w:p>
      <w:pPr>
        <w:pStyle w:val="BodyText"/>
      </w:pPr>
      <w:r>
        <w:rPr>
          <w:bCs/>
          <w:b/>
        </w:rPr>
        <w:t xml:space="preserve">Evidence basis.</w:t>
      </w:r>
      <w:r>
        <w:t xml:space="preserve"> </w:t>
      </w:r>
      <w:r>
        <w:t xml:space="preserve">Every figure in this proposal maps to a claim identifier in</w:t>
      </w:r>
      <w:r>
        <w:t xml:space="preserve"> </w:t>
      </w:r>
      <w:r>
        <w:rPr>
          <w:rStyle w:val="VerbatimChar"/>
        </w:rPr>
        <w:t xml:space="preserve">CLAIMS_AND_FIGURES_REGISTER.csv</w:t>
      </w:r>
      <w:r>
        <w:t xml:space="preserve"> </w:t>
      </w:r>
      <w:r>
        <w:t xml:space="preserve">and to a source or assumption. Figures that could not be verified have been removed, not softened. Where a source draft's figure did not survive inspection, the correction is stated openly in this document rather than buried in an annex.</w:t>
      </w:r>
    </w:p>
    <w:p>
      <w:r>
        <w:pict>
          <v:rect style="width:0;height:1.5pt" o:hralign="center" o:hrstd="t" o:hr="t"/>
        </w:pict>
      </w:r>
    </w:p>
    <w:bookmarkEnd w:id="20"/>
    <w:bookmarkEnd w:id="21"/>
    <w:bookmarkEnd w:id="22"/>
    <w:bookmarkStart w:id="23" w:name="Xb61ac23e872929bb377ecdf56c7ec95d333d91d"/>
    <w:p>
      <w:pPr>
        <w:pStyle w:val="Heading1"/>
        <w:keepNext/>
      </w:pPr>
      <w:r>
        <w:t xml:space="preserve">1. Executive proposition</w:t>
      </w:r>
    </w:p>
    <w:p>
      <w:pPr>
        <w:pStyle w:val="FirstParagraph"/>
      </w:pPr>
      <w:r>
        <w:t xml:space="preserve">Malaysia's inclusive development framework is needs-based, and it should remain so. Within that framework, one set of structural barriers has proved unusually persistent for Malaysian Indian households: unresolved legal identity, uneven school readiness, a weak school-to-work transition, and negligible asset formation. Each barrier is administratively soluble. Together they compound across a life course, and they have not been closed by successive rounds of funding because no part of government has owned the outcome, published the numbers, or answered for them.</w:t>
      </w:r>
    </w:p>
    <w:p>
      <w:pPr>
        <w:pStyle w:val="BodyText"/>
      </w:pPr>
      <w:r>
        <w:rPr>
          <w:bCs/>
          <w:b/>
        </w:rPr>
        <w:t xml:space="preserve">The proposition is not more money. It is a delivery instrument, an evidence base, and a measured commitment.</w:t>
      </w:r>
    </w:p>
    <w:p>
      <w:pPr>
        <w:pStyle w:val="BodyText"/>
      </w:pPr>
      <w:r>
        <w:t xml:space="preserve">MIB 2.0 proposes:</w:t>
      </w:r>
    </w:p>
    <w:p>
      <w:pPr>
        <w:numPr>
          <w:ilvl w:val="0"/>
          <w:numId w:val="1001"/>
        </w:numPr>
        <w:pStyle w:val="Compact"/>
      </w:pPr>
      <w:r>
        <w:rPr>
          <w:bCs/>
          <w:b/>
        </w:rPr>
        <w:t xml:space="preserve">Four pillars</w:t>
      </w:r>
      <w:r>
        <w:t xml:space="preserve"> </w:t>
      </w:r>
      <w:r>
        <w:t xml:space="preserve">addressing the four structural exclusions, delivered through</w:t>
      </w:r>
      <w:r>
        <w:t xml:space="preserve"> </w:t>
      </w:r>
      <w:r>
        <w:rPr>
          <w:bCs/>
          <w:b/>
        </w:rPr>
        <w:t xml:space="preserve">sixteen retained substantive programmes</w:t>
      </w:r>
      <w:r>
        <w:t xml:space="preserve">, each with a named accountable ministry, an accounting officer, a phase, an outcome, a key performance indicator and a cost treatment. The programme register also records five non-retained source proposals for auditability; they are not part of the implementation portfolio.</w:t>
      </w:r>
    </w:p>
    <w:p>
      <w:pPr>
        <w:numPr>
          <w:ilvl w:val="0"/>
          <w:numId w:val="1001"/>
        </w:numPr>
        <w:pStyle w:val="Compact"/>
      </w:pPr>
      <w:r>
        <w:rPr>
          <w:bCs/>
          <w:b/>
        </w:rPr>
        <w:t xml:space="preserve">Three two-year phases</w:t>
      </w:r>
      <w:r>
        <w:t xml:space="preserve">, gated on evidence rather than on the calendar.</w:t>
      </w:r>
    </w:p>
    <w:p>
      <w:pPr>
        <w:numPr>
          <w:ilvl w:val="0"/>
          <w:numId w:val="1001"/>
        </w:numPr>
        <w:pStyle w:val="Compact"/>
      </w:pPr>
      <w:r>
        <w:rPr>
          <w:bCs/>
          <w:b/>
        </w:rPr>
        <w:t xml:space="preserve">Prime Ministerial sponsorship and strategic review</w:t>
      </w:r>
      <w:r>
        <w:t xml:space="preserve"> </w:t>
      </w:r>
      <w:r>
        <w:t xml:space="preserve">backed by a designated responsible minister, a Chief Secretary-chaired or authorised-equivalent senior-officials committee, named ministry delivery officers and a bounded secretariat — a continuity and accountability system, not a new authority over ministries.</w:t>
      </w:r>
    </w:p>
    <w:p>
      <w:pPr>
        <w:numPr>
          <w:ilvl w:val="0"/>
          <w:numId w:val="1001"/>
        </w:numPr>
        <w:pStyle w:val="Compact"/>
      </w:pPr>
      <w:r>
        <w:t xml:space="preserve">An</w:t>
      </w:r>
      <w:r>
        <w:t xml:space="preserve"> </w:t>
      </w:r>
      <w:r>
        <w:rPr>
          <w:bCs/>
          <w:b/>
        </w:rPr>
        <w:t xml:space="preserve">indicative six-year central planning scenario of RM1,484.273 million</w:t>
      </w:r>
      <w:r>
        <w:t xml:space="preserve">, with a</w:t>
      </w:r>
      <w:r>
        <w:t xml:space="preserve"> </w:t>
      </w:r>
      <w:r>
        <w:rPr>
          <w:bCs/>
          <w:b/>
        </w:rPr>
        <w:t xml:space="preserve">modelled incremental new funding requirement of RM847.677 million</w:t>
      </w:r>
      <w:r>
        <w:t xml:space="preserve"> </w:t>
      </w:r>
      <w:r>
        <w:t xml:space="preserve">and RM636.596 million provisionally classified as existing allocations or proposed reallocation (CLM-054). None of these amounts is submitted as an approved or verified envelope.</w:t>
      </w:r>
    </w:p>
    <w:p>
      <w:pPr>
        <w:pStyle w:val="FirstParagraph"/>
      </w:pPr>
      <w:r>
        <w:rPr>
          <w:bCs/>
          <w:b/>
        </w:rPr>
        <w:t xml:space="preserve">What is different about this proposal is what it declines to promise.</w:t>
      </w:r>
      <w:r>
        <w:t xml:space="preserve"> </w:t>
      </w:r>
      <w:r>
        <w:t xml:space="preserve">The MIB's 7% civil service target is not carried forward, because reaching it would require roughly 43,000 net additional Indian officers within six years and is not achievable (CLM-051). No ethnic procurement set-aside is proposed. No citizenship clearance percentage is guaranteed. Twelve of the sixteen indicators have a baseline status of</w:t>
      </w:r>
      <w:r>
        <w:t xml:space="preserve"> </w:t>
      </w:r>
      <w:r>
        <w:rPr>
          <w:rStyle w:val="VerbatimChar"/>
        </w:rPr>
        <w:t xml:space="preserve">to-be-established</w:t>
      </w:r>
      <w:r>
        <w:t xml:space="preserve">, and establishing those baselines — not hitting invented targets — is the principal deliverable of Phase 1. A plan that promises less and delivers it is the only remaining way to close a credibility gap that a decade of larger promises has widened.</w:t>
      </w:r>
    </w:p>
    <w:p>
      <w:r>
        <w:pict>
          <v:rect style="width:0;height:1.5pt" o:hralign="center" o:hrstd="t" o:hr="t"/>
        </w:pict>
      </w:r>
    </w:p>
    <w:bookmarkEnd w:id="23"/>
    <w:bookmarkStart w:id="33" w:name="X35e3b23d52180b2117001189cd54a97cf6d34b7"/>
    <w:p>
      <w:pPr>
        <w:pStyle w:val="Heading1"/>
        <w:keepNext/>
      </w:pPr>
      <w:r>
        <w:t xml:space="preserve">2. Decisions requested</w:t>
      </w:r>
    </w:p>
    <w:bookmarkStart w:id="24" w:name="X1b11e0c68b636f29cd8900ec8d888ecbf4a03ba"/>
    <w:p>
      <w:pPr>
        <w:pStyle w:val="Heading2"/>
        <w:keepNext/>
      </w:pPr>
      <w:r>
        <w:t xml:space="preserve">2.1 Approve now</w:t>
      </w:r>
    </w:p>
    <w:p>
      <w:pPr>
        <w:pStyle w:val="FirstParagraph"/>
      </w:pPr>
      <w:r>
        <w:t xml:space="preserve">These decisions create authority to validate and prepare. They do not launch the six-year programme or approve new expenditure.</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025"/>
        <w:gridCol w:w="2778"/>
        <w:gridCol w:w="2778"/>
        <w:gridCol w:w="2779"/>
      </w:tblGrid>
      <w:tr>
        <w:trPr>
          <w:tblHeader w:val="true"/>
          <w:cantSplit w:val="true"/>
          <w:tblHeader w:val="true"/>
        </w:trPr>
        <w:tc>
          <w:tcPr>
            <w:tcW w:w="1025"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w:t>
            </w:r>
          </w:p>
        </w:tc>
        <w:tc>
          <w:tcPr>
            <w:tcW w:w="2778"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Decision</w:t>
            </w:r>
          </w:p>
        </w:tc>
        <w:tc>
          <w:tcPr>
            <w:tcW w:w="2778"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What it authorises</w:t>
            </w:r>
          </w:p>
        </w:tc>
        <w:tc>
          <w:tcPr>
            <w:tcW w:w="2779"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What it does</w:t>
            </w:r>
            <w:r>
              <w:rPr>
                <w:rFonts w:ascii="Calibri" w:hAnsi="Calibri"/>
                <w:b/>
                <w:color w:val="0B2545"/>
                <w:sz w:val="17"/>
              </w:rPr>
              <w:t xml:space="preserve"> </w:t>
            </w:r>
            <w:r>
              <w:rPr>
                <w:bCs/>
                <w:rFonts w:ascii="Calibri" w:hAnsi="Calibri"/>
                <w:b/>
                <w:color w:val="0B2545"/>
                <w:sz w:val="17"/>
              </w:rPr>
              <w:t xml:space="preserve">not</w:t>
            </w:r>
            <w:r>
              <w:rPr>
                <w:rFonts w:ascii="Calibri" w:hAnsi="Calibri"/>
                <w:b/>
                <w:color w:val="0B2545"/>
                <w:sz w:val="17"/>
              </w:rPr>
              <w:t xml:space="preserve"> </w:t>
            </w:r>
            <w:r>
              <w:rPr>
                <w:rFonts w:ascii="Calibri" w:hAnsi="Calibri"/>
                <w:b/>
                <w:color w:val="0B2545"/>
                <w:sz w:val="17"/>
              </w:rPr>
              <w:t xml:space="preserve">authorise</w:t>
            </w:r>
          </w:p>
        </w:tc>
      </w:tr>
      <w:tr>
        <w:trPr>
          <w:cantSplit w:val="true"/>
        </w:trPr>
        <w:tc>
          <w:tcPr>
            <w:tcW w:w="1025"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AN-01</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Approve the policy direction and strategic objectives of MIB 2.0 as the basis for further government design and validation</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 common policy direction focused on removing structural barriers through needs-based delivery</w:t>
            </w:r>
          </w:p>
        </w:tc>
        <w:tc>
          <w:tcPr>
            <w:tcW w:w="27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Adoption of the six-year implementation portfolio; any ethnic entitlement; any expenditure or statutory change</w:t>
            </w:r>
          </w:p>
        </w:tc>
      </w:tr>
      <w:tr>
        <w:trPr>
          <w:cantSplit w:val="true"/>
        </w:trPr>
        <w:tc>
          <w:tcPr>
            <w:tcW w:w="1025"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AN-02</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Authorise a 90-calendar-day cross-agency validation exercise beginning on the date of Cabinet notification</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Collection and reconciliation of the thirty validation items; agency data requests; legal, fiscal and delivery testing</w:t>
            </w:r>
          </w:p>
        </w:tc>
        <w:tc>
          <w:tcPr>
            <w:tcW w:w="27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Programme launch; beneficiary enrolment; grants; procurement; contracts; permanent establishment; or commitment beyond the validation period</w:t>
            </w:r>
          </w:p>
        </w:tc>
      </w:tr>
      <w:tr>
        <w:trPr>
          <w:cantSplit w:val="true"/>
        </w:trPr>
        <w:tc>
          <w:tcPr>
            <w:tcW w:w="1025"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AN-03</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Establish an interim coordination arrangement and require participating ministries and agencies to nominate accountable delivery officers and alternates</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Prime Ministerial sponsorship and strategic review; a designated responsible minister between reviews; a Chief Secretary-chaired or Cabinet-authorised equivalent senior-officials mechanism; an interim secretariat operating within existing approved functions and resources; meeting-independent reporting and automatic milestone escalation</w:t>
            </w:r>
          </w:p>
        </w:tc>
        <w:tc>
          <w:tcPr>
            <w:tcW w:w="27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Creation of the proposed 35 permanent secretariat posts; transfer of statutory powers, votes, budgets, procurement authority or accounting-officer responsibilities; direction of independent or state authorities; dependence of routine delivery on personal Prime Ministerial chairmanship</w:t>
            </w:r>
          </w:p>
        </w:tc>
      </w:tr>
      <w:tr>
        <w:trPr>
          <w:cantSplit w:val="true"/>
        </w:trPr>
        <w:tc>
          <w:tcPr>
            <w:tcW w:w="1025"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AN-04</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Authorise preparation of a formal implementation submission after validation</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Programme design sheets, a legal issues matrix, a Treasury-validated Phase 1 fiscal memorandum and an implementation decision paper</w:t>
            </w:r>
          </w:p>
        </w:tc>
        <w:tc>
          <w:tcPr>
            <w:tcW w:w="27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Automatic return to Cabinet with the current scope or figures; unresolved items must be removed, re-scoped or presented as explicit conditions</w:t>
            </w:r>
          </w:p>
        </w:tc>
      </w:tr>
      <w:tr>
        <w:trPr>
          <w:cantSplit w:val="true"/>
        </w:trPr>
        <w:tc>
          <w:tcPr>
            <w:tcW w:w="1025"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AN-05</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Require validation and design work to use existing approved resources unless a separate capped request is justified</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Use of existing lawful administrative capacity for the validation exercise; preparation of a separately itemised request if a demonstrable resource gap remains</w:t>
            </w:r>
          </w:p>
        </w:tc>
        <w:tc>
          <w:tcPr>
            <w:tcW w:w="27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Any new design or validation appropriation under this proposal; use of the indicative six-year envelope; retrospective or open-ended expenditure</w:t>
            </w:r>
          </w:p>
        </w:tc>
      </w:tr>
    </w:tbl>
    <w:bookmarkEnd w:id="24"/>
    <w:bookmarkStart w:id="25" w:name="Xca5f0ae3e613774c9285ac638c7dceb48df7c5c"/>
    <w:p>
      <w:pPr>
        <w:pStyle w:val="Heading2"/>
        <w:keepNext/>
      </w:pPr>
      <w:r>
        <w:t xml:space="preserve">2.2 Endorse conditionally</w:t>
      </w:r>
    </w:p>
    <w:p>
      <w:pPr>
        <w:pStyle w:val="FirstParagraph"/>
      </w:pPr>
      <w:r>
        <w:t xml:space="preserve">These propositions may guide detailed design, but have no operative effect unless their stated dependencies are cleared and a later decision expressly activates them.</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025"/>
        <w:gridCol w:w="2778"/>
        <w:gridCol w:w="2778"/>
        <w:gridCol w:w="2779"/>
      </w:tblGrid>
      <w:tr>
        <w:trPr>
          <w:tblHeader w:val="true"/>
          <w:cantSplit w:val="true"/>
          <w:tblHeader w:val="true"/>
        </w:trPr>
        <w:tc>
          <w:tcPr>
            <w:tcW w:w="1025"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w:t>
            </w:r>
          </w:p>
        </w:tc>
        <w:tc>
          <w:tcPr>
            <w:tcW w:w="2778"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Decision</w:t>
            </w:r>
          </w:p>
        </w:tc>
        <w:tc>
          <w:tcPr>
            <w:tcW w:w="2778"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What it authorises</w:t>
            </w:r>
          </w:p>
        </w:tc>
        <w:tc>
          <w:tcPr>
            <w:tcW w:w="2779"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What it does</w:t>
            </w:r>
            <w:r>
              <w:rPr>
                <w:rFonts w:ascii="Calibri" w:hAnsi="Calibri"/>
                <w:b/>
                <w:color w:val="0B2545"/>
                <w:sz w:val="17"/>
              </w:rPr>
              <w:t xml:space="preserve"> </w:t>
            </w:r>
            <w:r>
              <w:rPr>
                <w:bCs/>
                <w:rFonts w:ascii="Calibri" w:hAnsi="Calibri"/>
                <w:b/>
                <w:color w:val="0B2545"/>
                <w:sz w:val="17"/>
              </w:rPr>
              <w:t xml:space="preserve">not</w:t>
            </w:r>
            <w:r>
              <w:rPr>
                <w:rFonts w:ascii="Calibri" w:hAnsi="Calibri"/>
                <w:b/>
                <w:color w:val="0B2545"/>
                <w:sz w:val="17"/>
              </w:rPr>
              <w:t xml:space="preserve"> </w:t>
            </w:r>
            <w:r>
              <w:rPr>
                <w:rFonts w:ascii="Calibri" w:hAnsi="Calibri"/>
                <w:b/>
                <w:color w:val="0B2545"/>
                <w:sz w:val="17"/>
              </w:rPr>
              <w:t xml:space="preserve">authorise</w:t>
            </w:r>
          </w:p>
        </w:tc>
      </w:tr>
      <w:tr>
        <w:trPr>
          <w:cantSplit w:val="true"/>
        </w:trPr>
        <w:tc>
          <w:tcPr>
            <w:tcW w:w="1025"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CE-01</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Conditionally endorse the six-year architecture as the basis for validation and detailed design</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Testing of the four-pillar, three-phase structure and its sequencing</w:t>
            </w:r>
          </w:p>
        </w:tc>
        <w:tc>
          <w:tcPr>
            <w:tcW w:w="27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Adoption of the architecture as a binding implementation plan or authority to proceed by calendar alone</w:t>
            </w:r>
          </w:p>
        </w:tc>
      </w:tr>
      <w:tr>
        <w:trPr>
          <w:cantSplit w:val="true"/>
        </w:trPr>
        <w:tc>
          <w:tcPr>
            <w:tcW w:w="1025"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CE-02</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Conditionally endorse the central fiscal scenario as an indicative planning case only</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Treasury testing of programme costs, funding classifications, inflation treatment and affordability against conservative and expanded sensitivity cases</w:t>
            </w:r>
          </w:p>
        </w:tc>
        <w:tc>
          <w:tcPr>
            <w:tcW w:w="27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Approval of a final RM1,484.273 million envelope; confirmation of RM636.596 million as existing or reallocated funding; or any appropriation</w:t>
            </w:r>
          </w:p>
        </w:tc>
      </w:tr>
      <w:tr>
        <w:trPr>
          <w:cantSplit w:val="true"/>
        </w:trPr>
        <w:tc>
          <w:tcPr>
            <w:tcW w:w="1025"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CE-03</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Conditionally endorse the sixteen retained substantive programme directions for detailed design</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Preparation of programme design sheets and agency feasibility decisions</w:t>
            </w:r>
          </w:p>
        </w:tc>
        <w:tc>
          <w:tcPr>
            <w:tcW w:w="27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Approval, launch or funding of any individual programme; acceptance of provisional volumes or targets</w:t>
            </w:r>
          </w:p>
        </w:tc>
      </w:tr>
      <w:tr>
        <w:trPr>
          <w:cantSplit w:val="true"/>
        </w:trPr>
        <w:tc>
          <w:tcPr>
            <w:tcW w:w="1025"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CE-04</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Conditionally endorse Phase 1 as a candidate implementation package for a later decision</w:t>
            </w:r>
          </w:p>
        </w:tc>
        <w:tc>
          <w:tcPr>
            <w:tcW w:w="277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Detailed scoping of a Phase 1 package and identification of the clearances applying to each component</w:t>
            </w:r>
          </w:p>
        </w:tc>
        <w:tc>
          <w:tcPr>
            <w:tcW w:w="27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Commencement of Phase 1; approval of its current RM355.3 million central scenario; or bypass of AGC, MOF, JPA, agency, state or partner decisions</w:t>
            </w:r>
          </w:p>
        </w:tc>
      </w:tr>
    </w:tbl>
    <w:bookmarkEnd w:id="25"/>
    <w:bookmarkStart w:id="26" w:name="X566ad5f614ae82c86efdc4cf2dce4b8e7804b9d"/>
    <w:p>
      <w:pPr>
        <w:pStyle w:val="Heading2"/>
        <w:keepNext/>
      </w:pPr>
      <w:r>
        <w:t xml:space="preserve">2.3 Do not approve now</w:t>
      </w:r>
    </w:p>
    <w:p>
      <w:pPr>
        <w:pStyle w:val="FirstParagraph"/>
      </w:pPr>
      <w:r>
        <w:t xml:space="preserve">These exclusions are part of the decision itself. Silence or general endorsement must not be interpreted as approval of any item below.</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146"/>
        <w:gridCol w:w="4106"/>
        <w:gridCol w:w="4108"/>
      </w:tblGrid>
      <w:tr>
        <w:trPr>
          <w:tblHeader w:val="true"/>
          <w:cantSplit w:val="true"/>
          <w:tblHeader w:val="true"/>
        </w:trPr>
        <w:tc>
          <w:tcPr>
            <w:tcW w:w="1146"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w:t>
            </w:r>
          </w:p>
        </w:tc>
        <w:tc>
          <w:tcPr>
            <w:tcW w:w="4106"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Excluded decision</w:t>
            </w:r>
          </w:p>
        </w:tc>
        <w:tc>
          <w:tcPr>
            <w:tcW w:w="4108"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Required before reconsideration</w:t>
            </w:r>
          </w:p>
        </w:tc>
      </w:tr>
      <w:tr>
        <w:trPr>
          <w:cantSplit w:val="true"/>
        </w:trPr>
        <w:tc>
          <w:tcPr>
            <w:tcW w:w="1146"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NA-01</w:t>
            </w:r>
          </w:p>
        </w:tc>
        <w:tc>
          <w:tcPr>
            <w:tcW w:w="410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Do not approve the final six-year fiscal envelope</w:t>
            </w:r>
          </w:p>
        </w:tc>
        <w:tc>
          <w:tcPr>
            <w:tcW w:w="410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Treasury validation and later Cabinet decision</w:t>
            </w:r>
          </w:p>
        </w:tc>
      </w:tr>
      <w:tr>
        <w:trPr>
          <w:cantSplit w:val="true"/>
        </w:trPr>
        <w:tc>
          <w:tcPr>
            <w:tcW w:w="1146"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NA-02</w:t>
            </w:r>
          </w:p>
        </w:tc>
        <w:tc>
          <w:tcPr>
            <w:tcW w:w="410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Do not approve or recognise unverified ministry reallocations as available funding</w:t>
            </w:r>
          </w:p>
        </w:tc>
        <w:tc>
          <w:tcPr>
            <w:tcW w:w="410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Ministry and Treasury confirmation</w:t>
            </w:r>
          </w:p>
        </w:tc>
      </w:tr>
      <w:tr>
        <w:trPr>
          <w:cantSplit w:val="true"/>
        </w:trPr>
        <w:tc>
          <w:tcPr>
            <w:tcW w:w="1146"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NA-03</w:t>
            </w:r>
          </w:p>
        </w:tc>
        <w:tc>
          <w:tcPr>
            <w:tcW w:w="410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Do not approve any Phase 1 appropriation or any Years 3–6 appropriation</w:t>
            </w:r>
          </w:p>
        </w:tc>
        <w:tc>
          <w:tcPr>
            <w:tcW w:w="410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Normal appropriation and Malaysia Plan processes</w:t>
            </w:r>
          </w:p>
        </w:tc>
      </w:tr>
      <w:tr>
        <w:trPr>
          <w:cantSplit w:val="true"/>
        </w:trPr>
        <w:tc>
          <w:tcPr>
            <w:tcW w:w="1146"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NA-04</w:t>
            </w:r>
          </w:p>
        </w:tc>
        <w:tc>
          <w:tcPr>
            <w:tcW w:w="410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Do not approve or direct PNB participation in PRG-11</w:t>
            </w:r>
          </w:p>
        </w:tc>
        <w:tc>
          <w:tcPr>
            <w:tcW w:w="410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PNB commercial agreement and MOF design approval</w:t>
            </w:r>
          </w:p>
        </w:tc>
      </w:tr>
      <w:tr>
        <w:trPr>
          <w:cantSplit w:val="true"/>
        </w:trPr>
        <w:tc>
          <w:tcPr>
            <w:tcW w:w="1146"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NA-05</w:t>
            </w:r>
          </w:p>
        </w:tc>
        <w:tc>
          <w:tcPr>
            <w:tcW w:w="410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Do not approve commitments dependent on states, local authorities, trustees or religious authorities</w:t>
            </w:r>
          </w:p>
        </w:tc>
        <w:tc>
          <w:tcPr>
            <w:tcW w:w="410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Written consent and applicable legal or administrative approval</w:t>
            </w:r>
          </w:p>
        </w:tc>
      </w:tr>
      <w:tr>
        <w:trPr>
          <w:cantSplit w:val="true"/>
        </w:trPr>
        <w:tc>
          <w:tcPr>
            <w:tcW w:w="1146"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NA-06</w:t>
            </w:r>
          </w:p>
        </w:tc>
        <w:tc>
          <w:tcPr>
            <w:tcW w:w="410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Do not approve programme outcome targets whose baselines are not verified</w:t>
            </w:r>
          </w:p>
        </w:tc>
        <w:tc>
          <w:tcPr>
            <w:tcW w:w="410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Verified baseline and agency acceptance</w:t>
            </w:r>
          </w:p>
        </w:tc>
      </w:tr>
      <w:tr>
        <w:trPr>
          <w:cantSplit w:val="true"/>
        </w:trPr>
        <w:tc>
          <w:tcPr>
            <w:tcW w:w="1146"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NA-07</w:t>
            </w:r>
          </w:p>
        </w:tc>
        <w:tc>
          <w:tcPr>
            <w:tcW w:w="410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Do not approve permanent-establishment, statutory, procurement or contractual consequences</w:t>
            </w:r>
          </w:p>
        </w:tc>
        <w:tc>
          <w:tcPr>
            <w:tcW w:w="410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Applicable establishment, legal, fiscal and procurement approvals</w:t>
            </w:r>
          </w:p>
        </w:tc>
      </w:tr>
    </w:tbl>
    <w:p>
      <w:pPr>
        <w:pStyle w:val="BodyText"/>
      </w:pPr>
      <w:r>
        <w:rPr>
          <w:bCs/>
          <w:b/>
        </w:rPr>
        <w:t xml:space="preserve">Decision rule.</w:t>
      </w:r>
      <w:r>
        <w:t xml:space="preserve"> </w:t>
      </w:r>
      <w:r>
        <w:t xml:space="preserve">Only AN-01 to AN-05 would take effect on this preliminary decision. CE-01 to CE-04 are design parameters, not operative approvals. NA-01 to NA-07 are express exclusions. If the recorded Cabinet decision does not preserve that distinction, the sponsoring ministry must correct the record before undertaking any action.</w:t>
      </w:r>
    </w:p>
    <w:bookmarkEnd w:id="26"/>
    <w:bookmarkStart w:id="27" w:name="X593f5e105def8e6af64fedb99708e7854f2eefe"/>
    <w:p>
      <w:pPr>
        <w:pStyle w:val="Heading2"/>
        <w:keepNext/>
      </w:pPr>
      <w:r>
        <w:t xml:space="preserve">2.4 Validation control architecture</w:t>
      </w:r>
    </w:p>
    <w:p>
      <w:pPr>
        <w:pStyle w:val="FirstParagraph"/>
      </w:pPr>
      <w:r>
        <w:t xml:space="preserve">The thirty validation items are not one undifferentiated condition. Each is assigned to the earliest decision it can legitimately block:</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795"/>
        <w:gridCol w:w="1255"/>
        <w:gridCol w:w="5310"/>
      </w:tblGrid>
      <w:tr>
        <w:trPr>
          <w:tblHeader w:val="true"/>
          <w:cantSplit w:val="true"/>
          <w:tblHeader w:val="true"/>
        </w:trPr>
        <w:tc>
          <w:tcPr>
            <w:tcW w:w="2795"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Classification</w:t>
            </w:r>
          </w:p>
        </w:tc>
        <w:tc>
          <w:tcPr>
            <w:tcW w:w="1255"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7"/>
              </w:rPr>
              <w:t xml:space="preserve">Items</w:t>
            </w:r>
          </w:p>
        </w:tc>
        <w:tc>
          <w:tcPr>
            <w:tcW w:w="5310"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Control effect</w:t>
            </w:r>
          </w:p>
        </w:tc>
      </w:tr>
      <w:tr>
        <w:trPr>
          <w:cantSplit w:val="true"/>
        </w:trPr>
        <w:tc>
          <w:tcPr>
            <w:tcW w:w="2795"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Pre-submission gate</w:t>
            </w:r>
          </w:p>
        </w:tc>
        <w:tc>
          <w:tcPr>
            <w:tcW w:w="1255"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12</w:t>
            </w:r>
          </w:p>
        </w:tc>
        <w:tc>
          <w:tcPr>
            <w:tcW w:w="531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Must resolve before the affected implementation or funding decision is submitted</w:t>
            </w:r>
          </w:p>
        </w:tc>
      </w:tr>
      <w:tr>
        <w:trPr>
          <w:cantSplit w:val="true"/>
        </w:trPr>
        <w:tc>
          <w:tcPr>
            <w:tcW w:w="2795"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Programme-launch gate</w:t>
            </w:r>
          </w:p>
        </w:tc>
        <w:tc>
          <w:tcPr>
            <w:tcW w:w="1255"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8</w:t>
            </w:r>
          </w:p>
        </w:tc>
        <w:tc>
          <w:tcPr>
            <w:tcW w:w="531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Blocks only the named programme or jurisdiction</w:t>
            </w:r>
          </w:p>
        </w:tc>
      </w:tr>
      <w:tr>
        <w:trPr>
          <w:cantSplit w:val="true"/>
        </w:trPr>
        <w:tc>
          <w:tcPr>
            <w:tcW w:w="2795"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Phase-expansion gate</w:t>
            </w:r>
          </w:p>
        </w:tc>
        <w:tc>
          <w:tcPr>
            <w:tcW w:w="1255"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w:t>
            </w:r>
          </w:p>
        </w:tc>
        <w:tc>
          <w:tcPr>
            <w:tcW w:w="531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Blocks scale-up or later-phase appropriation, not controlled Phase 1 work</w:t>
            </w:r>
          </w:p>
        </w:tc>
      </w:tr>
      <w:tr>
        <w:trPr>
          <w:cantSplit w:val="true"/>
        </w:trPr>
        <w:tc>
          <w:tcPr>
            <w:tcW w:w="2795"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Operational baseline</w:t>
            </w:r>
          </w:p>
        </w:tc>
        <w:tc>
          <w:tcPr>
            <w:tcW w:w="1255"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5</w:t>
            </w:r>
          </w:p>
        </w:tc>
        <w:tc>
          <w:tcPr>
            <w:tcW w:w="531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May be established during operations but must precede target calibration</w:t>
            </w:r>
          </w:p>
        </w:tc>
      </w:tr>
      <w:tr>
        <w:trPr>
          <w:cantSplit w:val="true"/>
        </w:trPr>
        <w:tc>
          <w:tcPr>
            <w:tcW w:w="2795"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Deferrable design matter</w:t>
            </w:r>
          </w:p>
        </w:tc>
        <w:tc>
          <w:tcPr>
            <w:tcW w:w="1255"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3</w:t>
            </w:r>
          </w:p>
        </w:tc>
        <w:tc>
          <w:tcPr>
            <w:tcW w:w="531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Does not block submission or launch unless the disputed material is used</w:t>
            </w:r>
          </w:p>
        </w:tc>
      </w:tr>
    </w:tbl>
    <w:p>
      <w:pPr>
        <w:pStyle w:val="BodyText"/>
      </w:pPr>
      <w:r>
        <w:t xml:space="preserve">The six strict gates remain</w:t>
      </w:r>
      <w:r>
        <w:t xml:space="preserve"> </w:t>
      </w:r>
      <w:r>
        <w:rPr>
          <w:bCs/>
          <w:b/>
        </w:rPr>
        <w:t xml:space="preserve">VAL-01, VAL-09, VAL-11, VAL-19, VAL-23, VAL-30</w:t>
      </w:r>
      <w:r>
        <w:t xml:space="preserve">. Four further items —</w:t>
      </w:r>
      <w:r>
        <w:t xml:space="preserve"> </w:t>
      </w:r>
      <w:r>
        <w:rPr>
          <w:bCs/>
          <w:b/>
        </w:rPr>
        <w:t xml:space="preserve">VAL-03, VAL-24, VAL-27, VAL-28</w:t>
      </w:r>
      <w:r>
        <w:t xml:space="preserve"> </w:t>
      </w:r>
      <w:r>
        <w:t xml:space="preserve">— are decision-dependent critical: they become submission blockers only if the later request relies on the affected funding, measurement, governance or reallocation proposition.</w:t>
      </w:r>
    </w:p>
    <w:p>
      <w:pPr>
        <w:pStyle w:val="BodyText"/>
      </w:pPr>
      <w:r>
        <w:t xml:space="preserve">Every item has one accountable owner, supporting agencies, required evidence, a control deadline, escalation route, financial consequence, affected decision and controlled status. The deadlines run from Cabinet notification or the stated programme/phase event; they are management controls, not statutory time limits. Status is restricted to</w:t>
      </w:r>
      <w:r>
        <w:t xml:space="preserve"> </w:t>
      </w:r>
      <w:r>
        <w:rPr>
          <w:rStyle w:val="VerbatimChar"/>
        </w:rPr>
        <w:t xml:space="preserve">open</w:t>
      </w:r>
      <w:r>
        <w:t xml:space="preserve">,</w:t>
      </w:r>
      <w:r>
        <w:t xml:space="preserve"> </w:t>
      </w:r>
      <w:r>
        <w:rPr>
          <w:rStyle w:val="VerbatimChar"/>
        </w:rPr>
        <w:t xml:space="preserve">requested</w:t>
      </w:r>
      <w:r>
        <w:t xml:space="preserve">,</w:t>
      </w:r>
      <w:r>
        <w:t xml:space="preserve"> </w:t>
      </w:r>
      <w:r>
        <w:rPr>
          <w:rStyle w:val="VerbatimChar"/>
        </w:rPr>
        <w:t xml:space="preserve">received</w:t>
      </w:r>
      <w:r>
        <w:t xml:space="preserve">,</w:t>
      </w:r>
      <w:r>
        <w:t xml:space="preserve"> </w:t>
      </w:r>
      <w:r>
        <w:rPr>
          <w:rStyle w:val="VerbatimChar"/>
        </w:rPr>
        <w:t xml:space="preserve">accepted</w:t>
      </w:r>
      <w:r>
        <w:t xml:space="preserve"> </w:t>
      </w:r>
      <w:r>
        <w:t xml:space="preserve">or</w:t>
      </w:r>
      <w:r>
        <w:t xml:space="preserve"> </w:t>
      </w:r>
      <w:r>
        <w:rPr>
          <w:rStyle w:val="VerbatimChar"/>
        </w:rPr>
        <w:t xml:space="preserve">disputed</w:t>
      </w:r>
      <w:r>
        <w:t xml:space="preserve">.</w:t>
      </w:r>
    </w:p>
    <w:p>
      <w:pPr>
        <w:pStyle w:val="BodyText"/>
      </w:pPr>
      <w:r>
        <w:rPr>
          <w:bCs/>
          <w:b/>
        </w:rPr>
        <w:t xml:space="preserve">No-cascade rule.</w:t>
      </w:r>
      <w:r>
        <w:t xml:space="preserve"> </w:t>
      </w:r>
      <w:r>
        <w:t xml:space="preserve">An unresolved item blocks only the decision IDs listed against it in</w:t>
      </w:r>
      <w:r>
        <w:t xml:space="preserve"> </w:t>
      </w:r>
      <w:r>
        <w:rPr>
          <w:rStyle w:val="VerbatimChar"/>
        </w:rPr>
        <w:t xml:space="preserve">VALIDATION_REGISTER.csv</w:t>
      </w:r>
      <w:r>
        <w:t xml:space="preserve">. It does not suspend unrelated validation work or programmes.</w:t>
      </w:r>
    </w:p>
    <w:bookmarkEnd w:id="27"/>
    <w:bookmarkStart w:id="28" w:name="Xe4245f4f56021e34d9073770a39752ec862d63e"/>
    <w:p>
      <w:pPr>
        <w:pStyle w:val="Heading2"/>
        <w:keepNext/>
      </w:pPr>
      <w:r>
        <w:t xml:space="preserve">2.5 Legal and jurisdictional clearance architecture</w:t>
      </w:r>
    </w:p>
    <w:p>
      <w:pPr>
        <w:pStyle w:val="FirstParagraph"/>
      </w:pPr>
      <w:r>
        <w:rPr>
          <w:rStyle w:val="VerbatimChar"/>
        </w:rPr>
        <w:t xml:space="preserve">LEGAL_ISSUES_REGISTER.csv</w:t>
      </w:r>
      <w:r>
        <w:t xml:space="preserve"> </w:t>
      </w:r>
      <w:r>
        <w:t xml:space="preserve">controls</w:t>
      </w:r>
      <w:r>
        <w:t xml:space="preserve"> </w:t>
      </w:r>
      <w:r>
        <w:rPr>
          <w:bCs/>
          <w:b/>
        </w:rPr>
        <w:t xml:space="preserve">18 legal issues</w:t>
      </w:r>
      <w:r>
        <w:t xml:space="preserve">:</w:t>
      </w:r>
      <w:r>
        <w:t xml:space="preserve"> </w:t>
      </w:r>
      <w:r>
        <w:rPr>
          <w:bCs/>
          <w:b/>
        </w:rPr>
        <w:t xml:space="preserve">10 pre-submission clearances</w:t>
      </w:r>
      <w:r>
        <w:t xml:space="preserve"> </w:t>
      </w:r>
      <w:r>
        <w:t xml:space="preserve">and</w:t>
      </w:r>
      <w:r>
        <w:t xml:space="preserve"> </w:t>
      </w:r>
      <w:r>
        <w:rPr>
          <w:bCs/>
          <w:b/>
        </w:rPr>
        <w:t xml:space="preserve">8 programme-launch clearances</w:t>
      </w:r>
      <w:r>
        <w:t xml:space="preserve">. This is an issues and instructions matrix, not legal advice.</w:t>
      </w:r>
      <w:r>
        <w:t xml:space="preserve"> </w:t>
      </w:r>
      <w:r>
        <w:rPr>
          <w:bCs/>
          <w:b/>
        </w:rPr>
        <w:t xml:space="preserve">No issue is recorded as cleared, and no written AGC or other competent-authority clearance has been obtained by this drafting exercise.</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664"/>
        <w:gridCol w:w="1750"/>
        <w:gridCol w:w="3946"/>
      </w:tblGrid>
      <w:tr>
        <w:trPr>
          <w:tblHeader w:val="true"/>
          <w:cantSplit w:val="true"/>
          <w:tblHeader w:val="true"/>
        </w:trPr>
        <w:tc>
          <w:tcPr>
            <w:tcW w:w="3664"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Clearance block</w:t>
            </w:r>
          </w:p>
        </w:tc>
        <w:tc>
          <w:tcPr>
            <w:tcW w:w="1750"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Issues</w:t>
            </w:r>
          </w:p>
        </w:tc>
        <w:tc>
          <w:tcPr>
            <w:tcW w:w="3946"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Required result</w:t>
            </w:r>
          </w:p>
        </w:tc>
      </w:tr>
      <w:tr>
        <w:trPr>
          <w:cantSplit w:val="true"/>
        </w:trPr>
        <w:tc>
          <w:tcPr>
            <w:tcW w:w="366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Constitutional targeting and discretion</w:t>
            </w:r>
          </w:p>
        </w:tc>
        <w:tc>
          <w:tcPr>
            <w:tcW w:w="175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LGL-01 to LGL-04</w:t>
            </w:r>
          </w:p>
        </w:tc>
        <w:tc>
          <w:tcPr>
            <w:tcW w:w="394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AGC defines the lawful boundary for equality, education aid, public-service impartiality and citizenship/documentation administration</w:t>
            </w:r>
          </w:p>
        </w:tc>
      </w:tr>
      <w:tr>
        <w:trPr>
          <w:cantSplit w:val="true"/>
        </w:trPr>
        <w:tc>
          <w:tcPr>
            <w:tcW w:w="366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Institutional, financial and procurement authority</w:t>
            </w:r>
          </w:p>
        </w:tc>
        <w:tc>
          <w:tcPr>
            <w:tcW w:w="175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LGL-05 to LGL-08</w:t>
            </w:r>
          </w:p>
        </w:tc>
        <w:tc>
          <w:tcPr>
            <w:tcW w:w="394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Every function, payment and procurement has a competent body, lawful instrument, accounting officer and operative approval route</w:t>
            </w:r>
          </w:p>
        </w:tc>
      </w:tr>
      <w:tr>
        <w:trPr>
          <w:cantSplit w:val="true"/>
        </w:trPr>
        <w:tc>
          <w:tcPr>
            <w:tcW w:w="366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Data governance and sharing</w:t>
            </w:r>
          </w:p>
        </w:tc>
        <w:tc>
          <w:tcPr>
            <w:tcW w:w="175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LGL-09 to LGL-11</w:t>
            </w:r>
          </w:p>
        </w:tc>
        <w:tc>
          <w:tcPr>
            <w:tcW w:w="394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Government and private-party processing, linkage, disclosure, retention, correction and breach controls are identified dataset by dataset</w:t>
            </w:r>
          </w:p>
        </w:tc>
      </w:tr>
      <w:tr>
        <w:trPr>
          <w:cantSplit w:val="true"/>
        </w:trPr>
        <w:tc>
          <w:tcPr>
            <w:tcW w:w="366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Federal-state jurisdiction</w:t>
            </w:r>
          </w:p>
        </w:tc>
        <w:tc>
          <w:tcPr>
            <w:tcW w:w="175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LGL-12</w:t>
            </w:r>
          </w:p>
        </w:tc>
        <w:tc>
          <w:tcPr>
            <w:tcW w:w="394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Each participating state confirms the applicable land, local-government, housing and approval route, including Sabah and Sarawak differences</w:t>
            </w:r>
          </w:p>
        </w:tc>
      </w:tr>
      <w:tr>
        <w:trPr>
          <w:cantSplit w:val="true"/>
        </w:trPr>
        <w:tc>
          <w:tcPr>
            <w:tcW w:w="366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PRG-04 pathway-specific clearance</w:t>
            </w:r>
          </w:p>
        </w:tc>
        <w:tc>
          <w:tcPr>
            <w:tcW w:w="175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LGL-13 to LGL-18</w:t>
            </w:r>
          </w:p>
        </w:tc>
        <w:tc>
          <w:tcPr>
            <w:tcW w:w="394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Public purpose, consent, Islamic-administration, temple/estate referral, excluded expenditure and religion-data rules are separately cleared</w:t>
            </w:r>
          </w:p>
        </w:tc>
      </w:tr>
    </w:tbl>
    <w:p>
      <w:pPr>
        <w:pStyle w:val="BodyText"/>
      </w:pPr>
      <w:r>
        <w:t xml:space="preserve">Current status:</w:t>
      </w:r>
      <w:r>
        <w:t xml:space="preserve"> </w:t>
      </w:r>
      <w:r>
        <w:rPr>
          <w:bCs/>
          <w:b/>
        </w:rPr>
        <w:t xml:space="preserve">18 open</w:t>
      </w:r>
      <w:r>
        <w:t xml:space="preserve">.</w:t>
      </w:r>
      <w:r>
        <w:t xml:space="preserve"> </w:t>
      </w:r>
      <w:r>
        <w:rPr>
          <w:rStyle w:val="VerbatimChar"/>
        </w:rPr>
        <w:t xml:space="preserve">Received</w:t>
      </w:r>
      <w:r>
        <w:t xml:space="preserve"> </w:t>
      </w:r>
      <w:r>
        <w:t xml:space="preserve">evidence does not equal clearance. A status may change to</w:t>
      </w:r>
      <w:r>
        <w:t xml:space="preserve"> </w:t>
      </w:r>
      <w:r>
        <w:rPr>
          <w:rStyle w:val="VerbatimChar"/>
        </w:rPr>
        <w:t xml:space="preserve">cleared</w:t>
      </w:r>
      <w:r>
        <w:t xml:space="preserve"> </w:t>
      </w:r>
      <w:r>
        <w:t xml:space="preserve">or</w:t>
      </w:r>
      <w:r>
        <w:t xml:space="preserve"> </w:t>
      </w:r>
      <w:r>
        <w:rPr>
          <w:rStyle w:val="VerbatimChar"/>
        </w:rPr>
        <w:t xml:space="preserve">cleared_with_conditions</w:t>
      </w:r>
      <w:r>
        <w:t xml:space="preserve"> </w:t>
      </w:r>
      <w:r>
        <w:t xml:space="preserve">only when the register contains the competent authority's written evidence reference and acceptance date. A conditional clearance must state every condition in the evidence itself; the drafting secretariat cannot infer or waive it.</w:t>
      </w:r>
    </w:p>
    <w:p>
      <w:pPr>
        <w:pStyle w:val="BodyText"/>
      </w:pPr>
      <w:r>
        <w:rPr>
          <w:bCs/>
          <w:b/>
        </w:rPr>
        <w:t xml:space="preserve">Current-law control.</w:t>
      </w:r>
      <w:r>
        <w:t xml:space="preserve"> </w:t>
      </w:r>
      <w:r>
        <w:t xml:space="preserve">AGC's legislation portal now lists the Government Procurement Act 2026 [Act 882]. LGL-08 therefore requires MOF and AGC to identify its commencement, subsidiary and transitional instruments and the regime applicable to each transaction. The proposal does not assume that either the new Act or the prior administrative framework applies without that confirmation.</w:t>
      </w:r>
    </w:p>
    <w:p>
      <w:pPr>
        <w:pStyle w:val="BodyText"/>
      </w:pPr>
      <w:r>
        <w:rPr>
          <w:bCs/>
          <w:b/>
        </w:rPr>
        <w:t xml:space="preserve">Legal no-cascade rule.</w:t>
      </w:r>
      <w:r>
        <w:t xml:space="preserve"> </w:t>
      </w:r>
      <w:r>
        <w:t xml:space="preserve">An unresolved issue blocks only the programmes and decisions identified against it. PRG-04 state or religious-authority clearance is facility- and jurisdiction-specific unless the competent authority concludes that the defect affects the national instrument itself.</w:t>
      </w:r>
    </w:p>
    <w:bookmarkEnd w:id="28"/>
    <w:bookmarkStart w:id="29" w:name="Xe92ac973e1d134c44e06c4e99c3a3efd71492a1"/>
    <w:p>
      <w:pPr>
        <w:pStyle w:val="Heading2"/>
        <w:keepNext/>
      </w:pPr>
      <w:r>
        <w:t xml:space="preserve">2.6 Phase 1 fiscal validation architecture</w:t>
      </w:r>
    </w:p>
    <w:p>
      <w:pPr>
        <w:pStyle w:val="FirstParagraph"/>
      </w:pPr>
      <w:r>
        <w:rPr>
          <w:rStyle w:val="VerbatimChar"/>
        </w:rPr>
        <w:t xml:space="preserve">FISCAL_VALIDATION_REGISTER.csv</w:t>
      </w:r>
      <w:r>
        <w:t xml:space="preserve"> </w:t>
      </w:r>
      <w:r>
        <w:t xml:space="preserve">controls</w:t>
      </w:r>
      <w:r>
        <w:t xml:space="preserve"> </w:t>
      </w:r>
      <w:r>
        <w:rPr>
          <w:bCs/>
          <w:b/>
        </w:rPr>
        <w:t xml:space="preserve">10 Treasury questions</w:t>
      </w:r>
      <w:r>
        <w:t xml:space="preserve">:</w:t>
      </w:r>
      <w:r>
        <w:t xml:space="preserve"> </w:t>
      </w:r>
      <w:r>
        <w:rPr>
          <w:bCs/>
          <w:b/>
        </w:rPr>
        <w:t xml:space="preserve">5 Phase 1 ceiling gates</w:t>
      </w:r>
      <w:r>
        <w:t xml:space="preserve">,</w:t>
      </w:r>
      <w:r>
        <w:t xml:space="preserve"> </w:t>
      </w:r>
      <w:r>
        <w:rPr>
          <w:bCs/>
          <w:b/>
        </w:rPr>
        <w:t xml:space="preserve">4 programme-cost gates</w:t>
      </w:r>
      <w:r>
        <w:t xml:space="preserve"> </w:t>
      </w:r>
      <w:r>
        <w:t xml:space="preserve">and</w:t>
      </w:r>
      <w:r>
        <w:t xml:space="preserve"> </w:t>
      </w:r>
      <w:r>
        <w:rPr>
          <w:bCs/>
          <w:b/>
        </w:rPr>
        <w:t xml:space="preserve">1 later-phase gate</w:t>
      </w:r>
      <w:r>
        <w:t xml:space="preserve">. The current central Phase 1 figure of</w:t>
      </w:r>
      <w:r>
        <w:t xml:space="preserve"> </w:t>
      </w:r>
      <w:r>
        <w:rPr>
          <w:bCs/>
          <w:b/>
        </w:rPr>
        <w:t xml:space="preserve">RM355.3 million is a gross planning cost, not a requested, net or Treasury-validated ceiling.</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979"/>
        <w:gridCol w:w="5381"/>
      </w:tblGrid>
      <w:tr>
        <w:trPr>
          <w:tblHeader w:val="true"/>
          <w:cantSplit w:val="true"/>
          <w:tblHeader w:val="true"/>
        </w:trPr>
        <w:tc>
          <w:tcPr>
            <w:tcW w:w="3979"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Treasury block</w:t>
            </w:r>
          </w:p>
        </w:tc>
        <w:tc>
          <w:tcPr>
            <w:tcW w:w="5381"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Required result before a later implementation request</w:t>
            </w:r>
          </w:p>
        </w:tc>
      </w:tr>
      <w:tr>
        <w:trPr>
          <w:cantSplit w:val="true"/>
        </w:trPr>
        <w:tc>
          <w:tcPr>
            <w:tcW w:w="39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Existing allocations and reallocations</w:t>
            </w:r>
          </w:p>
        </w:tc>
        <w:tc>
          <w:tcPr>
            <w:tcW w:w="538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Vote-level confirmation of available, lawful and uncommitted funding; no displacement hidden as an existing contribution</w:t>
            </w:r>
          </w:p>
        </w:tc>
      </w:tr>
      <w:tr>
        <w:trPr>
          <w:cantSplit w:val="true"/>
        </w:trPr>
        <w:tc>
          <w:tcPr>
            <w:tcW w:w="39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Incremental ceiling and staffing</w:t>
            </w:r>
          </w:p>
        </w:tc>
        <w:tc>
          <w:tcPr>
            <w:tcW w:w="538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Exact Phase 1 components, annual cash flow, net new requirement, accounting officer, establishment authority and fully loaded employment cost</w:t>
            </w:r>
          </w:p>
        </w:tc>
      </w:tr>
      <w:tr>
        <w:trPr>
          <w:cantSplit w:val="true"/>
        </w:trPr>
        <w:tc>
          <w:tcPr>
            <w:tcW w:w="39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Unit costs and classifications</w:t>
            </w:r>
          </w:p>
        </w:tc>
        <w:tc>
          <w:tcPr>
            <w:tcW w:w="538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Evidence-backed quantities and rates, operating/development/object classification, chargeable vote and recurrent consequence</w:t>
            </w:r>
          </w:p>
        </w:tc>
      </w:tr>
      <w:tr>
        <w:trPr>
          <w:cantSplit w:val="true"/>
        </w:trPr>
        <w:tc>
          <w:tcPr>
            <w:tcW w:w="39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Procurement, grants and exposure</w:t>
            </w:r>
          </w:p>
        </w:tc>
        <w:tc>
          <w:tcPr>
            <w:tcW w:w="538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Authorised transaction route, payment and recovery controls, capped federal exposure and treatment of matched or contingent obligations</w:t>
            </w:r>
          </w:p>
        </w:tc>
      </w:tr>
      <w:tr>
        <w:trPr>
          <w:cantSplit w:val="true"/>
        </w:trPr>
        <w:tc>
          <w:tcPr>
            <w:tcW w:w="39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Scenarios and later years</w:t>
            </w:r>
          </w:p>
        </w:tc>
        <w:tc>
          <w:tcPr>
            <w:tcW w:w="538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Output-defined conservative/central/expanded options; Treasury price basis; Years 3–6 remain indicative and return through later appropriations</w:t>
            </w:r>
          </w:p>
        </w:tc>
      </w:tr>
    </w:tbl>
    <w:p>
      <w:pPr>
        <w:pStyle w:val="BodyText"/>
      </w:pPr>
      <w:r>
        <w:t xml:space="preserve">Current status:</w:t>
      </w:r>
      <w:r>
        <w:t xml:space="preserve"> </w:t>
      </w:r>
      <w:r>
        <w:rPr>
          <w:bCs/>
          <w:b/>
        </w:rPr>
        <w:t xml:space="preserve">10 open</w:t>
      </w:r>
      <w:r>
        <w:t xml:space="preserve">. No modelled existing or reallocated amount is recognised as available funding, and no fiscal control may be marked</w:t>
      </w:r>
      <w:r>
        <w:t xml:space="preserve"> </w:t>
      </w:r>
      <w:r>
        <w:rPr>
          <w:rStyle w:val="VerbatimChar"/>
        </w:rPr>
        <w:t xml:space="preserve">validated</w:t>
      </w:r>
      <w:r>
        <w:t xml:space="preserve"> </w:t>
      </w:r>
      <w:r>
        <w:t xml:space="preserve">without a Treasury evidence reference and acceptance date.</w:t>
      </w:r>
    </w:p>
    <w:p>
      <w:pPr>
        <w:pStyle w:val="BodyText"/>
      </w:pPr>
      <w:r>
        <w:rPr>
          <w:bCs/>
          <w:b/>
        </w:rPr>
        <w:t xml:space="preserve">Partial-formula boundary.</w:t>
      </w:r>
      <w:r>
        <w:t xml:space="preserve"> </w:t>
      </w:r>
      <w:r>
        <w:t xml:space="preserve">PRG-01, PRG-14 remain visible in the gross planning scenario but are excluded from any claimed validated ceiling until their complete formulas, unit inputs and competent-authority evidence are recorded. Treasury must also recalculate any associated administration and contingency effect for the selected package.</w:t>
      </w:r>
    </w:p>
    <w:p>
      <w:pPr>
        <w:pStyle w:val="BodyText"/>
      </w:pPr>
      <w:r>
        <w:rPr>
          <w:bCs/>
          <w:b/>
        </w:rPr>
        <w:t xml:space="preserve">Submission boundary.</w:t>
      </w:r>
      <w:r>
        <w:t xml:space="preserve"> </w:t>
      </w:r>
      <w:r>
        <w:t xml:space="preserve">The later Cabinet paper must seek one Treasury-reviewed Phase 1 ceiling for an identified component package. It must show gross cost, confirmed existing allocations, approved reallocations and true incremental funding separately. Years 3–6 remain non-binding planning scenarios subject to evaluation, refreshed costing and separate appropriations.</w:t>
      </w:r>
    </w:p>
    <w:bookmarkEnd w:id="29"/>
    <w:bookmarkStart w:id="30" w:name="Xa5bebf3f91280be57f4c602a6559c65a0f01327"/>
    <w:p>
      <w:pPr>
        <w:pStyle w:val="Heading2"/>
        <w:keepNext/>
      </w:pPr>
      <w:r>
        <w:t xml:space="preserve">2.7 Programme delivery-feasibility architecture</w:t>
      </w:r>
    </w:p>
    <w:p>
      <w:pPr>
        <w:pStyle w:val="FirstParagraph"/>
      </w:pPr>
      <w:r>
        <w:rPr>
          <w:rStyle w:val="VerbatimChar"/>
        </w:rPr>
        <w:t xml:space="preserve">PROGRAMME_DESIGN_REGISTER.csv</w:t>
      </w:r>
      <w:r>
        <w:t xml:space="preserve"> </w:t>
      </w:r>
      <w:r>
        <w:t xml:space="preserve">controls</w:t>
      </w:r>
      <w:r>
        <w:t xml:space="preserve"> </w:t>
      </w:r>
      <w:r>
        <w:rPr>
          <w:bCs/>
          <w:b/>
        </w:rPr>
        <w:t xml:space="preserve">16 programme design sheets</w:t>
      </w:r>
      <w:r>
        <w:t xml:space="preserve">, one for each retained substantive programme. Each sheet joins the canonical programme, responsibility, KPI, costing, legal and fiscal records with controlled delivery fields: exclusions, channel, geography, annual volume, complaints and appeals, data handling, dependencies and stop, redesign and expansion criteria.</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434"/>
        <w:gridCol w:w="5926"/>
      </w:tblGrid>
      <w:tr>
        <w:trPr>
          <w:tblHeader w:val="true"/>
          <w:cantSplit w:val="true"/>
          <w:tblHeader w:val="true"/>
        </w:trPr>
        <w:tc>
          <w:tcPr>
            <w:tcW w:w="3434"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Feasibility test</w:t>
            </w:r>
          </w:p>
        </w:tc>
        <w:tc>
          <w:tcPr>
            <w:tcW w:w="5926"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Required evidence before implementation approval</w:t>
            </w:r>
          </w:p>
        </w:tc>
      </w:tr>
      <w:tr>
        <w:trPr>
          <w:cantSplit w:val="true"/>
        </w:trPr>
        <w:tc>
          <w:tcPr>
            <w:tcW w:w="343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Authority and accountability</w:t>
            </w:r>
          </w:p>
        </w:tc>
        <w:tc>
          <w:tcPr>
            <w:tcW w:w="592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Competent lead body, accounting officer, lawful mandate and applicable legal clearances</w:t>
            </w:r>
          </w:p>
        </w:tc>
      </w:tr>
      <w:tr>
        <w:trPr>
          <w:cantSplit w:val="true"/>
        </w:trPr>
        <w:tc>
          <w:tcPr>
            <w:tcW w:w="343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Capacity and route</w:t>
            </w:r>
          </w:p>
        </w:tc>
        <w:tc>
          <w:tcPr>
            <w:tcW w:w="592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Confirmed delivery channel, geographic footprint, staff/provider/partner capacity and transaction route</w:t>
            </w:r>
          </w:p>
        </w:tc>
      </w:tr>
      <w:tr>
        <w:trPr>
          <w:cantSplit w:val="true"/>
        </w:trPr>
        <w:tc>
          <w:tcPr>
            <w:tcW w:w="343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Volume and cost</w:t>
            </w:r>
          </w:p>
        </w:tc>
        <w:tc>
          <w:tcPr>
            <w:tcW w:w="592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Agency-accepted annual volume, evidence-backed unit cost, total cost and Treasury treatment</w:t>
            </w:r>
          </w:p>
        </w:tc>
      </w:tr>
      <w:tr>
        <w:trPr>
          <w:cantSplit w:val="true"/>
        </w:trPr>
        <w:tc>
          <w:tcPr>
            <w:tcW w:w="343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Performance and remedy</w:t>
            </w:r>
          </w:p>
        </w:tc>
        <w:tc>
          <w:tcPr>
            <w:tcW w:w="592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Baseline, KPI, verification source, complaint/review route and named escalation</w:t>
            </w:r>
          </w:p>
        </w:tc>
      </w:tr>
      <w:tr>
        <w:trPr>
          <w:cantSplit w:val="true"/>
        </w:trPr>
        <w:tc>
          <w:tcPr>
            <w:tcW w:w="343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Data and safeguards</w:t>
            </w:r>
          </w:p>
        </w:tc>
        <w:tc>
          <w:tcPr>
            <w:tcW w:w="592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Minimum dataset, approved access and retention schedule, dependencies and controlled stop/redesign/expansion tests</w:t>
            </w:r>
          </w:p>
        </w:tc>
      </w:tr>
    </w:tbl>
    <w:p>
      <w:pPr>
        <w:pStyle w:val="BodyText"/>
      </w:pPr>
      <w:r>
        <w:t xml:space="preserve">Current status:</w:t>
      </w:r>
      <w:r>
        <w:t xml:space="preserve"> </w:t>
      </w:r>
      <w:r>
        <w:rPr>
          <w:bCs/>
          <w:b/>
        </w:rPr>
        <w:t xml:space="preserve">16 draft pending agency confirmation</w:t>
      </w:r>
      <w:r>
        <w:t xml:space="preserve">;</w:t>
      </w:r>
      <w:r>
        <w:t xml:space="preserve"> </w:t>
      </w:r>
      <w:r>
        <w:rPr>
          <w:bCs/>
          <w:b/>
        </w:rPr>
        <w:t xml:space="preserve">0 of 16 accepted by the responsible accounting officer</w:t>
      </w:r>
      <w:r>
        <w:t xml:space="preserve">. These are internally complete design drafts, not signed agency commitments. A sheet may be recorded as accepted only with written evidence and an acceptance date.</w:t>
      </w:r>
    </w:p>
    <w:p>
      <w:pPr>
        <w:pStyle w:val="BodyText"/>
      </w:pPr>
      <w:r>
        <w:rPr>
          <w:bCs/>
          <w:b/>
        </w:rPr>
        <w:t xml:space="preserve">Implementation boundary.</w:t>
      </w:r>
      <w:r>
        <w:t xml:space="preserve"> </w:t>
      </w:r>
      <w:r>
        <w:t xml:space="preserve">A programme may enter the formal implementation request only when its sheet is accepted, its mapped launch gates are cleared, its delivery capacity and partner commitments are evidenced, and its included Phase 1 component has a Treasury-approved route. Unresolved programme-specific matters do not block unrelated sheets.</w:t>
      </w:r>
    </w:p>
    <w:bookmarkEnd w:id="30"/>
    <w:bookmarkStart w:id="31" w:name="X4d6d0cad7020c0c61c847f8e222c58fdc2a5b6f"/>
    <w:p>
      <w:pPr>
        <w:pStyle w:val="Heading2"/>
        <w:keepNext/>
      </w:pPr>
      <w:r>
        <w:t xml:space="preserve">2.8 Household-visible minimum service commitments</w:t>
      </w:r>
    </w:p>
    <w:p>
      <w:pPr>
        <w:pStyle w:val="FirstParagraph"/>
      </w:pPr>
      <w:r>
        <w:rPr>
          <w:rStyle w:val="VerbatimChar"/>
        </w:rPr>
        <w:t xml:space="preserve">SERVICE_COMMITMENT_REGISTER.csv</w:t>
      </w:r>
      <w:r>
        <w:t xml:space="preserve"> </w:t>
      </w:r>
      <w:r>
        <w:t xml:space="preserve">controls</w:t>
      </w:r>
      <w:r>
        <w:t xml:space="preserve"> </w:t>
      </w:r>
      <w:r>
        <w:rPr>
          <w:bCs/>
          <w:b/>
        </w:rPr>
        <w:t xml:space="preserve">7 candidate minimum service commitments</w:t>
      </w:r>
      <w:r>
        <w:t xml:space="preserve"> </w:t>
      </w:r>
      <w:r>
        <w:t xml:space="preserve">across</w:t>
      </w:r>
      <w:r>
        <w:t xml:space="preserve"> </w:t>
      </w:r>
      <w:r>
        <w:rPr>
          <w:bCs/>
          <w:b/>
        </w:rPr>
        <w:t xml:space="preserve">14 beneficiary- or institution-facing programmes</w:t>
      </w:r>
      <w:r>
        <w:t xml:space="preserve">, with portfolio reporting and escalation through PRG-15 and PRG-16.</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379"/>
        <w:gridCol w:w="4981"/>
      </w:tblGrid>
      <w:tr>
        <w:trPr>
          <w:tblHeader w:val="true"/>
          <w:cantSplit w:val="true"/>
          <w:tblHeader w:val="true"/>
        </w:trPr>
        <w:tc>
          <w:tcPr>
            <w:tcW w:w="4379"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Commitment</w:t>
            </w:r>
          </w:p>
        </w:tc>
        <w:tc>
          <w:tcPr>
            <w:tcW w:w="4981"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Controlled promise</w:t>
            </w:r>
          </w:p>
        </w:tc>
      </w:tr>
      <w:tr>
        <w:trPr>
          <w:cantSplit w:val="true"/>
        </w:trPr>
        <w:tc>
          <w:tcPr>
            <w:tcW w:w="43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SC-01 — Named case ownership</w:t>
            </w:r>
          </w:p>
        </w:tc>
        <w:tc>
          <w:tcPr>
            <w:tcW w:w="498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Every accepted individual, household or enterprise case receives a named case owner or named responsible service unit, with a recorded handover when responsibility changes.</w:t>
            </w:r>
          </w:p>
        </w:tc>
      </w:tr>
      <w:tr>
        <w:trPr>
          <w:cantSplit w:val="true"/>
        </w:trPr>
        <w:tc>
          <w:tcPr>
            <w:tcW w:w="43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SC-02 — Acknowledgement and status visibility</w:t>
            </w:r>
          </w:p>
        </w:tc>
        <w:tc>
          <w:tcPr>
            <w:tcW w:w="498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Every validly lodged application or service request receives an acknowledgement, a traceable reference and access to its current procedural status through an approved channel.</w:t>
            </w:r>
          </w:p>
        </w:tc>
      </w:tr>
      <w:tr>
        <w:trPr>
          <w:cantSplit w:val="true"/>
        </w:trPr>
        <w:tc>
          <w:tcPr>
            <w:tcW w:w="43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SC-03 — Written reasons or referral record</w:t>
            </w:r>
          </w:p>
        </w:tc>
        <w:tc>
          <w:tcPr>
            <w:tcW w:w="498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Every decision, non-acceptance, closure or onward referral provides a written reason or reason category, identifies the responsible decision route and states the available review, correction or complaint channel, subject to lawful disclosure limits.</w:t>
            </w:r>
          </w:p>
        </w:tc>
      </w:tr>
      <w:tr>
        <w:trPr>
          <w:cantSplit w:val="true"/>
        </w:trPr>
        <w:tc>
          <w:tcPr>
            <w:tcW w:w="43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SC-04 — No-wrong-door referral</w:t>
            </w:r>
          </w:p>
        </w:tc>
        <w:tc>
          <w:tcPr>
            <w:tcW w:w="498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 person who approaches a participating programme with an in-scope need is either assisted by that programme or transferred through a documented referral to the competent participating body, with consent where personal data is shared.</w:t>
            </w:r>
          </w:p>
        </w:tc>
      </w:tr>
      <w:tr>
        <w:trPr>
          <w:cantSplit w:val="true"/>
        </w:trPr>
        <w:tc>
          <w:tcPr>
            <w:tcW w:w="43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SC-05 — Published eligibility and queue rules</w:t>
            </w:r>
          </w:p>
        </w:tc>
        <w:tc>
          <w:tcPr>
            <w:tcW w:w="498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Before intake or selection opens, each participating programme publishes its eligibility, required evidence, prioritisation method, capacity limit, waiting-list or queue rule, material exclusions and review or correction route in accessible form.</w:t>
            </w:r>
          </w:p>
        </w:tc>
      </w:tr>
      <w:tr>
        <w:trPr>
          <w:cantSplit w:val="true"/>
        </w:trPr>
        <w:tc>
          <w:tcPr>
            <w:tcW w:w="43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SC-06 — Quarterly service-performance reporting</w:t>
            </w:r>
          </w:p>
        </w:tc>
        <w:tc>
          <w:tcPr>
            <w:tcW w:w="498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Service-performance results are reported quarterly using aggregate, auditable measures that show demand, access, acknowledgement, ownership, status, referrals, reasons, queues, complaints and unresolved exceptions where applicable.</w:t>
            </w:r>
          </w:p>
        </w:tc>
      </w:tr>
      <w:tr>
        <w:trPr>
          <w:cantSplit w:val="true"/>
        </w:trPr>
        <w:tc>
          <w:tcPr>
            <w:tcW w:w="437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SC-07 — Defined escalation and complaint route</w:t>
            </w:r>
          </w:p>
        </w:tc>
        <w:tc>
          <w:tcPr>
            <w:tcW w:w="498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Every participating service publishes a usable route for correction, complaint and escalation; unresolved matters have a named next-level owner, and complainants can track closure or onward referral.</w:t>
            </w:r>
          </w:p>
        </w:tc>
      </w:tr>
    </w:tbl>
    <w:p>
      <w:pPr>
        <w:pStyle w:val="BodyText"/>
      </w:pPr>
      <w:r>
        <w:rPr>
          <w:bCs/>
          <w:b/>
        </w:rPr>
        <w:t xml:space="preserve">Timeline boundary.</w:t>
      </w:r>
      <w:r>
        <w:t xml:space="preserve"> </w:t>
      </w:r>
      <w:r>
        <w:t xml:space="preserve">The commitments use observable process events—case acceptance, valid lodgement, decision or referral, intake opening, quarter-end and unresolved-case escalation. No numeric acknowledgement, processing, referral, waiting-list or complaint-resolution deadline is stated. Those elapsed-time standards require responsible-agency workflow, caseload and capacity evidence.</w:t>
      </w:r>
    </w:p>
    <w:p>
      <w:pPr>
        <w:pStyle w:val="BodyText"/>
      </w:pPr>
      <w:r>
        <w:rPr>
          <w:bCs/>
          <w:b/>
        </w:rPr>
        <w:t xml:space="preserve">Adoption status:</w:t>
      </w:r>
      <w:r>
        <w:t xml:space="preserve"> </w:t>
      </w:r>
      <w:r>
        <w:rPr>
          <w:bCs/>
          <w:b/>
        </w:rPr>
        <w:t xml:space="preserve">0 of 7 agency accepted</w:t>
      </w:r>
      <w:r>
        <w:t xml:space="preserve">. All seven remain internal design standards pending written accounting-officer confirmation. A commitment cannot be represented as adopted without an evidence reference and acceptance date.</w:t>
      </w:r>
    </w:p>
    <w:p>
      <w:pPr>
        <w:pStyle w:val="BodyText"/>
      </w:pPr>
      <w:r>
        <w:rPr>
          <w:bCs/>
          <w:b/>
        </w:rPr>
        <w:t xml:space="preserve">Outcome boundary.</w:t>
      </w:r>
      <w:r>
        <w:t xml:space="preserve"> </w:t>
      </w:r>
      <w:r>
        <w:t xml:space="preserve">These are commitments about service administration and remedy. They do not guarantee citizenship or documentation status, admission, certification, employment, procurement awards, financing, investment returns, housing or any other result controlled by statute, an independent body or a third party.</w:t>
      </w:r>
    </w:p>
    <w:bookmarkEnd w:id="31"/>
    <w:bookmarkStart w:id="32" w:name="Xa725c6ef818f80192081fbd3249dd175573c8b9"/>
    <w:p>
      <w:pPr>
        <w:pStyle w:val="Heading2"/>
        <w:keepNext/>
      </w:pPr>
      <w:r>
        <w:t xml:space="preserve">2.9 Governance continuity below the Prime Minister</w:t>
      </w:r>
    </w:p>
    <w:p>
      <w:pPr>
        <w:pStyle w:val="FirstParagraph"/>
      </w:pPr>
      <w:r>
        <w:rPr>
          <w:rStyle w:val="VerbatimChar"/>
        </w:rPr>
        <w:t xml:space="preserve">GOVERNANCE_CONTINUITY_REGISTER.csv</w:t>
      </w:r>
      <w:r>
        <w:t xml:space="preserve"> </w:t>
      </w:r>
      <w:r>
        <w:t xml:space="preserve">controls</w:t>
      </w:r>
      <w:r>
        <w:t xml:space="preserve"> </w:t>
      </w:r>
      <w:r>
        <w:rPr>
          <w:bCs/>
          <w:b/>
        </w:rPr>
        <w:t xml:space="preserve">8 continuity mechanisms</w:t>
      </w:r>
      <w:r>
        <w:t xml:space="preserve"> </w:t>
      </w:r>
      <w:r>
        <w:t xml:space="preserve">designed to keep delivery operating when a Prime Ministerial review is delayed or political office-holders change.</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rPr>
          <w:tblHeader w:val="true"/>
          <w:cantSplit w:val="true"/>
          <w:tblHeader w:val="true"/>
        </w:trPr>
        <w:tc>
          <w:tcPr>
            <w:tcW w:w="4680"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Control</w:t>
            </w:r>
          </w:p>
        </w:tc>
        <w:tc>
          <w:tcPr>
            <w:tcW w:w="4680"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Continuity rule</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GC-01 — Prime Ministerial sponsorship and strategic review</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The Prime Minister sponsors the policy direction and reviews strategic performance, but routine coordination, reporting and corrective action continue under the delegated chain whether or not the Prime Minister personally chairs a scheduled review</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GC-02 — Designated minister between reviews</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Cabinet designates one responsible minister to chair political-level delivery reviews between Prime Ministerial reviews, resolve matters within portfolio authority and sponsor escalations that require Cabinet decision</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GC-03 — Senior-officials delivery committee</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 senior-officials committee chaired by the Chief Secretary to the Government or an expressly authorised equivalent reviews the portfolio, resolves cross-ministry administrative blockages and prepares matters requiring ministerial or Cabinet decision</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GC-04 — Ministry delivery officers and planning commitments</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Every participating ministry nominates a senior delivery officer and alternate, assigns each accepted milestone to its ministry planning and performance process, and maintains a current recovery action for any off-track commitment</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GC-05 — Secretariat reporting authority with statutory boundary</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The secretariat may issue reporting templates, maintain the portfolio record, require authorised progress returns, test completeness and refer non-compliance through the approved escalation chain; it may not exercise programme or statutory functions</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GC-06 — Automatic milestone escalation</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 missed or forecast-missed milestone automatically enters the exception register and advances through the ministry delivery officer, accounting officer, senior-officials committee, designated minister and Cabinet according to pre-approved thresholds without waiting for a quarterly political meeting</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GC-07 — Meeting-independent public reporting</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The authorised quarterly dashboard and exception statement are produced on the reporting calendar even when a ministerial, Task Force or Prime Ministerial meeting is postponed; postponement is disclosed and does not reset the data cut-off or publication obligation</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GC-08 — Political and administrative succession</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The governance instruments attach duties to offices rather than individuals and require an acting arrangement, document transfer, decision log and timed re-nomination when the Prime Minister, designated minister, Chief Secretary, accounting officer or delivery officer changes</w:t>
            </w:r>
          </w:p>
        </w:tc>
      </w:tr>
    </w:tbl>
    <w:p>
      <w:pPr>
        <w:pStyle w:val="BodyText"/>
      </w:pPr>
      <w:r>
        <w:rPr>
          <w:bCs/>
          <w:b/>
        </w:rPr>
        <w:t xml:space="preserve">Operating model.</w:t>
      </w:r>
      <w:r>
        <w:t xml:space="preserve"> </w:t>
      </w:r>
      <w:r>
        <w:t xml:space="preserve">The Prime Minister sponsors the policy direction and conducts strategic review. A designated minister is responsible between reviews; a Chief Secretary-chaired or Cabinet-authorised equivalent senior-officials committee manages cross-ministry delivery; named ministry delivery officers own milestones; and the secretariat maintains the reporting and escalation clock.</w:t>
      </w:r>
    </w:p>
    <w:p>
      <w:pPr>
        <w:pStyle w:val="BodyText"/>
      </w:pPr>
      <w:r>
        <w:rPr>
          <w:bCs/>
          <w:b/>
        </w:rPr>
        <w:t xml:space="preserve">Authority boundary.</w:t>
      </w:r>
      <w:r>
        <w:t xml:space="preserve"> </w:t>
      </w:r>
      <w:r>
        <w:t xml:space="preserve">Delegation does not transfer statutory powers, votes, procurement authority, accounting-officer responsibility or the functions of independent, state or third-party bodies. The secretariat may require reports only to the extent authorised by Cabinet and the approved terms of reference.</w:t>
      </w:r>
    </w:p>
    <w:p>
      <w:pPr>
        <w:pStyle w:val="BodyText"/>
      </w:pPr>
      <w:r>
        <w:rPr>
          <w:bCs/>
          <w:b/>
        </w:rPr>
        <w:t xml:space="preserve">Adoption status:</w:t>
      </w:r>
      <w:r>
        <w:t xml:space="preserve"> </w:t>
      </w:r>
      <w:r>
        <w:rPr>
          <w:bCs/>
          <w:b/>
        </w:rPr>
        <w:t xml:space="preserve">0 of 8 adopted</w:t>
      </w:r>
      <w:r>
        <w:t xml:space="preserve">. All controls remain draft pending a recorded Cabinet decision, approved terms of reference and the written nominations or instruments specified in the register.</w:t>
      </w:r>
    </w:p>
    <w:p>
      <w:r>
        <w:pict>
          <v:rect style="width:0;height:1.5pt" o:hralign="center" o:hrstd="t" o:hr="t"/>
        </w:pict>
      </w:r>
    </w:p>
    <w:bookmarkEnd w:id="32"/>
    <w:bookmarkEnd w:id="33"/>
    <w:bookmarkStart w:id="37" w:name="X5686cc010cf312802a17f045531f6d0ef78cbbd"/>
    <w:p>
      <w:pPr>
        <w:pStyle w:val="Heading1"/>
        <w:keepNext/>
      </w:pPr>
      <w:r>
        <w:t xml:space="preserve">3. The reality, stated accurately</w:t>
      </w:r>
    </w:p>
    <w:bookmarkStart w:id="34" w:name="X0d68056322d5929b9bb0cd1d7516023bca11d5d"/>
    <w:p>
      <w:pPr>
        <w:pStyle w:val="Heading2"/>
        <w:keepNext/>
      </w:pPr>
      <w:r>
        <w:t xml:space="preserve">3.1 What the data show</w:t>
      </w:r>
    </w:p>
    <w:p>
      <w:pPr>
        <w:pStyle w:val="FirstParagraph"/>
      </w:pPr>
      <w:r>
        <w:t xml:space="preserve">Malaysian Indians are approximately</w:t>
      </w:r>
      <w:r>
        <w:t xml:space="preserve"> </w:t>
      </w:r>
      <w:r>
        <w:rPr>
          <w:bCs/>
          <w:b/>
        </w:rPr>
        <w:t xml:space="preserve">6.5% of the population (2024), declining from 6.6% in 2023</w:t>
      </w:r>
      <w:r>
        <w:t xml:space="preserve"> </w:t>
      </w:r>
      <w:r>
        <w:t xml:space="preserve">(CLM-006). Malaysian Indian households recorded a</w:t>
      </w:r>
      <w:r>
        <w:t xml:space="preserve"> </w:t>
      </w:r>
      <w:r>
        <w:rPr>
          <w:bCs/>
          <w:b/>
        </w:rPr>
        <w:t xml:space="preserve">mean monthly household income of RM8,950 in 2022</w:t>
      </w:r>
      <w:r>
        <w:t xml:space="preserve">, against a national median of RM6,338 (CLM-004).</w:t>
      </w:r>
    </w:p>
    <w:p>
      <w:pPr>
        <w:pStyle w:val="BodyText"/>
      </w:pPr>
      <w:r>
        <w:rPr>
          <w:bCs/>
          <w:b/>
        </w:rPr>
        <w:t xml:space="preserve">Absolute poverty incidence among Indian households was 5.4% in 2022 — below the Bumiputera rate of 7.9% and above the Chinese rate of 1.9% — having risen from 4.8% in 2019</w:t>
      </w:r>
      <w:r>
        <w:t xml:space="preserve"> </w:t>
      </w:r>
      <w:r>
        <w:t xml:space="preserve">(CLM-005).</w:t>
      </w:r>
    </w:p>
    <w:p>
      <w:pPr>
        <w:pStyle w:val="BodyText"/>
      </w:pPr>
      <w:r>
        <w:t xml:space="preserve">That last sentence is stated first, and plainly, because the case for this proposal does not rest on the claim that this is Malaysia's poorest community. It is not. It rests on three narrower and better-evidenced propositions:</w:t>
      </w:r>
    </w:p>
    <w:p>
      <w:pPr>
        <w:numPr>
          <w:ilvl w:val="0"/>
          <w:numId w:val="1002"/>
        </w:numPr>
        <w:pStyle w:val="Compact"/>
      </w:pPr>
      <w:r>
        <w:rPr>
          <w:bCs/>
          <w:b/>
        </w:rPr>
        <w:t xml:space="preserve">The trend is adverse.</w:t>
      </w:r>
      <w:r>
        <w:t xml:space="preserve"> </w:t>
      </w:r>
      <w:r>
        <w:t xml:space="preserve">Indian poverty incidence rose between 2019 and 2022 while the community's aggregate income position remained comparatively strong. That divergence is the signature of a widening internal distribution, not of general decline.</w:t>
      </w:r>
    </w:p>
    <w:p>
      <w:pPr>
        <w:numPr>
          <w:ilvl w:val="0"/>
          <w:numId w:val="1002"/>
        </w:numPr>
        <w:pStyle w:val="Compact"/>
      </w:pPr>
      <w:r>
        <w:rPr>
          <w:bCs/>
          <w:b/>
        </w:rPr>
        <w:t xml:space="preserve">Specific exclusions are structural, not incidental.</w:t>
      </w:r>
      <w:r>
        <w:t xml:space="preserve"> </w:t>
      </w:r>
      <w:r>
        <w:t xml:space="preserve">Unresolved legal identity, in particular, is a barrier that no amount of income growth resolves and that affects no other community at comparable scale.</w:t>
      </w:r>
    </w:p>
    <w:p>
      <w:pPr>
        <w:numPr>
          <w:ilvl w:val="0"/>
          <w:numId w:val="1002"/>
        </w:numPr>
        <w:pStyle w:val="Compact"/>
      </w:pPr>
      <w:r>
        <w:rPr>
          <w:bCs/>
          <w:b/>
        </w:rPr>
        <w:t xml:space="preserve">The measurement gap is itself the problem.</w:t>
      </w:r>
      <w:r>
        <w:t xml:space="preserve"> </w:t>
      </w:r>
      <w:r>
        <w:t xml:space="preserve">Twelve of the sixteen indicators have a baseline status of</w:t>
      </w:r>
      <w:r>
        <w:t xml:space="preserve"> </w:t>
      </w:r>
      <w:r>
        <w:rPr>
          <w:rStyle w:val="VerbatimChar"/>
        </w:rPr>
        <w:t xml:space="preserve">to-be-established</w:t>
      </w:r>
      <w:r>
        <w:t xml:space="preserve">. Neither government nor the community can currently establish what has changed.</w:t>
      </w:r>
    </w:p>
    <w:bookmarkEnd w:id="34"/>
    <w:bookmarkStart w:id="35" w:name="X50393713e6d75122ee0bf1992724469e1d107b6"/>
    <w:p>
      <w:pPr>
        <w:pStyle w:val="Heading2"/>
        <w:keepNext/>
      </w:pPr>
      <w:r>
        <w:t xml:space="preserve">3.2 The community is not homogeneous, and the plan does not treat it as one</w:t>
      </w:r>
    </w:p>
    <w:p>
      <w:pPr>
        <w:pStyle w:val="FirstParagraph"/>
      </w:pPr>
      <w:r>
        <w:t xml:space="preserve">A community of roughly 2.2 million people contains a professional and business stratum with incomes well above the national median, and a stratum — concentrated among estate-displaced households in urban peripheries — facing compounded disadvantage. The plan targets the second without characterising the first out of existence.</w:t>
      </w:r>
    </w:p>
    <w:p>
      <w:pPr>
        <w:pStyle w:val="BodyText"/>
      </w:pPr>
      <w:r>
        <w:t xml:space="preserve">Material differences the programme design responds to:</w:t>
      </w:r>
    </w:p>
    <w:p>
      <w:pPr>
        <w:numPr>
          <w:ilvl w:val="0"/>
          <w:numId w:val="1003"/>
        </w:numPr>
        <w:pStyle w:val="Compact"/>
      </w:pPr>
      <w:r>
        <w:rPr>
          <w:bCs/>
          <w:b/>
        </w:rPr>
        <w:t xml:space="preserve">By documentation status.</w:t>
      </w:r>
      <w:r>
        <w:t xml:space="preserve"> </w:t>
      </w:r>
      <w:r>
        <w:t xml:space="preserve">Persons without resolved citizenship documentation are excluded from the eKasih welfare register by policy, which means the households in greatest need are structurally invisible to the principal targeting instrument (MIB 2017, p.36). This is the single most consequential distinction in the entire analysis.</w:t>
      </w:r>
    </w:p>
    <w:p>
      <w:pPr>
        <w:numPr>
          <w:ilvl w:val="0"/>
          <w:numId w:val="1003"/>
        </w:numPr>
        <w:pStyle w:val="Compact"/>
      </w:pPr>
      <w:r>
        <w:rPr>
          <w:bCs/>
          <w:b/>
        </w:rPr>
        <w:t xml:space="preserve">By life stage.</w:t>
      </w:r>
      <w:r>
        <w:t xml:space="preserve"> </w:t>
      </w:r>
      <w:r>
        <w:t xml:space="preserve">The barriers facing a five-year-old, a seventeen-year-old and a fifty-year-old are different, and the second source document is correct that government has organised around ministries rather than around this sequence.</w:t>
      </w:r>
    </w:p>
    <w:p>
      <w:pPr>
        <w:numPr>
          <w:ilvl w:val="0"/>
          <w:numId w:val="1003"/>
        </w:numPr>
        <w:pStyle w:val="Compact"/>
      </w:pPr>
      <w:r>
        <w:rPr>
          <w:bCs/>
          <w:b/>
        </w:rPr>
        <w:t xml:space="preserve">By household composition.</w:t>
      </w:r>
      <w:r>
        <w:t xml:space="preserve"> </w:t>
      </w:r>
      <w:r>
        <w:t xml:space="preserve">Elderly applicants, widows, single-parent households and persons with disabilities face procedural barriers that a general programme does not remove (CLM-058).</w:t>
      </w:r>
    </w:p>
    <w:p>
      <w:pPr>
        <w:numPr>
          <w:ilvl w:val="0"/>
          <w:numId w:val="1003"/>
        </w:numPr>
        <w:pStyle w:val="Compact"/>
      </w:pPr>
      <w:r>
        <w:rPr>
          <w:bCs/>
          <w:b/>
        </w:rPr>
        <w:t xml:space="preserve">By geography.</w:t>
      </w:r>
      <w:r>
        <w:t xml:space="preserve"> </w:t>
      </w:r>
      <w:r>
        <w:t xml:space="preserve">Estate-origin, urban-periphery and settled urban populations differ materially. Indian Malaysians in Sabah and Sarawak are not separately analysed in this proposal, and that is recorded as a known analytical gap rather than glossed over.</w:t>
      </w:r>
    </w:p>
    <w:p>
      <w:pPr>
        <w:numPr>
          <w:ilvl w:val="0"/>
          <w:numId w:val="1003"/>
        </w:numPr>
        <w:pStyle w:val="Compact"/>
      </w:pPr>
      <w:r>
        <w:rPr>
          <w:bCs/>
          <w:b/>
        </w:rPr>
        <w:t xml:space="preserve">By gender.</w:t>
      </w:r>
      <w:r>
        <w:t xml:space="preserve"> </w:t>
      </w:r>
      <w:r>
        <w:t xml:space="preserve">Uptake of the AIM PENN financing facility by Indian women demonstrates demand for gender-disaggregated design (CLM-027). This is stated as an observed participation fact, not as a generalisation about household decision-making.</w:t>
      </w:r>
    </w:p>
    <w:bookmarkEnd w:id="35"/>
    <w:bookmarkStart w:id="36" w:name="X6dea27c0c6cc6a58645aed740bcf18034e8f648"/>
    <w:p>
      <w:pPr>
        <w:pStyle w:val="Heading2"/>
        <w:keepNext/>
      </w:pPr>
      <w:r>
        <w:t xml:space="preserve">3.3 A necessary correction to the source material</w:t>
      </w:r>
    </w:p>
    <w:p>
      <w:pPr>
        <w:pStyle w:val="FirstParagraph"/>
      </w:pPr>
      <w:r>
        <w:t xml:space="preserve">Three figures widely used in the drafting material do not survive inspection of the primary Malaysian Indian Blueprint. They are corrected here rather than quietly dropped, because the same figures circulate in public debate:</w:t>
      </w:r>
    </w:p>
    <w:p>
      <w:pPr>
        <w:numPr>
          <w:ilvl w:val="0"/>
          <w:numId w:val="1004"/>
        </w:numPr>
        <w:pStyle w:val="Compact"/>
      </w:pPr>
      <w:r>
        <w:t xml:space="preserve">The Blueprint's RM500 million instrument was a</w:t>
      </w:r>
      <w:r>
        <w:t xml:space="preserve"> </w:t>
      </w:r>
      <w:r>
        <w:rPr>
          <w:bCs/>
          <w:b/>
        </w:rPr>
        <w:t xml:space="preserve">PNB unit-trust seed fund providing matching booster units to low-income savers</w:t>
      </w:r>
      <w:r>
        <w:t xml:space="preserve"> </w:t>
      </w:r>
      <w:r>
        <w:t xml:space="preserve">(MIB 2017, pp.41 and 112). It was</w:t>
      </w:r>
      <w:r>
        <w:t xml:space="preserve"> </w:t>
      </w:r>
      <w:r>
        <w:rPr>
          <w:bCs/>
          <w:b/>
        </w:rPr>
        <w:t xml:space="preserve">not</w:t>
      </w:r>
      <w:r>
        <w:t xml:space="preserve"> </w:t>
      </w:r>
      <w:r>
        <w:t xml:space="preserve">a five-year interest-free loan scheme of RM5,000 per household to 100,000 households (CLM-012,</w:t>
      </w:r>
      <w:r>
        <w:t xml:space="preserve"> </w:t>
      </w:r>
      <w:r>
        <w:rPr>
          <w:bCs/>
          <w:b/>
        </w:rPr>
        <w:t xml:space="preserve">rejected</w:t>
      </w:r>
      <w:r>
        <w:t xml:space="preserve">). No such loan scheme appears anywhere in the Blueprint.</w:t>
      </w:r>
    </w:p>
    <w:p>
      <w:pPr>
        <w:numPr>
          <w:ilvl w:val="0"/>
          <w:numId w:val="1004"/>
        </w:numPr>
        <w:pStyle w:val="Compact"/>
      </w:pPr>
      <w:r>
        <w:t xml:space="preserve">The claim that</w:t>
      </w:r>
      <w:r>
        <w:t xml:space="preserve"> </w:t>
      </w:r>
      <w:r>
        <w:rPr>
          <w:bCs/>
          <w:b/>
        </w:rPr>
        <w:t xml:space="preserve">1.5 billion Amanah Saham 1Malaysia units were allocated to the community</w:t>
      </w:r>
      <w:r>
        <w:t xml:space="preserve"> </w:t>
      </w:r>
      <w:r>
        <w:t xml:space="preserve">does not appear in the Blueprint in any form. Full-text search of all 172 pages returns no matching figure (CLM-013,</w:t>
      </w:r>
      <w:r>
        <w:t xml:space="preserve"> </w:t>
      </w:r>
      <w:r>
        <w:rPr>
          <w:bCs/>
          <w:b/>
        </w:rPr>
        <w:t xml:space="preserve">unsupported and removed</w:t>
      </w:r>
      <w:r>
        <w:t xml:space="preserve">). The associated narrative that the community "has gone backwards on equity" therefore has no evidential basis and is not advanced.</w:t>
      </w:r>
    </w:p>
    <w:p>
      <w:pPr>
        <w:numPr>
          <w:ilvl w:val="0"/>
          <w:numId w:val="1004"/>
        </w:numPr>
        <w:pStyle w:val="Compact"/>
      </w:pPr>
      <w:r>
        <w:t xml:space="preserve">The Blueprint's savings target was</w:t>
      </w:r>
      <w:r>
        <w:t xml:space="preserve"> </w:t>
      </w:r>
      <w:r>
        <w:rPr>
          <w:bCs/>
          <w:b/>
        </w:rPr>
        <w:t xml:space="preserve">at least 50% of registered poor households demonstrating increased savings within five years</w:t>
      </w:r>
      <w:r>
        <w:t xml:space="preserve">, not ten (MIB 2017, pp.33 and 40; CLM-014,</w:t>
      </w:r>
      <w:r>
        <w:t xml:space="preserve"> </w:t>
      </w:r>
      <w:r>
        <w:rPr>
          <w:bCs/>
          <w:b/>
        </w:rPr>
        <w:t xml:space="preserve">corrected</w:t>
      </w:r>
      <w:r>
        <w:t xml:space="preserve">).</w:t>
      </w:r>
    </w:p>
    <w:p>
      <w:pPr>
        <w:pStyle w:val="FirstParagraph"/>
      </w:pPr>
      <w:r>
        <w:t xml:space="preserve">The Blueprint's genuinely verified commitments — 7% civil service participation at all grades within ten years (CLM-008), and resolution of documentation for an</w:t>
      </w:r>
      <w:r>
        <w:t xml:space="preserve"> </w:t>
      </w:r>
      <w:r>
        <w:rPr>
          <w:bCs/>
          <w:b/>
        </w:rPr>
        <w:t xml:space="preserve">estimated</w:t>
      </w:r>
      <w:r>
        <w:t xml:space="preserve"> </w:t>
      </w:r>
      <w:r>
        <w:t xml:space="preserve">25,000 undocumented persons within five years (CLM-010) — are carried forward, one with a reset target and one with a reset method.</w:t>
      </w:r>
    </w:p>
    <w:p>
      <w:r>
        <w:pict>
          <v:rect style="width:0;height:1.5pt" o:hralign="center" o:hrstd="t" o:hr="t"/>
        </w:pict>
      </w:r>
    </w:p>
    <w:bookmarkEnd w:id="36"/>
    <w:bookmarkEnd w:id="37"/>
    <w:bookmarkStart w:id="42" w:name="Xa354807fd0e75fd5a1d4990368d059ae51d467c"/>
    <w:p>
      <w:pPr>
        <w:pStyle w:val="Heading1"/>
        <w:keepNext/>
      </w:pPr>
      <w:r>
        <w:t xml:space="preserve">4. Diagnosis: why funding has not produced structural change</w:t>
      </w:r>
    </w:p>
    <w:bookmarkStart w:id="38" w:name="X07738529b1867b61b78c09c0d022fc92254a362"/>
    <w:p>
      <w:pPr>
        <w:pStyle w:val="Heading2"/>
        <w:keepNext/>
      </w:pPr>
      <w:r>
        <w:t xml:space="preserve">4.1 The coordination failure</w:t>
      </w:r>
    </w:p>
    <w:p>
      <w:pPr>
        <w:pStyle w:val="FirstParagraph"/>
      </w:pPr>
      <w:r>
        <w:t xml:space="preserve">Both source documents independently reach the same conclusion, and it is consistent with the verified record:</w:t>
      </w:r>
      <w:r>
        <w:t xml:space="preserve"> </w:t>
      </w:r>
      <w:r>
        <w:rPr>
          <w:bCs/>
          <w:b/>
        </w:rPr>
        <w:t xml:space="preserve">the binding constraint has been delivery, not design or money</w:t>
      </w:r>
      <w:r>
        <w:t xml:space="preserve"> </w:t>
      </w:r>
      <w:r>
        <w:t xml:space="preserve">(CLM-048). This is labelled an inference. No published programme evaluation establishes causation, and this proposal does not claim one.</w:t>
      </w:r>
    </w:p>
    <w:p>
      <w:pPr>
        <w:pStyle w:val="BodyText"/>
      </w:pPr>
      <w:r>
        <w:t xml:space="preserve">The supporting facts are these. The Blueprint's own implementation unit was restructured and relocated more than once (CLM-031). MITRA's allocation rose from approximately RM100 million per year to</w:t>
      </w:r>
      <w:r>
        <w:t xml:space="preserve"> </w:t>
      </w:r>
      <w:r>
        <w:rPr>
          <w:bCs/>
          <w:b/>
        </w:rPr>
        <w:t xml:space="preserve">RM150 million in 2026</w:t>
      </w:r>
      <w:r>
        <w:t xml:space="preserve"> </w:t>
      </w:r>
      <w:r>
        <w:t xml:space="preserve">(CLM-019, verified). Over the same period the 7% civil service target moved from 7% aspiration to</w:t>
      </w:r>
      <w:r>
        <w:t xml:space="preserve"> </w:t>
      </w:r>
      <w:r>
        <w:rPr>
          <w:bCs/>
          <w:b/>
        </w:rPr>
        <w:t xml:space="preserve">3.7% actual as at 31 December 2024</w:t>
      </w:r>
      <w:r>
        <w:t xml:space="preserve"> </w:t>
      </w:r>
      <w:r>
        <w:t xml:space="preserve">(CLM-007, verified) — that is, funding rose while the flagship outcome did not move.</w:t>
      </w:r>
    </w:p>
    <w:p>
      <w:pPr>
        <w:pStyle w:val="BodyText"/>
      </w:pPr>
      <w:r>
        <w:t xml:space="preserve">The structural reason is that the levers sit in different ministries from the money. The documentation caseload sits with the Ministry of Home Affairs. Civil service intake sits with the Public Service Department and, for appointment, with the constitutionally independent Public Service Commission. Matriculation and school condition sit with the Ministry of Education. Housing sits with the Ministry of Housing and Local Government and, for land, with the states. A programme fund cannot direct any of them.</w:t>
      </w:r>
    </w:p>
    <w:bookmarkEnd w:id="38"/>
    <w:bookmarkStart w:id="39" w:name="X47d593b3484dc916fd7bf542b237945a365f802"/>
    <w:p>
      <w:pPr>
        <w:pStyle w:val="Heading2"/>
        <w:keepNext/>
      </w:pPr>
      <w:r>
        <w:t xml:space="preserve">4.2 The measurement failure</w:t>
      </w:r>
    </w:p>
    <w:p>
      <w:pPr>
        <w:pStyle w:val="FirstParagraph"/>
      </w:pPr>
      <w:r>
        <w:t xml:space="preserve">The second source document's critique is accepted in full and is adopted as this plan's measurement philosophy:</w:t>
      </w:r>
      <w:r>
        <w:t xml:space="preserve"> </w:t>
      </w:r>
      <w:r>
        <w:rPr>
          <w:iCs/>
          <w:i/>
        </w:rPr>
        <w:t xml:space="preserve">money disbursed, training completed, applications approved and beneficiaries counted are measures of activity, not of whether a household moved forward</w:t>
      </w:r>
      <w:r>
        <w:t xml:space="preserve"> </w:t>
      </w:r>
      <w:r>
        <w:t xml:space="preserve">(CNF-018).</w:t>
      </w:r>
    </w:p>
    <w:p>
      <w:pPr>
        <w:pStyle w:val="BodyText"/>
      </w:pPr>
      <w:r>
        <w:t xml:space="preserve">This has a concrete consequence. Reported beneficiary counts are</w:t>
      </w:r>
      <w:r>
        <w:t xml:space="preserve"> </w:t>
      </w:r>
      <w:r>
        <w:rPr>
          <w:bCs/>
          <w:b/>
        </w:rPr>
        <w:t xml:space="preserve">reach</w:t>
      </w:r>
      <w:r>
        <w:t xml:space="preserve"> </w:t>
      </w:r>
      <w:r>
        <w:t xml:space="preserve">— episodes of service — not unique beneficiaries. This proposal never sums reach across programmes, and reports a portfolio unique-beneficiary estimate separately using a stated overlap factor (ASM-030).</w:t>
      </w:r>
    </w:p>
    <w:bookmarkEnd w:id="39"/>
    <w:bookmarkStart w:id="40" w:name="X57cf2eb76a580864f8d556216dad4d9a1ee07c7"/>
    <w:p>
      <w:pPr>
        <w:pStyle w:val="Heading2"/>
        <w:keepNext/>
      </w:pPr>
      <w:r>
        <w:t xml:space="preserve">4.3 The four structural exclusions</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906"/>
        <w:gridCol w:w="3174"/>
        <w:gridCol w:w="3174"/>
        <w:gridCol w:w="1106"/>
      </w:tblGrid>
      <w:tr>
        <w:trPr>
          <w:tblHeader w:val="true"/>
          <w:cantSplit w:val="true"/>
          <w:tblHeader w:val="true"/>
        </w:trPr>
        <w:tc>
          <w:tcPr>
            <w:tcW w:w="1906"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Exclusion</w:t>
            </w:r>
          </w:p>
        </w:tc>
        <w:tc>
          <w:tcPr>
            <w:tcW w:w="3174"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Mechanism</w:t>
            </w:r>
          </w:p>
        </w:tc>
        <w:tc>
          <w:tcPr>
            <w:tcW w:w="3174"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Evidence</w:t>
            </w:r>
          </w:p>
        </w:tc>
        <w:tc>
          <w:tcPr>
            <w:tcW w:w="1106"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Pillar</w:t>
            </w:r>
          </w:p>
        </w:tc>
      </w:tr>
      <w:tr>
        <w:trPr>
          <w:cantSplit w:val="true"/>
        </w:trPr>
        <w:tc>
          <w:tcPr>
            <w:tcW w:w="1906"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Legal identity</w:t>
            </w:r>
          </w:p>
        </w:tc>
        <w:tc>
          <w:tcPr>
            <w:tcW w:w="317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Without documents, a person cannot enrol in school, take formal employment, or appear in eKasih — so the most excluded are also the least visible to targeting</w:t>
            </w:r>
          </w:p>
        </w:tc>
        <w:tc>
          <w:tcPr>
            <w:tcW w:w="317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MIB 2017 pp.23, 36; CLM-010, CLM-055</w:t>
            </w:r>
          </w:p>
        </w:tc>
        <w:tc>
          <w:tcPr>
            <w:tcW w:w="110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P1</w:t>
            </w:r>
          </w:p>
        </w:tc>
      </w:tr>
      <w:tr>
        <w:trPr>
          <w:cantSplit w:val="true"/>
        </w:trPr>
        <w:tc>
          <w:tcPr>
            <w:tcW w:w="1906"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School readiness</w:t>
            </w:r>
          </w:p>
        </w:tc>
        <w:tc>
          <w:tcPr>
            <w:tcW w:w="317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Children entering Year One behind rarely catch up, and each later intervention costs more and works less</w:t>
            </w:r>
          </w:p>
        </w:tc>
        <w:tc>
          <w:tcPr>
            <w:tcW w:w="317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MIB 2017 Pillar 2; CLM-053</w:t>
            </w:r>
          </w:p>
        </w:tc>
        <w:tc>
          <w:tcPr>
            <w:tcW w:w="110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P1</w:t>
            </w:r>
          </w:p>
        </w:tc>
      </w:tr>
      <w:tr>
        <w:trPr>
          <w:cantSplit w:val="true"/>
        </w:trPr>
        <w:tc>
          <w:tcPr>
            <w:tcW w:w="1906"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School-to-work transition</w:t>
            </w:r>
          </w:p>
        </w:tc>
        <w:tc>
          <w:tcPr>
            <w:tcW w:w="317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Training that is not connected to employment, and admissions that assume an informed applicant, both leak capable young people out of the system</w:t>
            </w:r>
          </w:p>
        </w:tc>
        <w:tc>
          <w:tcPr>
            <w:tcW w:w="317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Source 2 Tab 3; CLM-038</w:t>
            </w:r>
          </w:p>
        </w:tc>
        <w:tc>
          <w:tcPr>
            <w:tcW w:w="110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P2</w:t>
            </w:r>
          </w:p>
        </w:tc>
      </w:tr>
      <w:tr>
        <w:trPr>
          <w:cantSplit w:val="true"/>
        </w:trPr>
        <w:tc>
          <w:tcPr>
            <w:tcW w:w="1906"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Asset formation</w:t>
            </w:r>
          </w:p>
        </w:tc>
        <w:tc>
          <w:tcPr>
            <w:tcW w:w="317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Income without a buffer means one shock returns a household to crisis; no matched-savings instrument reaches this population</w:t>
            </w:r>
          </w:p>
        </w:tc>
        <w:tc>
          <w:tcPr>
            <w:tcW w:w="317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MIB 2017 pp.41, 112 (seed-fund design, never implemented)</w:t>
            </w:r>
          </w:p>
        </w:tc>
        <w:tc>
          <w:tcPr>
            <w:tcW w:w="110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P3</w:t>
            </w:r>
          </w:p>
        </w:tc>
      </w:tr>
    </w:tbl>
    <w:bookmarkEnd w:id="40"/>
    <w:bookmarkStart w:id="41" w:name="Xb6831c6fb03a4ebf1f473ffa4a3ce93ad4ef9d8"/>
    <w:p>
      <w:pPr>
        <w:pStyle w:val="Heading2"/>
        <w:keepNext/>
      </w:pPr>
      <w:r>
        <w:t xml:space="preserve">4.4 What this plan does not claim</w:t>
      </w:r>
    </w:p>
    <w:p>
      <w:pPr>
        <w:pStyle w:val="FirstParagraph"/>
      </w:pPr>
      <w:r>
        <w:t xml:space="preserve">It does not claim that existing programmes have failed. Verified recent measures — MITRA at RM150 million in 2026 (CLM-019), SJKT maintenance at RM50 million in 2026 across 528 schools serving 78,501 pupils (CLM-016, CLM-017), automatic matriculation offers to</w:t>
      </w:r>
      <w:r>
        <w:t xml:space="preserve"> </w:t>
      </w:r>
      <w:r>
        <w:rPr>
          <w:bCs/>
          <w:b/>
        </w:rPr>
        <w:t xml:space="preserve">all 6,717 candidates nationally, across all ethnic groups, scoring 10A or better in SPM 2025</w:t>
      </w:r>
      <w:r>
        <w:t xml:space="preserve"> </w:t>
      </w:r>
      <w:r>
        <w:t xml:space="preserve">(CLM-025), and the AIM PENN facility (CLM-027) — are real. MIB 2.0 runs on these rails; it does not replace them.</w:t>
      </w:r>
    </w:p>
    <w:p>
      <w:pPr>
        <w:pStyle w:val="BodyText"/>
      </w:pPr>
      <w:r>
        <w:t xml:space="preserve">Nor does it claim a verified total for existing Indian-community funding. The figure of RM220 million in Budget 2026, used in the source material as the basis of its entire Phase 1 request,</w:t>
      </w:r>
      <w:r>
        <w:t xml:space="preserve"> </w:t>
      </w:r>
      <w:r>
        <w:rPr>
          <w:bCs/>
          <w:b/>
        </w:rPr>
        <w:t xml:space="preserve">could not be substantiated</w:t>
      </w:r>
      <w:r>
        <w:t xml:space="preserve"> </w:t>
      </w:r>
      <w:r>
        <w:t xml:space="preserve">(CLM-018). Confirming the true existing envelope is a gating validation item (VAL-03), and the Phase 1 request cannot be finalised until the Ministry of Finance provides it.</w:t>
      </w:r>
    </w:p>
    <w:p>
      <w:r>
        <w:pict>
          <v:rect style="width:0;height:1.5pt" o:hralign="center" o:hrstd="t" o:hr="t"/>
        </w:pict>
      </w:r>
    </w:p>
    <w:bookmarkEnd w:id="41"/>
    <w:bookmarkEnd w:id="42"/>
    <w:bookmarkStart w:id="53" w:name="X43876f82274f4ef04e51614efc2233b09d33279"/>
    <w:p>
      <w:pPr>
        <w:pStyle w:val="Heading1"/>
        <w:keepNext/>
      </w:pPr>
      <w:r>
        <w:t xml:space="preserve">5. Architecture: pillars, programmes and phases</w:t>
      </w:r>
    </w:p>
    <w:bookmarkStart w:id="43" w:name="Xca5692b6c0faede23f2076d01a944119f805361"/>
    <w:p>
      <w:pPr>
        <w:pStyle w:val="Heading2"/>
        <w:keepNext/>
      </w:pPr>
      <w:r>
        <w:t xml:space="preserve">5.1 Theory of change</w:t>
      </w:r>
    </w:p>
    <w:p>
      <w:pPr>
        <w:pStyle w:val="BlockText"/>
      </w:pPr>
      <w:r>
        <w:rPr>
          <w:bCs/>
          <w:b/>
        </w:rPr>
        <w:t xml:space="preserve">Structural barrier removed → capability built → income stabilised → asset accumulated → dependence reduced.</w:t>
      </w:r>
    </w:p>
    <w:p>
      <w:pPr>
        <w:pStyle w:val="FirstParagraph"/>
      </w:pPr>
      <w:r>
        <w:t xml:space="preserve">Four barriers, removed in sequence, with a single consented household record so that clearing one does not strand the next. The chain is the plan; the programmes are its links.</w:t>
      </w:r>
    </w:p>
    <w:bookmarkEnd w:id="43"/>
    <w:bookmarkStart w:id="44" w:name="X87b9c02b96c87c55537af3571fa5d58aed9ae8a"/>
    <w:p>
      <w:pPr>
        <w:pStyle w:val="Heading2"/>
        <w:keepNext/>
      </w:pPr>
      <w:r>
        <w:t xml:space="preserve">5.2 Strategic principles</w:t>
      </w:r>
    </w:p>
    <w:p>
      <w:pPr>
        <w:numPr>
          <w:ilvl w:val="0"/>
          <w:numId w:val="1005"/>
        </w:numPr>
        <w:pStyle w:val="Compact"/>
      </w:pPr>
      <w:r>
        <w:rPr>
          <w:bCs/>
          <w:b/>
        </w:rPr>
        <w:t xml:space="preserve">Needs-based eligibility.</w:t>
      </w:r>
      <w:r>
        <w:t xml:space="preserve"> </w:t>
      </w:r>
      <w:r>
        <w:t xml:space="preserve">Every material benefit is defined on household income, documentation status or tenure insecurity. Outreach — not entitlement — is targeted to the community. This is the only constitutionally robust construction and it makes the model extensible to any community facing the same barriers.</w:t>
      </w:r>
    </w:p>
    <w:p>
      <w:pPr>
        <w:numPr>
          <w:ilvl w:val="0"/>
          <w:numId w:val="1005"/>
        </w:numPr>
        <w:pStyle w:val="Compact"/>
      </w:pPr>
      <w:r>
        <w:rPr>
          <w:bCs/>
          <w:b/>
        </w:rPr>
        <w:t xml:space="preserve">Complementarity.</w:t>
      </w:r>
      <w:r>
        <w:t xml:space="preserve"> </w:t>
      </w:r>
      <w:r>
        <w:t xml:space="preserve">Every programme runs on an existing delivery agency. Only the delivery secretariat and the navigator cadre are new establishment.</w:t>
      </w:r>
    </w:p>
    <w:p>
      <w:pPr>
        <w:numPr>
          <w:ilvl w:val="0"/>
          <w:numId w:val="1005"/>
        </w:numPr>
        <w:pStyle w:val="Compact"/>
      </w:pPr>
      <w:r>
        <w:rPr>
          <w:bCs/>
          <w:b/>
        </w:rPr>
        <w:t xml:space="preserve">Evidence gating.</w:t>
      </w:r>
      <w:r>
        <w:t xml:space="preserve"> </w:t>
      </w:r>
      <w:r>
        <w:t xml:space="preserve">Where no baseline exists, the Year 2 target</w:t>
      </w:r>
      <w:r>
        <w:t xml:space="preserve"> </w:t>
      </w:r>
      <w:r>
        <w:rPr>
          <w:iCs/>
          <w:i/>
        </w:rPr>
        <w:t xml:space="preserve">is</w:t>
      </w:r>
      <w:r>
        <w:t xml:space="preserve"> </w:t>
      </w:r>
      <w:r>
        <w:t xml:space="preserve">the baseline. No numeric outcome target is set on an unmeasured quantity.</w:t>
      </w:r>
    </w:p>
    <w:p>
      <w:pPr>
        <w:numPr>
          <w:ilvl w:val="0"/>
          <w:numId w:val="1005"/>
        </w:numPr>
        <w:pStyle w:val="Compact"/>
      </w:pPr>
      <w:r>
        <w:rPr>
          <w:bCs/>
          <w:b/>
        </w:rPr>
        <w:t xml:space="preserve">Bounded promises.</w:t>
      </w:r>
      <w:r>
        <w:t xml:space="preserve"> </w:t>
      </w:r>
      <w:r>
        <w:t xml:space="preserve">Volumes are capped at what is staffed and costed.</w:t>
      </w:r>
    </w:p>
    <w:p>
      <w:pPr>
        <w:numPr>
          <w:ilvl w:val="0"/>
          <w:numId w:val="1005"/>
        </w:numPr>
        <w:pStyle w:val="Compact"/>
      </w:pPr>
      <w:r>
        <w:rPr>
          <w:bCs/>
          <w:b/>
        </w:rPr>
        <w:t xml:space="preserve">Published by default.</w:t>
      </w:r>
      <w:r>
        <w:t xml:space="preserve"> </w:t>
      </w:r>
      <w:r>
        <w:t xml:space="preserve">Every indicator is published, disaggregated, whether or not it flatters.</w:t>
      </w:r>
    </w:p>
    <w:bookmarkEnd w:id="44"/>
    <w:bookmarkStart w:id="50" w:name="X4d489d8dc85159c3a1c388f197b5114815131c5"/>
    <w:p>
      <w:pPr>
        <w:pStyle w:val="Heading2"/>
        <w:keepNext/>
      </w:pPr>
      <w:r>
        <w:t xml:space="preserve">5.3 The pillars and the sixteen retained substantive programmes</w:t>
      </w:r>
    </w:p>
    <w:bookmarkStart w:id="45" w:name="Xc38da4532132e55b0be54fe4363031dc69a655a"/>
    <w:p>
      <w:pPr>
        <w:pStyle w:val="Heading3"/>
        <w:keepNext/>
      </w:pPr>
      <w:r>
        <w:t xml:space="preserve">Pillar 1 — Foundations: identity, early childhood, safe schools</w:t>
      </w:r>
    </w:p>
    <w:p>
      <w:pPr>
        <w:pStyle w:val="FirstParagraph"/>
      </w:pPr>
      <w:r>
        <w:rPr>
          <w:bCs/>
          <w:b/>
        </w:rPr>
        <w:t xml:space="preserve">PRG-01 National Documentation Resolution Programme</w:t>
      </w:r>
      <w:r>
        <w:t xml:space="preserve"> </w:t>
      </w:r>
      <w:r>
        <w:t xml:space="preserve">—</w:t>
      </w:r>
      <w:r>
        <w:t xml:space="preserve"> </w:t>
      </w:r>
      <w:r>
        <w:rPr>
          <w:iCs/>
          <w:i/>
        </w:rPr>
        <w:t xml:space="preserve">Ministry of Home Affairs (JPN)</w:t>
      </w:r>
      <w:r>
        <w:t xml:space="preserve"> </w:t>
      </w:r>
      <w:r>
        <w:t xml:space="preserve">— Phases 1–3</w:t>
      </w:r>
      <w:r>
        <w:t xml:space="preserve"> </w:t>
      </w:r>
      <w:r>
        <w:t xml:space="preserve">One-stop JPN–JPM desks in every state and federal territory, mobile registration teams to former estate settlements and urban-poor localities, and active case management to resolution. Priority order: children of school age, students, persons with disabilities, elderly applicants, widows and single-parent households (CLM-058).</w:t>
      </w:r>
      <w:r>
        <w:t xml:space="preserve"> </w:t>
      </w:r>
      <w:r>
        <w:rPr>
          <w:iCs/>
          <w:i/>
        </w:rPr>
        <w:t xml:space="preserve">First deliverable is a verified caseload baseline within nine months.</w:t>
      </w:r>
      <w:r>
        <w:t xml:space="preserve"> </w:t>
      </w:r>
      <w:r>
        <w:t xml:space="preserve">Targets are resolution-rate and cycle-time targets, not approval targets: citizenship determination under Article 15A, Article 19 and the Second Schedule Part II of the Federal Constitution is a Ministerial discretion, and no task force may commit it to a percentage. The source draft's "100% of the backlog in 24 months" is rejected on both counts (CLM-034).</w:t>
      </w:r>
      <w:r>
        <w:t xml:space="preserve"> </w:t>
      </w:r>
      <w:r>
        <w:rPr>
          <w:bCs/>
          <w:b/>
        </w:rPr>
        <w:t xml:space="preserve">Outcome:</w:t>
      </w:r>
      <w:r>
        <w:t xml:space="preserve"> </w:t>
      </w:r>
      <w:r>
        <w:t xml:space="preserve">fewer Malaysian-born persons of Indian origin without resolved documentation status; shorter median cycle time.</w:t>
      </w:r>
      <w:r>
        <w:t xml:space="preserve"> </w:t>
      </w:r>
      <w:r>
        <w:rPr>
          <w:bCs/>
          <w:b/>
        </w:rPr>
        <w:t xml:space="preserve">Six-year central cost: RM26.1 million.</w:t>
      </w:r>
    </w:p>
    <w:p>
      <w:pPr>
        <w:pStyle w:val="BodyText"/>
      </w:pPr>
      <w:r>
        <w:rPr>
          <w:bCs/>
          <w:b/>
        </w:rPr>
        <w:t xml:space="preserve">PRG-02 Early Childhood Access Programme</w:t>
      </w:r>
      <w:r>
        <w:t xml:space="preserve"> </w:t>
      </w:r>
      <w:r>
        <w:t xml:space="preserve">—</w:t>
      </w:r>
      <w:r>
        <w:t xml:space="preserve"> </w:t>
      </w:r>
      <w:r>
        <w:rPr>
          <w:iCs/>
          <w:i/>
        </w:rPr>
        <w:t xml:space="preserve">Ministry of Education</w:t>
      </w:r>
      <w:r>
        <w:t xml:space="preserve"> </w:t>
      </w:r>
      <w:r>
        <w:t xml:space="preserve">— Phases 1–3</w:t>
      </w:r>
      <w:r>
        <w:t xml:space="preserve"> </w:t>
      </w:r>
      <w:r>
        <w:t xml:space="preserve">Enrolment fee subsidy, transport and meal support, delivered through existing registered preschool platforms with SJKT and community organisations as the referral channel. Eligibility is household income in the bottom 40%, not ethnicity.</w:t>
      </w:r>
      <w:r>
        <w:t xml:space="preserve"> </w:t>
      </w:r>
      <w:r>
        <w:t xml:space="preserve">The eligible population is approximately</w:t>
      </w:r>
      <w:r>
        <w:t xml:space="preserve"> </w:t>
      </w:r>
      <w:r>
        <w:rPr>
          <w:bCs/>
          <w:b/>
        </w:rPr>
        <w:t xml:space="preserve">16,000 children aged 4–5 in low-income Indian households</w:t>
      </w:r>
      <w:r>
        <w:t xml:space="preserve"> </w:t>
      </w:r>
      <w:r>
        <w:t xml:space="preserve">(CLM-053), derived from cohort size. The source draft's target of 40,000 subsidised places was scaled from a</w:t>
      </w:r>
      <w:r>
        <w:t xml:space="preserve"> </w:t>
      </w:r>
      <w:r>
        <w:rPr>
          <w:iCs/>
          <w:i/>
        </w:rPr>
        <w:t xml:space="preserve">household</w:t>
      </w:r>
      <w:r>
        <w:t xml:space="preserve"> </w:t>
      </w:r>
      <w:r>
        <w:t xml:space="preserve">denominator and exceeds the eligible child cohort (CLM-037); it is recalculated. Participation rises from approximately 40% to 80% of the eligible cohort across the three phases.</w:t>
      </w:r>
      <w:r>
        <w:t xml:space="preserve"> </w:t>
      </w:r>
      <w:r>
        <w:rPr>
          <w:bCs/>
          <w:b/>
        </w:rPr>
        <w:t xml:space="preserve">Outcome:</w:t>
      </w:r>
      <w:r>
        <w:t xml:space="preserve"> </w:t>
      </w:r>
      <w:r>
        <w:t xml:space="preserve">higher preschool participation and improved school readiness at Year One entry.</w:t>
      </w:r>
      <w:r>
        <w:t xml:space="preserve"> </w:t>
      </w:r>
      <w:r>
        <w:rPr>
          <w:bCs/>
          <w:b/>
        </w:rPr>
        <w:t xml:space="preserve">Six-year central cost: RM255.360 million</w:t>
      </w:r>
      <w:r>
        <w:t xml:space="preserve"> </w:t>
      </w:r>
      <w:r>
        <w:t xml:space="preserve">— the largest single programme in the portfolio.</w:t>
      </w:r>
    </w:p>
    <w:p>
      <w:pPr>
        <w:pStyle w:val="BodyText"/>
      </w:pPr>
      <w:r>
        <w:rPr>
          <w:bCs/>
          <w:b/>
        </w:rPr>
        <w:t xml:space="preserve">PRG-03 SJKT Safety and Learning Environment Programme</w:t>
      </w:r>
      <w:r>
        <w:t xml:space="preserve"> </w:t>
      </w:r>
      <w:r>
        <w:t xml:space="preserve">—</w:t>
      </w:r>
      <w:r>
        <w:t xml:space="preserve"> </w:t>
      </w:r>
      <w:r>
        <w:rPr>
          <w:iCs/>
          <w:i/>
        </w:rPr>
        <w:t xml:space="preserve">Ministry of Education</w:t>
      </w:r>
      <w:r>
        <w:t xml:space="preserve"> </w:t>
      </w:r>
      <w:r>
        <w:t xml:space="preserve">— Phases 1–3</w:t>
      </w:r>
      <w:r>
        <w:t xml:space="preserve"> </w:t>
      </w:r>
      <w:r>
        <w:t xml:space="preserve">A condition audit of</w:t>
      </w:r>
      <w:r>
        <w:t xml:space="preserve"> </w:t>
      </w:r>
      <w:r>
        <w:rPr>
          <w:bCs/>
          <w:b/>
        </w:rPr>
        <w:t xml:space="preserve">all 528 SJKT</w:t>
      </w:r>
      <w:r>
        <w:t xml:space="preserve"> </w:t>
      </w:r>
      <w:r>
        <w:t xml:space="preserve">(CLM-016), a published remediation schedule prioritised strictly by audited safety risk, safety-critical works, digital learning facilities and a trained coordinator per school.</w:t>
      </w:r>
      <w:r>
        <w:t xml:space="preserve"> </w:t>
      </w:r>
      <w:r>
        <w:t xml:space="preserve">The national dilapidated-schools programme is treated as</w:t>
      </w:r>
      <w:r>
        <w:t xml:space="preserve"> </w:t>
      </w:r>
      <w:r>
        <w:rPr>
          <w:bCs/>
          <w:b/>
        </w:rPr>
        <w:t xml:space="preserve">existing national funding</w:t>
      </w:r>
      <w:r>
        <w:t xml:space="preserve">; MIB 2.0 claims no part of it as community funding, and funds only the audit, the digital layer and the incremental safety gap (CLM-030). The assumed 55% existing-funding share is provisional and gating (VAL-11).</w:t>
      </w:r>
      <w:r>
        <w:t xml:space="preserve"> </w:t>
      </w:r>
      <w:r>
        <w:rPr>
          <w:bCs/>
          <w:b/>
        </w:rPr>
        <w:t xml:space="preserve">Outcome:</w:t>
      </w:r>
      <w:r>
        <w:t xml:space="preserve"> </w:t>
      </w:r>
      <w:r>
        <w:t xml:space="preserve">every SJKT meets a defined safety and learning-environment standard.</w:t>
      </w:r>
      <w:r>
        <w:t xml:space="preserve"> </w:t>
      </w:r>
      <w:r>
        <w:rPr>
          <w:bCs/>
          <w:b/>
        </w:rPr>
        <w:t xml:space="preserve">Six-year central cost: RM133.056 million.</w:t>
      </w:r>
    </w:p>
    <w:p>
      <w:pPr>
        <w:pStyle w:val="BodyText"/>
      </w:pPr>
      <w:r>
        <w:rPr>
          <w:bCs/>
          <w:b/>
        </w:rPr>
        <w:t xml:space="preserve">PRG-04 Multi-Faith Community Institution Safety and Compliance Programme</w:t>
      </w:r>
      <w:r>
        <w:t xml:space="preserve"> </w:t>
      </w:r>
      <w:r>
        <w:t xml:space="preserve">—</w:t>
      </w:r>
      <w:r>
        <w:t xml:space="preserve"> </w:t>
      </w:r>
      <w:r>
        <w:rPr>
          <w:iCs/>
          <w:i/>
        </w:rPr>
        <w:t xml:space="preserve">Ministry of National Unity, delivered through JPNIN</w:t>
      </w:r>
      <w:r>
        <w:t xml:space="preserve"> </w:t>
      </w:r>
      <w:r>
        <w:t xml:space="preserve">— Phases 1–3</w:t>
      </w:r>
      <w:r>
        <w:t xml:space="preserve"> </w:t>
      </w:r>
      <w:r>
        <w:t xml:space="preserve">One religion-neutral programme for faith-based and community institutions serving Malaysian Indian communities. Eligible institutions include Hindu temples, mosques and surau serving Indian Muslim communities, churches, Sikh gurdwaras, Baha'i facilities and other qualifying institutions; the definition remains open so smaller faith communities are not excluded by omission. A common facility track provides safety, accessibility and regulatory-compliance audits, matched-funding grants for safety-critical works, and compliance advice. Eligibility is based on documented community service, need and lawful institutional consent—not a fixed allocation by religion.</w:t>
      </w:r>
    </w:p>
    <w:p>
      <w:pPr>
        <w:pStyle w:val="BodyText"/>
      </w:pPr>
      <w:r>
        <w:t xml:space="preserve">A differentiated temple and estate-legacy track documents land-tenure, relocation and registration issues for referral to the competent state authority; it does not create federal adjudicative power. Institution-specific coordination is conducted with the relevant trustees, representative bodies and religious authorities.</w:t>
      </w:r>
      <w:r>
        <w:t xml:space="preserve"> </w:t>
      </w:r>
      <w:r>
        <w:rPr>
          <w:bCs/>
          <w:b/>
        </w:rPr>
        <w:t xml:space="preserve">Participation requires the consent of the state, the institution and any relevant religious authority, facility by facility.</w:t>
      </w:r>
      <w:r>
        <w:t xml:space="preserve"> </w:t>
      </w:r>
      <w:r>
        <w:t xml:space="preserve">Federal support is confined to life safety, accessibility, regulatory compliance and spaces used for documented education, welfare, youth, elderly, cultural or other public-interest services. It cannot finance worship, proselytisation, ceremonies, devotional fixtures or doctrinal activity. Safety works necessary to protect life and public access may be supported regardless of faith, subject to those boundaries. The source draft's national temple audit including land-tenure and heritage adjudication is narrowed and made multi-faith accordingly (CLM-044).</w:t>
      </w:r>
    </w:p>
    <w:p>
      <w:pPr>
        <w:pStyle w:val="BodyText"/>
      </w:pPr>
      <w:r>
        <w:rPr>
          <w:bCs/>
          <w:b/>
        </w:rPr>
        <w:t xml:space="preserve">Outcome:</w:t>
      </w:r>
      <w:r>
        <w:t xml:space="preserve"> </w:t>
      </w:r>
      <w:r>
        <w:t xml:space="preserve">participating institutions meet defined safety and accessibility standards while distinct temple and estate-legacy cases enter a documented state-referral pathway.</w:t>
      </w:r>
      <w:r>
        <w:t xml:space="preserve"> </w:t>
      </w:r>
      <w:r>
        <w:rPr>
          <w:bCs/>
          <w:b/>
        </w:rPr>
        <w:t xml:space="preserve">Six-year central cost: RM44.400 million (provisional).</w:t>
      </w:r>
      <w:r>
        <w:t xml:space="preserve"> </w:t>
      </w:r>
      <w:r>
        <w:t xml:space="preserve">The existing 1,200-facility planning assumption is not a verified multi-faith baseline; the facility map, faith-type distribution, delivery partners and fiscal envelope must be recalibrated before formal approval (ASM-C04, VAL-13). This remains the weakest mandate in the portfolio and is flagged as such (RSP-04).</w:t>
      </w:r>
    </w:p>
    <w:bookmarkEnd w:id="45"/>
    <w:bookmarkStart w:id="46" w:name="X0a4a63ecd4b9230bf88c7ca34f99f874ba43533"/>
    <w:p>
      <w:pPr>
        <w:pStyle w:val="Heading3"/>
        <w:keepNext/>
      </w:pPr>
      <w:r>
        <w:t xml:space="preserve">Pillar 2 — Progression: education to employment</w:t>
      </w:r>
    </w:p>
    <w:p>
      <w:pPr>
        <w:pStyle w:val="FirstParagraph"/>
      </w:pPr>
      <w:r>
        <w:rPr>
          <w:bCs/>
          <w:b/>
        </w:rPr>
        <w:t xml:space="preserve">PRG-05 School-to-Pathway Guidance and Placement Support</w:t>
      </w:r>
      <w:r>
        <w:t xml:space="preserve"> </w:t>
      </w:r>
      <w:r>
        <w:t xml:space="preserve">—</w:t>
      </w:r>
      <w:r>
        <w:t xml:space="preserve"> </w:t>
      </w:r>
      <w:r>
        <w:rPr>
          <w:iCs/>
          <w:i/>
        </w:rPr>
        <w:t xml:space="preserve">Ministry of Education</w:t>
      </w:r>
      <w:r>
        <w:t xml:space="preserve"> </w:t>
      </w:r>
      <w:r>
        <w:t xml:space="preserve">— Phases 1–3</w:t>
      </w:r>
      <w:r>
        <w:t xml:space="preserve"> </w:t>
      </w:r>
      <w:r>
        <w:t xml:space="preserve">Structured career profiling in Forms 4–5, admissions clinics for every post-school pathway, and follow-through to placement confirmation.</w:t>
      </w:r>
      <w:r>
        <w:t xml:space="preserve"> </w:t>
      </w:r>
      <w:r>
        <w:rPr>
          <w:bCs/>
          <w:b/>
        </w:rPr>
        <w:t xml:space="preserve">Six-year central cost: RM19.4 million.</w:t>
      </w:r>
    </w:p>
    <w:p>
      <w:pPr>
        <w:pStyle w:val="BodyText"/>
      </w:pPr>
      <w:r>
        <w:rPr>
          <w:bCs/>
          <w:b/>
        </w:rPr>
        <w:t xml:space="preserve">PRG-06 TVET and STEM Progression Pipeline</w:t>
      </w:r>
      <w:r>
        <w:t xml:space="preserve"> </w:t>
      </w:r>
      <w:r>
        <w:t xml:space="preserve">—</w:t>
      </w:r>
      <w:r>
        <w:t xml:space="preserve"> </w:t>
      </w:r>
      <w:r>
        <w:rPr>
          <w:iCs/>
          <w:i/>
        </w:rPr>
        <w:t xml:space="preserve">Ministry of Human Resources</w:t>
      </w:r>
      <w:r>
        <w:t xml:space="preserve"> </w:t>
      </w:r>
      <w:r>
        <w:t xml:space="preserve">— Phases 1–3</w:t>
      </w:r>
      <w:r>
        <w:t xml:space="preserve"> </w:t>
      </w:r>
      <w:r>
        <w:t xml:space="preserve">Training seats in existing accredited institutions, a completion stipend, employer-linked apprenticeships, and mandatory tracking from intake through certification to twelve months of employment. Approximately</w:t>
      </w:r>
      <w:r>
        <w:t xml:space="preserve"> </w:t>
      </w:r>
      <w:r>
        <w:rPr>
          <w:bCs/>
          <w:b/>
        </w:rPr>
        <w:t xml:space="preserve">30,000 cumulative enrolees</w:t>
      </w:r>
      <w:r>
        <w:t xml:space="preserve"> </w:t>
      </w:r>
      <w:r>
        <w:t xml:space="preserve">across six years.</w:t>
      </w:r>
      <w:r>
        <w:t xml:space="preserve"> </w:t>
      </w:r>
      <w:r>
        <w:t xml:space="preserve">The employment threshold is</w:t>
      </w:r>
      <w:r>
        <w:t xml:space="preserve"> </w:t>
      </w:r>
      <w:r>
        <w:rPr>
          <w:bCs/>
          <w:b/>
        </w:rPr>
        <w:t xml:space="preserve">the prevailing national minimum wage plus 25%, restated and published annually.</w:t>
      </w:r>
      <w:r>
        <w:t xml:space="preserve"> </w:t>
      </w:r>
      <w:r>
        <w:t xml:space="preserve">The source draft's threshold of RM2,672 per month is a 2014 B40 mean and is not a valid 2026 wage floor (CLM-038). Completion and employment targets are set below the source draft's 85% and 70% because those figures had no evidential basis.</w:t>
      </w:r>
      <w:r>
        <w:t xml:space="preserve"> </w:t>
      </w:r>
      <w:r>
        <w:rPr>
          <w:bCs/>
          <w:b/>
        </w:rPr>
        <w:t xml:space="preserve">Outcome:</w:t>
      </w:r>
      <w:r>
        <w:t xml:space="preserve"> </w:t>
      </w:r>
      <w:r>
        <w:t xml:space="preserve">certified completion and employment above the indexed threshold twelve months after certification.</w:t>
      </w:r>
      <w:r>
        <w:t xml:space="preserve"> </w:t>
      </w:r>
      <w:r>
        <w:rPr>
          <w:bCs/>
          <w:b/>
        </w:rPr>
        <w:t xml:space="preserve">Six-year central cost: RM279.0 million.</w:t>
      </w:r>
    </w:p>
    <w:p>
      <w:pPr>
        <w:pStyle w:val="BodyText"/>
      </w:pPr>
      <w:r>
        <w:rPr>
          <w:bCs/>
          <w:b/>
        </w:rPr>
        <w:t xml:space="preserve">PRG-07 Tertiary Access Navigation and Transparency</w:t>
      </w:r>
      <w:r>
        <w:t xml:space="preserve"> </w:t>
      </w:r>
      <w:r>
        <w:t xml:space="preserve">—</w:t>
      </w:r>
      <w:r>
        <w:t xml:space="preserve"> </w:t>
      </w:r>
      <w:r>
        <w:rPr>
          <w:iCs/>
          <w:i/>
        </w:rPr>
        <w:t xml:space="preserve">Ministry of Education</w:t>
      </w:r>
      <w:r>
        <w:t xml:space="preserve"> </w:t>
      </w:r>
      <w:r>
        <w:t xml:space="preserve">— Phases 1–3</w:t>
      </w:r>
      <w:r>
        <w:t xml:space="preserve"> </w:t>
      </w:r>
      <w:r>
        <w:t xml:space="preserve">Publication of an annual disaggregated intake and offer series, applicant navigation support, and a pathway-adequacy review tabled to the Task Force.</w:t>
      </w:r>
      <w:r>
        <w:t xml:space="preserve"> </w:t>
      </w:r>
      <w:r>
        <w:rPr>
          <w:bCs/>
          <w:b/>
        </w:rPr>
        <w:t xml:space="preserve">No additional matriculation seats are requested and none are costed.</w:t>
      </w:r>
      <w:r>
        <w:t xml:space="preserve"> </w:t>
      </w:r>
      <w:r>
        <w:t xml:space="preserve">The 90:10 framework is unchanged. This is deliberate: two irreconcilable figures for Indian matriculation seats circulate publicly — 1,116 asserted by an advocacy organisation and 1,537 asserted in the source material — and neither is traceable to the Ministry of Education (CLM-023, CLM-024). A gazetted 3.72% sub-quota could not be established as an administrative instrument. The honest first step is publication, not a seat-count target built on a contested number.</w:t>
      </w:r>
      <w:r>
        <w:t xml:space="preserve"> </w:t>
      </w:r>
      <w:r>
        <w:rPr>
          <w:bCs/>
          <w:b/>
        </w:rPr>
        <w:t xml:space="preserve">Outcome:</w:t>
      </w:r>
      <w:r>
        <w:t xml:space="preserve"> </w:t>
      </w:r>
      <w:r>
        <w:t xml:space="preserve">qualified applicants are not lost for informational or procedural reasons, and the actual constraint becomes visible.</w:t>
      </w:r>
      <w:r>
        <w:t xml:space="preserve"> </w:t>
      </w:r>
      <w:r>
        <w:rPr>
          <w:bCs/>
          <w:b/>
        </w:rPr>
        <w:t xml:space="preserve">Six-year central cost: RM18.0 million.</w:t>
      </w:r>
    </w:p>
    <w:p>
      <w:pPr>
        <w:pStyle w:val="BodyText"/>
      </w:pPr>
      <w:r>
        <w:rPr>
          <w:bCs/>
          <w:b/>
        </w:rPr>
        <w:t xml:space="preserve">PRG-08 Professional Entry and Mentoring</w:t>
      </w:r>
      <w:r>
        <w:t xml:space="preserve"> </w:t>
      </w:r>
      <w:r>
        <w:t xml:space="preserve">—</w:t>
      </w:r>
      <w:r>
        <w:t xml:space="preserve"> </w:t>
      </w:r>
      <w:r>
        <w:rPr>
          <w:iCs/>
          <w:i/>
        </w:rPr>
        <w:t xml:space="preserve">Ministry of Higher Education</w:t>
      </w:r>
      <w:r>
        <w:t xml:space="preserve"> </w:t>
      </w:r>
      <w:r>
        <w:t xml:space="preserve">— Phases 2–3</w:t>
      </w:r>
      <w:r>
        <w:t xml:space="preserve"> </w:t>
      </w:r>
      <w:r>
        <w:t xml:space="preserve">Structured mentoring, professional-association placement partnerships and entry-examination preparation.</w:t>
      </w:r>
      <w:r>
        <w:t xml:space="preserve"> </w:t>
      </w:r>
      <w:r>
        <w:rPr>
          <w:bCs/>
          <w:b/>
        </w:rPr>
        <w:t xml:space="preserve">Six-year central cost: RM8.0 million.</w:t>
      </w:r>
    </w:p>
    <w:bookmarkEnd w:id="46"/>
    <w:bookmarkStart w:id="47" w:name="X152dae16ac5190b659614e6e7c4e959bb624cad"/>
    <w:p>
      <w:pPr>
        <w:pStyle w:val="Heading3"/>
        <w:keepNext/>
      </w:pPr>
      <w:r>
        <w:t xml:space="preserve">Pillar 3 — Livelihoods, enterprise and assets</w:t>
      </w:r>
    </w:p>
    <w:p>
      <w:pPr>
        <w:pStyle w:val="FirstParagraph"/>
      </w:pPr>
      <w:r>
        <w:rPr>
          <w:bCs/>
          <w:b/>
        </w:rPr>
        <w:t xml:space="preserve">PRG-09 Household Progression Programme</w:t>
      </w:r>
      <w:r>
        <w:t xml:space="preserve"> </w:t>
      </w:r>
      <w:r>
        <w:t xml:space="preserve">—</w:t>
      </w:r>
      <w:r>
        <w:t xml:space="preserve"> </w:t>
      </w:r>
      <w:r>
        <w:rPr>
          <w:iCs/>
          <w:i/>
        </w:rPr>
        <w:t xml:space="preserve">Prime Minister's Department (delivery secretariat)</w:t>
      </w:r>
      <w:r>
        <w:t xml:space="preserve"> </w:t>
      </w:r>
      <w:r>
        <w:t xml:space="preserve">— Phases 1–3</w:t>
      </w:r>
      <w:r>
        <w:t xml:space="preserve"> </w:t>
      </w:r>
      <w:r>
        <w:t xml:space="preserve">A designated Progression Navigator per enrolled household at a caseload of 150, a single consent-based household progression record, coordinated referral to existing programmes, and periodic review. Approximately</w:t>
      </w:r>
      <w:r>
        <w:t xml:space="preserve"> </w:t>
      </w:r>
      <w:r>
        <w:rPr>
          <w:bCs/>
          <w:b/>
        </w:rPr>
        <w:t xml:space="preserve">120 navigators and concurrent capacity for 18,000 households in Phase 1, rising to approximately 400 navigators and concurrent capacity for 60,000 households in Phase 3</w:t>
      </w:r>
      <w:r>
        <w:t xml:space="preserve"> </w:t>
      </w:r>
      <w:r>
        <w:t xml:space="preserve">— approximately 26% of the 2014-basis low-income Indian household count, or about 10% of all Indian households at the Phase 3 peak. Cumulative reach is not stated before case duration and turnover are observed.</w:t>
      </w:r>
      <w:r>
        <w:t xml:space="preserve"> </w:t>
      </w:r>
      <w:r>
        <w:t xml:space="preserve">Coverage is</w:t>
      </w:r>
      <w:r>
        <w:t xml:space="preserve"> </w:t>
      </w:r>
      <w:r>
        <w:rPr>
          <w:bCs/>
          <w:b/>
        </w:rPr>
        <w:t xml:space="preserve">capped and is not universal.</w:t>
      </w:r>
      <w:r>
        <w:t xml:space="preserve"> </w:t>
      </w:r>
      <w:r>
        <w:t xml:space="preserve">The second source document's "each participating family" is given a defined meaning: households enrolled in this programme, not all Indian households (CLM-043). Navigators coordinate access; they do not approve benefits.</w:t>
      </w:r>
      <w:r>
        <w:t xml:space="preserve"> </w:t>
      </w:r>
      <w:r>
        <w:rPr>
          <w:bCs/>
          <w:b/>
        </w:rPr>
        <w:t xml:space="preserve">Outcome:</w:t>
      </w:r>
      <w:r>
        <w:t xml:space="preserve"> </w:t>
      </w:r>
      <w:r>
        <w:t xml:space="preserve">enrolled households show measurable movement in two or more of income stability, employment, savings and housing security.</w:t>
      </w:r>
      <w:r>
        <w:t xml:space="preserve"> </w:t>
      </w:r>
      <w:r>
        <w:rPr>
          <w:bCs/>
          <w:b/>
        </w:rPr>
        <w:t xml:space="preserve">Six-year central cost: RM133.2 million.</w:t>
      </w:r>
    </w:p>
    <w:p>
      <w:pPr>
        <w:pStyle w:val="BodyText"/>
      </w:pPr>
      <w:r>
        <w:rPr>
          <w:bCs/>
          <w:b/>
        </w:rPr>
        <w:t xml:space="preserve">PRG-10 Microenterprise Growth and Vendor Capability Programme</w:t>
      </w:r>
      <w:r>
        <w:t xml:space="preserve"> </w:t>
      </w:r>
      <w:r>
        <w:t xml:space="preserve">—</w:t>
      </w:r>
      <w:r>
        <w:t xml:space="preserve"> </w:t>
      </w:r>
      <w:r>
        <w:rPr>
          <w:iCs/>
          <w:i/>
        </w:rPr>
        <w:t xml:space="preserve">Ministry of Entrepreneur and Cooperatives Development</w:t>
      </w:r>
      <w:r>
        <w:t xml:space="preserve"> </w:t>
      </w:r>
      <w:r>
        <w:t xml:space="preserve">— Phases 2–3</w:t>
      </w:r>
      <w:r>
        <w:t xml:space="preserve"> </w:t>
      </w:r>
      <w:r>
        <w:t xml:space="preserve">Structured advisory on financial management, compliance, digitalisation, quality certification and procurement readiness; consortium formation; bid preparation. Approximately 5,000 enterprises in the central planning case.</w:t>
      </w:r>
      <w:r>
        <w:t xml:space="preserve"> </w:t>
      </w:r>
      <w:r>
        <w:rPr>
          <w:bCs/>
          <w:b/>
        </w:rPr>
        <w:t xml:space="preserve">No new financing facility is created.</w:t>
      </w:r>
      <w:r>
        <w:t xml:space="preserve"> </w:t>
      </w:r>
      <w:r>
        <w:t xml:space="preserve">Financing continues on existing TEKUN, SPUMI, AIM and BRIEF-i rails.</w:t>
      </w:r>
      <w:r>
        <w:t xml:space="preserve"> </w:t>
      </w:r>
      <w:r>
        <w:rPr>
          <w:bCs/>
          <w:b/>
        </w:rPr>
        <w:t xml:space="preserve">The ethnic procurement set-aside and 2% participation quota in the source material are rejected</w:t>
      </w:r>
      <w:r>
        <w:t xml:space="preserve"> </w:t>
      </w:r>
      <w:r>
        <w:t xml:space="preserve">on Article 8 equality grounds and would in any case require Treasury instruction changes and AGC clearance (CLM-039). Procurement participation is</w:t>
      </w:r>
      <w:r>
        <w:t xml:space="preserve"> </w:t>
      </w:r>
      <w:r>
        <w:rPr>
          <w:bCs/>
          <w:b/>
        </w:rPr>
        <w:t xml:space="preserve">measured and published, not mandated.</w:t>
      </w:r>
      <w:r>
        <w:t xml:space="preserve"> </w:t>
      </w:r>
      <w:r>
        <w:rPr>
          <w:bCs/>
          <w:b/>
        </w:rPr>
        <w:t xml:space="preserve">Outcome:</w:t>
      </w:r>
      <w:r>
        <w:t xml:space="preserve"> </w:t>
      </w:r>
      <w:r>
        <w:t xml:space="preserve">revenue and employment growth among participating enterprises.</w:t>
      </w:r>
      <w:r>
        <w:t xml:space="preserve"> </w:t>
      </w:r>
      <w:r>
        <w:rPr>
          <w:bCs/>
          <w:b/>
        </w:rPr>
        <w:t xml:space="preserve">Six-year central cost: RM36.0 million.</w:t>
      </w:r>
    </w:p>
    <w:p>
      <w:pPr>
        <w:pStyle w:val="BodyText"/>
      </w:pPr>
      <w:r>
        <w:rPr>
          <w:bCs/>
          <w:b/>
        </w:rPr>
        <w:t xml:space="preserve">PRG-11 Household Savings and Asset Accumulation Scheme</w:t>
      </w:r>
      <w:r>
        <w:t xml:space="preserve"> </w:t>
      </w:r>
      <w:r>
        <w:t xml:space="preserve">—</w:t>
      </w:r>
      <w:r>
        <w:t xml:space="preserve"> </w:t>
      </w:r>
      <w:r>
        <w:rPr>
          <w:iCs/>
          <w:i/>
        </w:rPr>
        <w:t xml:space="preserve">Ministry of Finance</w:t>
      </w:r>
      <w:r>
        <w:t xml:space="preserve"> </w:t>
      </w:r>
      <w:r>
        <w:t xml:space="preserve">— Phases 1–3</w:t>
      </w:r>
      <w:r>
        <w:t xml:space="preserve"> </w:t>
      </w:r>
      <w:r>
        <w:t xml:space="preserve">Matched savings capped at RM1,000 per household per year, with the matching ratio varying by income band and a minimum lock-in, rising to approximately 50,000 participating households.</w:t>
      </w:r>
      <w:r>
        <w:t xml:space="preserve"> </w:t>
      </w:r>
      <w:r>
        <w:t xml:space="preserve">This is structured on the Blueprint's</w:t>
      </w:r>
      <w:r>
        <w:t xml:space="preserve"> </w:t>
      </w:r>
      <w:r>
        <w:rPr>
          <w:bCs/>
          <w:b/>
        </w:rPr>
        <w:t xml:space="preserve">actual</w:t>
      </w:r>
      <w:r>
        <w:t xml:space="preserve"> </w:t>
      </w:r>
      <w:r>
        <w:t xml:space="preserve">design — a seed fund providing matching booster units in a qualifying savings product (MIB 2017, pp.41, 112). It is a</w:t>
      </w:r>
      <w:r>
        <w:t xml:space="preserve"> </w:t>
      </w:r>
      <w:r>
        <w:rPr>
          <w:bCs/>
          <w:b/>
        </w:rPr>
        <w:t xml:space="preserve">new instrument modelled on an MIB design that was never implemented, not the revival of a lapsed scheme.</w:t>
      </w:r>
      <w:r>
        <w:t xml:space="preserve"> </w:t>
      </w:r>
      <w:r>
        <w:t xml:space="preserve">It requires Ministry of Finance design approval and, if PNB is the vehicle,</w:t>
      </w:r>
      <w:r>
        <w:t xml:space="preserve"> </w:t>
      </w:r>
      <w:r>
        <w:rPr>
          <w:bCs/>
          <w:b/>
        </w:rPr>
        <w:t xml:space="preserve">PNB's own commercial agreement, which Cabinet cannot direct</w:t>
      </w:r>
      <w:r>
        <w:t xml:space="preserve"> </w:t>
      </w:r>
      <w:r>
        <w:t xml:space="preserve">(VAL-19).</w:t>
      </w:r>
      <w:r>
        <w:t xml:space="preserve"> </w:t>
      </w:r>
      <w:r>
        <w:rPr>
          <w:bCs/>
          <w:b/>
        </w:rPr>
        <w:t xml:space="preserve">Outcome:</w:t>
      </w:r>
      <w:r>
        <w:t xml:space="preserve"> </w:t>
      </w:r>
      <w:r>
        <w:t xml:space="preserve">more participating households hold a defined minimum financial buffer.</w:t>
      </w:r>
      <w:r>
        <w:t xml:space="preserve"> </w:t>
      </w:r>
      <w:r>
        <w:rPr>
          <w:bCs/>
          <w:b/>
        </w:rPr>
        <w:t xml:space="preserve">Six-year central cost: RM200.0 million.</w:t>
      </w:r>
      <w:r>
        <w:t xml:space="preserve"> </w:t>
      </w:r>
      <w:r>
        <w:t xml:space="preserve">Confidence class:</w:t>
      </w:r>
      <w:r>
        <w:t xml:space="preserve"> </w:t>
      </w:r>
      <w:r>
        <w:rPr>
          <w:bCs/>
          <w:b/>
        </w:rPr>
        <w:t xml:space="preserve">Provisional.</w:t>
      </w:r>
    </w:p>
    <w:p>
      <w:pPr>
        <w:pStyle w:val="BodyText"/>
      </w:pPr>
      <w:r>
        <w:rPr>
          <w:bCs/>
          <w:b/>
        </w:rPr>
        <w:t xml:space="preserve">PRG-12 Housing Access and Estate Legacy Resolution</w:t>
      </w:r>
      <w:r>
        <w:t xml:space="preserve"> </w:t>
      </w:r>
      <w:r>
        <w:t xml:space="preserve">—</w:t>
      </w:r>
      <w:r>
        <w:t xml:space="preserve"> </w:t>
      </w:r>
      <w:r>
        <w:rPr>
          <w:iCs/>
          <w:i/>
        </w:rPr>
        <w:t xml:space="preserve">Ministry of Housing and Local Government</w:t>
      </w:r>
      <w:r>
        <w:t xml:space="preserve"> </w:t>
      </w:r>
      <w:r>
        <w:t xml:space="preserve">— Phases 1–3</w:t>
      </w:r>
      <w:r>
        <w:t xml:space="preserve"> </w:t>
      </w:r>
      <w:r>
        <w:t xml:space="preserve">An estate-displacement legacy review producing an actionable administrative record; facilitated access to existing affordable-housing and rent-to-own programmes; deposit and transaction assistance; targeted site infrastructure. Approximately</w:t>
      </w:r>
      <w:r>
        <w:t xml:space="preserve"> </w:t>
      </w:r>
      <w:r>
        <w:rPr>
          <w:bCs/>
          <w:b/>
        </w:rPr>
        <w:t xml:space="preserve">6,000 households</w:t>
      </w:r>
      <w:r>
        <w:t xml:space="preserve"> </w:t>
      </w:r>
      <w:r>
        <w:t xml:space="preserve">over six years.</w:t>
      </w:r>
      <w:r>
        <w:t xml:space="preserve"> </w:t>
      </w:r>
      <w:r>
        <w:rPr>
          <w:bCs/>
          <w:b/>
        </w:rPr>
        <w:t xml:space="preserve">Housing units are funded through existing national and state housing programmes and are not costed here.</w:t>
      </w:r>
      <w:r>
        <w:t xml:space="preserve"> </w:t>
      </w:r>
      <w:r>
        <w:t xml:space="preserve">Legacy land and compensation grievances cannot be resolved federally — the review produces a record for referral to states, not a federal determination. Volumes are set well below the source draft's 5,000 by Year 4 and 10,000 by Year 6 because delivery depends on state capacity.</w:t>
      </w:r>
      <w:r>
        <w:t xml:space="preserve"> </w:t>
      </w:r>
      <w:r>
        <w:rPr>
          <w:bCs/>
          <w:b/>
        </w:rPr>
        <w:t xml:space="preserve">Outcome:</w:t>
      </w:r>
      <w:r>
        <w:t xml:space="preserve"> </w:t>
      </w:r>
      <w:r>
        <w:t xml:space="preserve">more assisted households in secure tenure.</w:t>
      </w:r>
      <w:r>
        <w:t xml:space="preserve"> </w:t>
      </w:r>
      <w:r>
        <w:rPr>
          <w:bCs/>
          <w:b/>
        </w:rPr>
        <w:t xml:space="preserve">Six-year central cost: RM78.0 million.</w:t>
      </w:r>
    </w:p>
    <w:bookmarkEnd w:id="47"/>
    <w:bookmarkStart w:id="48" w:name="pillar-4--institutional-participation"/>
    <w:p>
      <w:pPr>
        <w:pStyle w:val="Heading3"/>
        <w:keepNext/>
      </w:pPr>
      <w:r>
        <w:t xml:space="preserve">Pillar 4 — Institutional participation</w:t>
      </w:r>
    </w:p>
    <w:p>
      <w:pPr>
        <w:pStyle w:val="FirstParagraph"/>
      </w:pPr>
      <w:r>
        <w:rPr>
          <w:bCs/>
          <w:b/>
        </w:rPr>
        <w:t xml:space="preserve">PRG-13 Public Service Application Pipeline Programme</w:t>
      </w:r>
      <w:r>
        <w:t xml:space="preserve"> </w:t>
      </w:r>
      <w:r>
        <w:t xml:space="preserve">—</w:t>
      </w:r>
      <w:r>
        <w:t xml:space="preserve"> </w:t>
      </w:r>
      <w:r>
        <w:rPr>
          <w:iCs/>
          <w:i/>
        </w:rPr>
        <w:t xml:space="preserve">Public Service Department (JPA)</w:t>
      </w:r>
      <w:r>
        <w:t xml:space="preserve"> </w:t>
      </w:r>
      <w:r>
        <w:t xml:space="preserve">— Phases 1–3</w:t>
      </w:r>
      <w:r>
        <w:t xml:space="preserve"> </w:t>
      </w:r>
      <w:r>
        <w:t xml:space="preserve">Career awareness through schools, universities and community networks; application guidance; examination and interview preparation; mentoring by serving officers; and</w:t>
      </w:r>
      <w:r>
        <w:t xml:space="preserve"> </w:t>
      </w:r>
      <w:r>
        <w:rPr>
          <w:bCs/>
          <w:b/>
        </w:rPr>
        <w:t xml:space="preserve">annual publication of a grade-disaggregated composition series.</w:t>
      </w:r>
    </w:p>
    <w:p>
      <w:pPr>
        <w:pStyle w:val="BodyText"/>
      </w:pPr>
      <w:r>
        <w:t xml:space="preserve">The design follows the evidence. The Public Service Department states that the composition gap is driven principally by</w:t>
      </w:r>
      <w:r>
        <w:t xml:space="preserve"> </w:t>
      </w:r>
      <w:r>
        <w:rPr>
          <w:bCs/>
          <w:b/>
        </w:rPr>
        <w:t xml:space="preserve">very low application volumes from non-Malay candidates, who nonetheless record the highest appointment success rates each year</w:t>
      </w:r>
      <w:r>
        <w:t xml:space="preserve"> </w:t>
      </w:r>
      <w:r>
        <w:t xml:space="preserve">(CLM-009). The constraint is at application, not at selection. The source material's implication that panel composition is the binding constraint is not supported, and panel measures are retained only as a transparency measure.</w:t>
      </w:r>
    </w:p>
    <w:p>
      <w:pPr>
        <w:pStyle w:val="BodyText"/>
      </w:pPr>
      <w:r>
        <w:rPr>
          <w:bCs/>
          <w:b/>
        </w:rPr>
        <w:t xml:space="preserve">The MIB's 7% target is not carried forward.</w:t>
      </w:r>
      <w:r>
        <w:t xml:space="preserve"> </w:t>
      </w:r>
      <w:r>
        <w:t xml:space="preserve">On a base of 1,302,429 officers (excluding the Royal Malaysia Police and the Armed Forces), 3.7% is approximately 48,200 officers; 7.0% would be approximately 91,170 — a requirement of roughly</w:t>
      </w:r>
      <w:r>
        <w:t xml:space="preserve"> </w:t>
      </w:r>
      <w:r>
        <w:rPr>
          <w:bCs/>
          <w:b/>
        </w:rPr>
        <w:t xml:space="preserve">43,000 net additional Indian officers, or about 7,160 per year for six years</w:t>
      </w:r>
      <w:r>
        <w:t xml:space="preserve"> </w:t>
      </w:r>
      <w:r>
        <w:t xml:space="preserve">(CLM-051). No credible intake assumption supports it. The adopted six-year target is a range of</w:t>
      </w:r>
      <w:r>
        <w:t xml:space="preserve"> </w:t>
      </w:r>
      <w:r>
        <w:rPr>
          <w:bCs/>
          <w:b/>
        </w:rPr>
        <w:t xml:space="preserve">4.2%–4.8%</w:t>
      </w:r>
      <w:r>
        <w:t xml:space="preserve">, equivalent to approximately 6,500–14,300 net additional officers (CLM-052), reported alongside an absolute headcount because the denominator will itself change (ASM-021). 7% is recorded as a longer-horizon objective beyond this plan.</w:t>
      </w:r>
      <w:r>
        <w:t xml:space="preserve"> </w:t>
      </w:r>
      <w:r>
        <w:rPr>
          <w:bCs/>
          <w:b/>
        </w:rPr>
        <w:t xml:space="preserve">Outcome:</w:t>
      </w:r>
      <w:r>
        <w:t xml:space="preserve"> </w:t>
      </w:r>
      <w:r>
        <w:t xml:space="preserve">measurable, published increase in participation.</w:t>
      </w:r>
      <w:r>
        <w:t xml:space="preserve"> </w:t>
      </w:r>
      <w:r>
        <w:rPr>
          <w:bCs/>
          <w:b/>
        </w:rPr>
        <w:t xml:space="preserve">Six-year central cost: RM21.0 million</w:t>
      </w:r>
      <w:r>
        <w:t xml:space="preserve"> </w:t>
      </w:r>
      <w:r>
        <w:t xml:space="preserve">— the highest ratio of visibility to cost in the portfolio.</w:t>
      </w:r>
    </w:p>
    <w:p>
      <w:pPr>
        <w:pStyle w:val="BodyText"/>
      </w:pPr>
      <w:r>
        <w:rPr>
          <w:bCs/>
          <w:b/>
        </w:rPr>
        <w:t xml:space="preserve">PRG-14 Public Service Professional Advancement</w:t>
      </w:r>
      <w:r>
        <w:t xml:space="preserve"> </w:t>
      </w:r>
      <w:r>
        <w:t xml:space="preserve">—</w:t>
      </w:r>
      <w:r>
        <w:t xml:space="preserve"> </w:t>
      </w:r>
      <w:r>
        <w:rPr>
          <w:iCs/>
          <w:i/>
        </w:rPr>
        <w:t xml:space="preserve">Public Service Department (JPA)</w:t>
      </w:r>
      <w:r>
        <w:t xml:space="preserve"> </w:t>
      </w:r>
      <w:r>
        <w:t xml:space="preserve">— Phases 2–3</w:t>
      </w:r>
      <w:r>
        <w:t xml:space="preserve"> </w:t>
      </w:r>
      <w:r>
        <w:t xml:space="preserve">Access to existing INTAN and JPA development programmes, with participation and grade-band distribution published. Promotion decisions remain with the service commissions.</w:t>
      </w:r>
      <w:r>
        <w:t xml:space="preserve"> </w:t>
      </w:r>
      <w:r>
        <w:rPr>
          <w:bCs/>
          <w:b/>
        </w:rPr>
        <w:t xml:space="preserve">Six-year central cost: RM8.0 million.</w:t>
      </w:r>
    </w:p>
    <w:bookmarkEnd w:id="48"/>
    <w:bookmarkStart w:id="49" w:name="Xc4a3413ec6283e80eb5607a2d69e558086f5cbb"/>
    <w:p>
      <w:pPr>
        <w:pStyle w:val="Heading3"/>
        <w:keepNext/>
      </w:pPr>
      <w:r>
        <w:t xml:space="preserve">Cross-cutting — Delivery, data and accountability</w:t>
      </w:r>
    </w:p>
    <w:p>
      <w:pPr>
        <w:pStyle w:val="FirstParagraph"/>
      </w:pPr>
      <w:r>
        <w:rPr>
          <w:bCs/>
          <w:b/>
        </w:rPr>
        <w:t xml:space="preserve">PRG-15 Task Force and Delivery Secretariat</w:t>
      </w:r>
      <w:r>
        <w:t xml:space="preserve"> </w:t>
      </w:r>
      <w:r>
        <w:t xml:space="preserve">—</w:t>
      </w:r>
      <w:r>
        <w:t xml:space="preserve"> </w:t>
      </w:r>
      <w:r>
        <w:rPr>
          <w:iCs/>
          <w:i/>
        </w:rPr>
        <w:t xml:space="preserve">Prime Minister's Department</w:t>
      </w:r>
      <w:r>
        <w:t xml:space="preserve"> </w:t>
      </w:r>
      <w:r>
        <w:t xml:space="preserve">— Phases 1–3.</w:t>
      </w:r>
      <w:r>
        <w:t xml:space="preserve"> </w:t>
      </w:r>
      <w:r>
        <w:rPr>
          <w:bCs/>
          <w:b/>
        </w:rPr>
        <w:t xml:space="preserve">RM35.1 million.</w:t>
      </w:r>
      <w:r>
        <w:t xml:space="preserve"> </w:t>
      </w:r>
      <w:r>
        <w:rPr>
          <w:bCs/>
          <w:b/>
        </w:rPr>
        <w:t xml:space="preserve">PRG-16 Data, Evaluation and Public Reporting</w:t>
      </w:r>
      <w:r>
        <w:t xml:space="preserve"> </w:t>
      </w:r>
      <w:r>
        <w:t xml:space="preserve">—</w:t>
      </w:r>
      <w:r>
        <w:t xml:space="preserve"> </w:t>
      </w:r>
      <w:r>
        <w:rPr>
          <w:iCs/>
          <w:i/>
        </w:rPr>
        <w:t xml:space="preserve">Prime Minister's Department</w:t>
      </w:r>
      <w:r>
        <w:t xml:space="preserve"> </w:t>
      </w:r>
      <w:r>
        <w:t xml:space="preserve">— Phases 1–3.</w:t>
      </w:r>
      <w:r>
        <w:t xml:space="preserve"> </w:t>
      </w:r>
      <w:r>
        <w:rPr>
          <w:bCs/>
          <w:b/>
        </w:rPr>
        <w:t xml:space="preserve">RM33.000 million.</w:t>
      </w:r>
    </w:p>
    <w:bookmarkEnd w:id="49"/>
    <w:bookmarkEnd w:id="50"/>
    <w:bookmarkStart w:id="51" w:name="Xd9133b81ade22f205512b2ae2cb768964d559e4"/>
    <w:p>
      <w:pPr>
        <w:pStyle w:val="Heading2"/>
        <w:keepNext/>
      </w:pPr>
      <w:r>
        <w:t xml:space="preserve">5.4 Five programmes proposed in the source material are not carried forward</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rPr>
          <w:tblHeader w:val="true"/>
          <w:cantSplit w:val="true"/>
          <w:tblHeader w:val="true"/>
        </w:trPr>
        <w:tc>
          <w:tcPr>
            <w:tcW w:w="4680"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Rejected</w:t>
            </w:r>
          </w:p>
        </w:tc>
        <w:tc>
          <w:tcPr>
            <w:tcW w:w="4680"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Reason</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Revival of the RM500m / RM5,000-per-household loan scheme</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The instrument it claims to revive never existed in that form (CLM-012)</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PNB successor equity fund toward population proportionality</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Rests on the unsupported AS1M claim; Cabinet cannot direct a corporate entity's allocations (CLM-041)</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Procurement set-asides and a 2% vendor quota</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Article 8 equality exposure (CLM-039)</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Consolidated IB40 registry merging documentation with poverty targeting</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Discrimination and data-protection risk; would chill take-up among the target population (CLM-061)</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Income-floor guarantee for IB40 households</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 national social-protection question exceeding this blueprint's scope; requires its own Cabinet consideration</w:t>
            </w:r>
          </w:p>
        </w:tc>
      </w:tr>
    </w:tbl>
    <w:bookmarkEnd w:id="51"/>
    <w:bookmarkStart w:id="52" w:name="X61df1be58a1a0439e53dae2d6235639833ee4f2"/>
    <w:p>
      <w:pPr>
        <w:pStyle w:val="Heading2"/>
        <w:keepNext/>
      </w:pPr>
      <w:r>
        <w:t xml:space="preserve">5.5 Three phases</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818"/>
        <w:gridCol w:w="2513"/>
        <w:gridCol w:w="2513"/>
        <w:gridCol w:w="2516"/>
      </w:tblGrid>
      <w:tr>
        <w:trPr>
          <w:tblHeader w:val="true"/>
          <w:cantSplit w:val="true"/>
          <w:tblHeader w:val="true"/>
        </w:trPr>
        <w:tc>
          <w:tcPr>
            <w:tcW w:w="1818" w:type="dxa"/>
            <w:tcMar>
              <w:top w:w="80" w:type="dxa"/>
              <w:start w:w="120" w:type="dxa"/>
              <w:bottom w:w="80" w:type="dxa"/>
              <w:end w:w="120" w:type="dxa"/>
            </w:tcMar>
            <w:vAlign w:val="center"/>
            <w:shd w:fill="F4F6F9"/>
          </w:tcPr>
          <w:p>
            <w:pPr>
              <w:pStyle w:val="Compact"/>
              <w:spacing w:before="0" w:after="40" w:line="240" w:lineRule="auto"/>
            </w:pPr>
          </w:p>
        </w:tc>
        <w:tc>
          <w:tcPr>
            <w:tcW w:w="2513" w:type="dxa"/>
            <w:tcMar>
              <w:top w:w="80" w:type="dxa"/>
              <w:start w:w="120" w:type="dxa"/>
              <w:bottom w:w="80" w:type="dxa"/>
              <w:end w:w="120" w:type="dxa"/>
            </w:tcMar>
            <w:vAlign w:val="center"/>
            <w:shd w:fill="F4F6F9"/>
          </w:tcPr>
          <w:p>
            <w:pPr>
              <w:pStyle w:val="Compact"/>
              <w:spacing w:before="0" w:after="40" w:line="240" w:lineRule="auto"/>
              <w:jc w:val="left"/>
            </w:pPr>
            <w:r>
              <w:rPr>
                <w:bCs/>
                <w:rFonts w:ascii="Calibri" w:hAnsi="Calibri"/>
                <w:b/>
                <w:color w:val="0B2545"/>
                <w:sz w:val="17"/>
              </w:rPr>
              <w:t xml:space="preserve">Phase 1 (Years 1–2)</w:t>
            </w:r>
          </w:p>
        </w:tc>
        <w:tc>
          <w:tcPr>
            <w:tcW w:w="2513" w:type="dxa"/>
            <w:tcMar>
              <w:top w:w="80" w:type="dxa"/>
              <w:start w:w="120" w:type="dxa"/>
              <w:bottom w:w="80" w:type="dxa"/>
              <w:end w:w="120" w:type="dxa"/>
            </w:tcMar>
            <w:vAlign w:val="center"/>
            <w:shd w:fill="F4F6F9"/>
          </w:tcPr>
          <w:p>
            <w:pPr>
              <w:pStyle w:val="Compact"/>
              <w:spacing w:before="0" w:after="40" w:line="240" w:lineRule="auto"/>
              <w:jc w:val="left"/>
            </w:pPr>
            <w:r>
              <w:rPr>
                <w:bCs/>
                <w:rFonts w:ascii="Calibri" w:hAnsi="Calibri"/>
                <w:b/>
                <w:color w:val="0B2545"/>
                <w:sz w:val="17"/>
              </w:rPr>
              <w:t xml:space="preserve">Phase 2 (Years 3–4)</w:t>
            </w:r>
          </w:p>
        </w:tc>
        <w:tc>
          <w:tcPr>
            <w:tcW w:w="2516" w:type="dxa"/>
            <w:tcMar>
              <w:top w:w="80" w:type="dxa"/>
              <w:start w:w="120" w:type="dxa"/>
              <w:bottom w:w="80" w:type="dxa"/>
              <w:end w:w="120" w:type="dxa"/>
            </w:tcMar>
            <w:vAlign w:val="center"/>
            <w:shd w:fill="F4F6F9"/>
          </w:tcPr>
          <w:p>
            <w:pPr>
              <w:pStyle w:val="Compact"/>
              <w:spacing w:before="0" w:after="40" w:line="240" w:lineRule="auto"/>
              <w:jc w:val="left"/>
            </w:pPr>
            <w:r>
              <w:rPr>
                <w:bCs/>
                <w:rFonts w:ascii="Calibri" w:hAnsi="Calibri"/>
                <w:b/>
                <w:color w:val="0B2545"/>
                <w:sz w:val="17"/>
              </w:rPr>
              <w:t xml:space="preserve">Phase 3 (Years 5–6)</w:t>
            </w:r>
          </w:p>
        </w:tc>
      </w:tr>
      <w:tr>
        <w:trPr>
          <w:cantSplit w:val="true"/>
        </w:trPr>
        <w:tc>
          <w:tcPr>
            <w:tcW w:w="1818"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Purpose</w:t>
            </w:r>
          </w:p>
        </w:tc>
        <w:tc>
          <w:tcPr>
            <w:tcW w:w="2513"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Establish what does not exist</w:t>
            </w:r>
          </w:p>
        </w:tc>
        <w:tc>
          <w:tcPr>
            <w:tcW w:w="2513"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Build the pathways</w:t>
            </w:r>
          </w:p>
        </w:tc>
        <w:tc>
          <w:tcPr>
            <w:tcW w:w="251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Consolidate and graduate</w:t>
            </w:r>
          </w:p>
        </w:tc>
      </w:tr>
      <w:tr>
        <w:trPr>
          <w:cantSplit w:val="true"/>
        </w:trPr>
        <w:tc>
          <w:tcPr>
            <w:tcW w:w="1818"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Indicative central planning cost</w:t>
            </w:r>
          </w:p>
        </w:tc>
        <w:tc>
          <w:tcPr>
            <w:tcW w:w="2513"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RM355.3m</w:t>
            </w:r>
          </w:p>
        </w:tc>
        <w:tc>
          <w:tcPr>
            <w:tcW w:w="2513"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RM520.8m</w:t>
            </w:r>
          </w:p>
        </w:tc>
        <w:tc>
          <w:tcPr>
            <w:tcW w:w="251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RM608.2m</w:t>
            </w:r>
          </w:p>
        </w:tc>
      </w:tr>
      <w:tr>
        <w:trPr>
          <w:cantSplit w:val="true"/>
        </w:trPr>
        <w:tc>
          <w:tcPr>
            <w:tcW w:w="1818"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Defining deliverables</w:t>
            </w:r>
          </w:p>
        </w:tc>
        <w:tc>
          <w:tcPr>
            <w:tcW w:w="2513"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Verified caseload baseline; 528 SJKT audits; baseline survey; DPIA; dashboard live; secretariat operational; 12 of 16 KPIs baselined</w:t>
            </w:r>
          </w:p>
        </w:tc>
        <w:tc>
          <w:tcPr>
            <w:tcW w:w="2513"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TVET pipeline at scale; enterprise advisory; housing legacy review tabled; first disaggregated intake series published for three consecutive years</w:t>
            </w:r>
          </w:p>
        </w:tc>
        <w:tc>
          <w:tcPr>
            <w:tcW w:w="2516"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Savings scheme at scale; graduation measurement; final independent evaluation</w:t>
            </w:r>
          </w:p>
        </w:tc>
      </w:tr>
      <w:tr>
        <w:trPr>
          <w:cantSplit w:val="true"/>
        </w:trPr>
        <w:tc>
          <w:tcPr>
            <w:tcW w:w="1818"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Gate</w:t>
            </w:r>
          </w:p>
        </w:tc>
        <w:tc>
          <w:tcPr>
            <w:tcW w:w="2513"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End-Year 2 administrative readiness review:</w:t>
            </w:r>
            <w:r>
              <w:rPr>
                <w:rFonts w:ascii="Calibri" w:hAnsi="Calibri"/>
                <w:color w:val="0B2545"/>
                <w:sz w:val="17"/>
              </w:rPr>
              <w:t xml:space="preserve"> </w:t>
            </w:r>
            <w:r>
              <w:rPr>
                <w:rFonts w:ascii="Calibri" w:hAnsi="Calibri"/>
                <w:color w:val="0B2545"/>
                <w:sz w:val="17"/>
              </w:rPr>
              <w:t xml:space="preserve">Cabinet or its authorised committee decides whether Phase 2 may proceed, be corrected or be re-scoped</w:t>
            </w:r>
          </w:p>
        </w:tc>
        <w:tc>
          <w:tcPr>
            <w:tcW w:w="2513"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End-Year 3 independent mid-term evaluation:</w:t>
            </w:r>
            <w:r>
              <w:rPr>
                <w:rFonts w:ascii="Calibri" w:hAnsi="Calibri"/>
                <w:color w:val="0B2545"/>
                <w:sz w:val="17"/>
              </w:rPr>
              <w:t xml:space="preserve"> </w:t>
            </w:r>
            <w:r>
              <w:rPr>
                <w:rFonts w:ascii="Calibri" w:hAnsi="Calibri"/>
                <w:color w:val="0B2545"/>
                <w:sz w:val="17"/>
              </w:rPr>
              <w:t xml:space="preserve">determines whether Phase 3 may proceed and whether ongoing Phase 2 delivery must be corrected or re-scoped</w:t>
            </w:r>
          </w:p>
        </w:tc>
        <w:tc>
          <w:tcPr>
            <w:tcW w:w="2516"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Year 6 final evaluation:</w:t>
            </w:r>
            <w:r>
              <w:rPr>
                <w:rFonts w:ascii="Calibri" w:hAnsi="Calibri"/>
                <w:color w:val="0B2545"/>
                <w:sz w:val="17"/>
              </w:rPr>
              <w:t xml:space="preserve"> </w:t>
            </w:r>
            <w:r>
              <w:rPr>
                <w:rFonts w:ascii="Calibri" w:hAnsi="Calibri"/>
                <w:color w:val="0B2545"/>
                <w:sz w:val="17"/>
              </w:rPr>
              <w:t xml:space="preserve">informs successor arrangements; creates no automatic continuation</w:t>
            </w:r>
          </w:p>
        </w:tc>
      </w:tr>
    </w:tbl>
    <w:p>
      <w:pPr>
        <w:pStyle w:val="BodyText"/>
      </w:pPr>
      <w:r>
        <w:t xml:space="preserve">Sequencing is justified administratively: measures requiring only administrative action, and the establishment of baselines without which nothing else can be measured, come first.</w:t>
      </w:r>
      <w:r>
        <w:t xml:space="preserve"> </w:t>
      </w:r>
      <w:r>
        <w:rPr>
          <w:bCs/>
          <w:b/>
        </w:rPr>
        <w:t xml:space="preserve">No electoral consideration enters the sequencing</w:t>
      </w:r>
      <w:r>
        <w:t xml:space="preserve">, and the electoral framing of the source material has been removed in full.</w:t>
      </w:r>
    </w:p>
    <w:p>
      <w:r>
        <w:pict>
          <v:rect style="width:0;height:1.5pt" o:hralign="center" o:hrstd="t" o:hr="t"/>
        </w:pict>
      </w:r>
    </w:p>
    <w:bookmarkEnd w:id="52"/>
    <w:bookmarkEnd w:id="53"/>
    <w:bookmarkStart w:id="57" w:name="X8359bb5075a4ceb9e26e56c866ba61dfd2df67a"/>
    <w:p>
      <w:pPr>
        <w:pStyle w:val="Heading1"/>
        <w:keepNext/>
      </w:pPr>
      <w:r>
        <w:t xml:space="preserve">6. Governance and delivery</w:t>
      </w:r>
    </w:p>
    <w:bookmarkStart w:id="54" w:name="Xaeed2014700c3da8b43c9801d61fd71aecf39bc"/>
    <w:p>
      <w:pPr>
        <w:pStyle w:val="Heading2"/>
        <w:keepNext/>
      </w:pPr>
      <w:r>
        <w:t xml:space="preserve">6.1 Sponsorship, delegation and continuity</w:t>
      </w:r>
    </w:p>
    <w:p>
      <w:pPr>
        <w:pStyle w:val="FirstParagraph"/>
      </w:pPr>
      <w:r>
        <w:t xml:space="preserve">The proposed steady-state model is a</w:t>
      </w:r>
      <w:r>
        <w:t xml:space="preserve"> </w:t>
      </w:r>
      <w:r>
        <w:rPr>
          <w:bCs/>
          <w:b/>
        </w:rPr>
        <w:t xml:space="preserve">Task Force on Malaysian Indian Progression sponsored and strategically reviewed by the Prime Minister</w:t>
      </w:r>
      <w:r>
        <w:t xml:space="preserve">, supported by a designated responsible minister, a senior-officials committee chaired by the Chief Secretary to the Government or an expressly authorised equivalent, and a delivery secretariat of approximately 35 posts in the Prime Minister's Department.</w:t>
      </w:r>
      <w:r>
        <w:t xml:space="preserve"> </w:t>
      </w:r>
      <w:r>
        <w:rPr>
          <w:bCs/>
          <w:b/>
        </w:rPr>
        <w:t xml:space="preserve">That permanent model is not approved by this preliminary decision.</w:t>
      </w:r>
      <w:r>
        <w:t xml:space="preserve"> </w:t>
      </w:r>
      <w:r>
        <w:t xml:space="preserve">During the 90-day validation period, named ministry delivery officers and alternates, an interim secretariat and the senior-officials mechanism operate within existing approved functions and resources. Creation of the 35 posts remains subject to VAL-23 and a later express decision.</w:t>
      </w:r>
    </w:p>
    <w:p>
      <w:pPr>
        <w:pStyle w:val="BodyText"/>
      </w:pPr>
      <w:r>
        <w:rPr>
          <w:bCs/>
          <w:b/>
        </w:rPr>
        <w:t xml:space="preserve">What it is:</w:t>
      </w:r>
      <w:r>
        <w:t xml:space="preserve"> </w:t>
      </w:r>
      <w:r>
        <w:t xml:space="preserve">a layered coordinating, accountability and escalation system. The Prime Minister supplies political sponsorship and strategic review. The designated minister is responsible between reviews. Senior officials resolve administrative blockages. Ministry delivery officers own milestones. The secretariat maintains the authorised record, reporting calendar and exception register.</w:t>
      </w:r>
    </w:p>
    <w:p>
      <w:pPr>
        <w:pStyle w:val="BodyText"/>
      </w:pPr>
      <w:r>
        <w:rPr>
          <w:bCs/>
          <w:b/>
        </w:rPr>
        <w:t xml:space="preserve">What it is not:</w:t>
      </w:r>
      <w:r>
        <w:t xml:space="preserve"> </w:t>
      </w:r>
      <w:r>
        <w:t xml:space="preserve">the source material describes the body as the "legal successor" to the MIB agenda with apex authority over MITRA and PTMI.</w:t>
      </w:r>
      <w:r>
        <w:t xml:space="preserve"> </w:t>
      </w:r>
      <w:r>
        <w:rPr>
          <w:bCs/>
          <w:b/>
        </w:rPr>
        <w:t xml:space="preserve">That description is not adopted</w:t>
      </w:r>
      <w:r>
        <w:t xml:space="preserve"> </w:t>
      </w:r>
      <w:r>
        <w:t xml:space="preserve">(CLM-042). A Cabinet decision cannot effect a statutory transfer of functions. MITRA remains an executing agency with its own accounting officer.</w:t>
      </w:r>
      <w:r>
        <w:t xml:space="preserve"> </w:t>
      </w:r>
      <w:r>
        <w:rPr>
          <w:bCs/>
          <w:b/>
        </w:rPr>
        <w:t xml:space="preserve">Every programme retains its accountable ministry and its accounting officer</w:t>
      </w:r>
      <w:r>
        <w:t xml:space="preserve">, and the Task Force holds no programme funds.</w:t>
      </w:r>
    </w:p>
    <w:p>
      <w:pPr>
        <w:pStyle w:val="BodyText"/>
      </w:pPr>
      <w:r>
        <w:t xml:space="preserve">This preserves the second source document's principle —</w:t>
      </w:r>
      <w:r>
        <w:t xml:space="preserve"> </w:t>
      </w:r>
      <w:r>
        <w:rPr>
          <w:iCs/>
          <w:i/>
        </w:rPr>
        <w:t xml:space="preserve">education remains responsible for education; housing for housing</w:t>
      </w:r>
      <w:r>
        <w:t xml:space="preserve"> </w:t>
      </w:r>
      <w:r>
        <w:t xml:space="preserve">— while supplying the convening authority that the first correctly identifies as missing. The levers sit in at least six ministries plus the states and a constitutionally independent service commission, so Prime Ministerial sponsorship remains important. But the Prime Minister is not the programme's daily operating system: reporting, escalation and authorised officials' reviews continue when a strategic meeting is postponed or an office-holder changes.</w:t>
      </w:r>
    </w:p>
    <w:bookmarkEnd w:id="54"/>
    <w:bookmarkStart w:id="55" w:name="X639574896d2fcbf755ec88c735971b620927004"/>
    <w:p>
      <w:pPr>
        <w:pStyle w:val="Heading2"/>
        <w:keepNext/>
      </w:pPr>
      <w:r>
        <w:t xml:space="preserve">6.2 The five delivery principles</w:t>
      </w:r>
    </w:p>
    <w:p>
      <w:pPr>
        <w:pStyle w:val="FirstParagraph"/>
      </w:pPr>
      <w:r>
        <w:t xml:space="preserve">Adopted from the second source document and given operational definition:</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2661"/>
        <w:gridCol w:w="4834"/>
        <w:gridCol w:w="1865"/>
      </w:tblGrid>
      <w:tr>
        <w:trPr>
          <w:tblHeader w:val="true"/>
          <w:cantSplit w:val="true"/>
          <w:tblHeader w:val="true"/>
        </w:trPr>
        <w:tc>
          <w:tcPr>
            <w:tcW w:w="2661"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Principle</w:t>
            </w:r>
          </w:p>
        </w:tc>
        <w:tc>
          <w:tcPr>
            <w:tcW w:w="4834"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Operational meaning</w:t>
            </w:r>
          </w:p>
        </w:tc>
        <w:tc>
          <w:tcPr>
            <w:tcW w:w="1865"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Programme</w:t>
            </w:r>
          </w:p>
        </w:tc>
      </w:tr>
      <w:tr>
        <w:trPr>
          <w:cantSplit w:val="true"/>
        </w:trPr>
        <w:tc>
          <w:tcPr>
            <w:tcW w:w="2661"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One front door</w:t>
            </w:r>
          </w:p>
        </w:tc>
        <w:tc>
          <w:tcPr>
            <w:tcW w:w="483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 single entry point per state that routes rather than replaces</w:t>
            </w:r>
          </w:p>
        </w:tc>
        <w:tc>
          <w:tcPr>
            <w:tcW w:w="186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PRG-01, PRG-09</w:t>
            </w:r>
          </w:p>
        </w:tc>
      </w:tr>
      <w:tr>
        <w:trPr>
          <w:cantSplit w:val="true"/>
        </w:trPr>
        <w:tc>
          <w:tcPr>
            <w:tcW w:w="2661"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One family profile</w:t>
            </w:r>
          </w:p>
        </w:tc>
        <w:tc>
          <w:tcPr>
            <w:tcW w:w="483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 single</w:t>
            </w:r>
            <w:r>
              <w:rPr>
                <w:rFonts w:ascii="Calibri" w:hAnsi="Calibri"/>
                <w:color w:val="0B2545"/>
                <w:sz w:val="17"/>
              </w:rPr>
              <w:t xml:space="preserve"> </w:t>
            </w:r>
            <w:r>
              <w:rPr>
                <w:bCs/>
                <w:rFonts w:ascii="Calibri" w:hAnsi="Calibri"/>
                <w:b/>
                <w:color w:val="0B2545"/>
                <w:sz w:val="17"/>
              </w:rPr>
              <w:t xml:space="preserve">consent-based</w:t>
            </w:r>
            <w:r>
              <w:rPr>
                <w:rFonts w:ascii="Calibri" w:hAnsi="Calibri"/>
                <w:color w:val="0B2545"/>
                <w:sz w:val="17"/>
              </w:rPr>
              <w:t xml:space="preserve"> </w:t>
            </w:r>
            <w:r>
              <w:rPr>
                <w:rFonts w:ascii="Calibri" w:hAnsi="Calibri"/>
                <w:color w:val="0B2545"/>
                <w:sz w:val="17"/>
              </w:rPr>
              <w:t xml:space="preserve">household record, legally separated from the documentation caseload system</w:t>
            </w:r>
          </w:p>
        </w:tc>
        <w:tc>
          <w:tcPr>
            <w:tcW w:w="186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PRG-09</w:t>
            </w:r>
          </w:p>
        </w:tc>
      </w:tr>
      <w:tr>
        <w:trPr>
          <w:cantSplit w:val="true"/>
        </w:trPr>
        <w:tc>
          <w:tcPr>
            <w:tcW w:w="2661"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One progression navigator</w:t>
            </w:r>
          </w:p>
        </w:tc>
        <w:tc>
          <w:tcPr>
            <w:tcW w:w="483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 named case officer at a caseload of 150 households</w:t>
            </w:r>
          </w:p>
        </w:tc>
        <w:tc>
          <w:tcPr>
            <w:tcW w:w="186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PRG-09</w:t>
            </w:r>
          </w:p>
        </w:tc>
      </w:tr>
      <w:tr>
        <w:trPr>
          <w:cantSplit w:val="true"/>
        </w:trPr>
        <w:tc>
          <w:tcPr>
            <w:tcW w:w="2661"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One progression pathway</w:t>
            </w:r>
          </w:p>
        </w:tc>
        <w:tc>
          <w:tcPr>
            <w:tcW w:w="483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Referral chains defined so that clearing one barrier triggers the next step</w:t>
            </w:r>
          </w:p>
        </w:tc>
        <w:tc>
          <w:tcPr>
            <w:tcW w:w="186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All</w:t>
            </w:r>
          </w:p>
        </w:tc>
      </w:tr>
      <w:tr>
        <w:trPr>
          <w:cantSplit w:val="true"/>
        </w:trPr>
        <w:tc>
          <w:tcPr>
            <w:tcW w:w="2661"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One public dashboard</w:t>
            </w:r>
          </w:p>
        </w:tc>
        <w:tc>
          <w:tcPr>
            <w:tcW w:w="4834"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Published on a fixed quarterly reporting calendar independently of political-meeting timing</w:t>
            </w:r>
          </w:p>
        </w:tc>
        <w:tc>
          <w:tcPr>
            <w:tcW w:w="186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PRG-16</w:t>
            </w:r>
          </w:p>
        </w:tc>
      </w:tr>
    </w:tbl>
    <w:bookmarkEnd w:id="55"/>
    <w:bookmarkStart w:id="56" w:name="X87311445b009b29d17b8683f2de9b235b73f440"/>
    <w:p>
      <w:pPr>
        <w:pStyle w:val="Heading2"/>
        <w:keepNext/>
      </w:pPr>
      <w:r>
        <w:t xml:space="preserve">6.3 Accountability</w:t>
      </w:r>
    </w:p>
    <w:p>
      <w:pPr>
        <w:numPr>
          <w:ilvl w:val="0"/>
          <w:numId w:val="1006"/>
        </w:numPr>
        <w:pStyle w:val="Compact"/>
      </w:pPr>
      <w:r>
        <w:rPr>
          <w:bCs/>
          <w:b/>
        </w:rPr>
        <w:t xml:space="preserve">Monthly</w:t>
      </w:r>
      <w:r>
        <w:t xml:space="preserve"> </w:t>
      </w:r>
      <w:r>
        <w:t xml:space="preserve">senior-officials exception review and</w:t>
      </w:r>
      <w:r>
        <w:t xml:space="preserve"> </w:t>
      </w:r>
      <w:r>
        <w:rPr>
          <w:bCs/>
          <w:b/>
        </w:rPr>
        <w:t xml:space="preserve">quarterly</w:t>
      </w:r>
      <w:r>
        <w:t xml:space="preserve"> </w:t>
      </w:r>
      <w:r>
        <w:t xml:space="preserve">strategic review; the dashboard follows a fixed reporting calendar whether or not a political meeting is held.</w:t>
      </w:r>
    </w:p>
    <w:p>
      <w:pPr>
        <w:numPr>
          <w:ilvl w:val="0"/>
          <w:numId w:val="1006"/>
        </w:numPr>
        <w:pStyle w:val="Compact"/>
      </w:pPr>
      <w:r>
        <w:t xml:space="preserve">Every ministry nominates a delivery officer and alternate, and incorporates accepted milestones into its own planning and performance process.</w:t>
      </w:r>
    </w:p>
    <w:p>
      <w:pPr>
        <w:numPr>
          <w:ilvl w:val="0"/>
          <w:numId w:val="1006"/>
        </w:numPr>
        <w:pStyle w:val="Compact"/>
      </w:pPr>
      <w:r>
        <w:t xml:space="preserve">A missed or forecast-missed milestone automatically enters the exception register and escalates through the accounting officer, senior-officials committee, designated minister and Cabinet according to approved thresholds.</w:t>
      </w:r>
    </w:p>
    <w:p>
      <w:pPr>
        <w:numPr>
          <w:ilvl w:val="0"/>
          <w:numId w:val="1006"/>
        </w:numPr>
        <w:pStyle w:val="Compact"/>
      </w:pPr>
      <w:r>
        <w:t xml:space="preserve">Governance duties attach to offices, not individuals; acting arrangements, handover records and re-nomination requirements activate on a change of minister, government or senior official.</w:t>
      </w:r>
    </w:p>
    <w:p>
      <w:pPr>
        <w:numPr>
          <w:ilvl w:val="0"/>
          <w:numId w:val="1006"/>
        </w:numPr>
        <w:pStyle w:val="Compact"/>
      </w:pPr>
      <w:r>
        <w:rPr>
          <w:bCs/>
          <w:b/>
        </w:rPr>
        <w:t xml:space="preserve">Annually</w:t>
      </w:r>
      <w:r>
        <w:t xml:space="preserve">, a public report and an Auditor-General audit tabled in Parliament.</w:t>
      </w:r>
    </w:p>
    <w:p>
      <w:pPr>
        <w:numPr>
          <w:ilvl w:val="0"/>
          <w:numId w:val="1006"/>
        </w:numPr>
        <w:pStyle w:val="Compact"/>
      </w:pPr>
      <w:r>
        <w:rPr>
          <w:bCs/>
          <w:b/>
        </w:rPr>
        <w:t xml:space="preserve">At end-Year 3</w:t>
      </w:r>
      <w:r>
        <w:t xml:space="preserve">, an independent mid-term evaluation that gates Phase 3.</w:t>
      </w:r>
    </w:p>
    <w:p>
      <w:pPr>
        <w:numPr>
          <w:ilvl w:val="0"/>
          <w:numId w:val="1006"/>
        </w:numPr>
        <w:pStyle w:val="Compact"/>
      </w:pPr>
      <w:r>
        <w:rPr>
          <w:bCs/>
          <w:b/>
        </w:rPr>
        <w:t xml:space="preserve">In Year 6</w:t>
      </w:r>
      <w:r>
        <w:t xml:space="preserve">, an independent final evaluation.</w:t>
      </w:r>
    </w:p>
    <w:p>
      <w:pPr>
        <w:numPr>
          <w:ilvl w:val="0"/>
          <w:numId w:val="1006"/>
        </w:numPr>
        <w:pStyle w:val="Compact"/>
      </w:pPr>
      <w:r>
        <w:rPr>
          <w:bCs/>
          <w:b/>
        </w:rPr>
        <w:t xml:space="preserve">Procurement</w:t>
      </w:r>
      <w:r>
        <w:t xml:space="preserve"> </w:t>
      </w:r>
      <w:r>
        <w:t xml:space="preserve">follows standard Treasury instructions with no exemption sought; award lists and the prioritised remediation schedule published in advance so departures from audited priority order are visible.</w:t>
      </w:r>
    </w:p>
    <w:p>
      <w:r>
        <w:pict>
          <v:rect style="width:0;height:1.5pt" o:hralign="center" o:hrstd="t" o:hr="t"/>
        </w:pict>
      </w:r>
    </w:p>
    <w:bookmarkEnd w:id="56"/>
    <w:bookmarkEnd w:id="57"/>
    <w:bookmarkStart w:id="63" w:name="Xa1bd32f9b6ab9ef47b5d56af110848550553fca"/>
    <w:p>
      <w:pPr>
        <w:pStyle w:val="Heading1"/>
        <w:keepNext/>
      </w:pPr>
      <w:r>
        <w:t xml:space="preserve">7. Indicative fiscal model</w:t>
      </w:r>
    </w:p>
    <w:bookmarkStart w:id="58" w:name="X48d27f8d5bb94c13c9d5edf26854b9ed5215689"/>
    <w:p>
      <w:pPr>
        <w:pStyle w:val="Heading2"/>
        <w:keepNext/>
      </w:pPr>
      <w:r>
        <w:t xml:space="preserve">7.1 Indicative planning scenarios — not approval envelopes</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711"/>
        <w:gridCol w:w="1893"/>
        <w:gridCol w:w="1347"/>
        <w:gridCol w:w="1347"/>
        <w:gridCol w:w="1347"/>
        <w:gridCol w:w="1715"/>
      </w:tblGrid>
      <w:tr>
        <w:trPr>
          <w:tblHeader w:val="true"/>
          <w:cantSplit w:val="true"/>
          <w:tblHeader w:val="true"/>
        </w:trPr>
        <w:tc>
          <w:tcPr>
            <w:tcW w:w="1711"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6"/>
              </w:rPr>
              <w:t xml:space="preserve">Scenario</w:t>
            </w:r>
          </w:p>
        </w:tc>
        <w:tc>
          <w:tcPr>
            <w:tcW w:w="1893"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6"/>
              </w:rPr>
              <w:t xml:space="preserve">Six-year total</w:t>
            </w:r>
          </w:p>
        </w:tc>
        <w:tc>
          <w:tcPr>
            <w:tcW w:w="1347"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6"/>
              </w:rPr>
              <w:t xml:space="preserve">Phase 1</w:t>
            </w:r>
          </w:p>
        </w:tc>
        <w:tc>
          <w:tcPr>
            <w:tcW w:w="1347"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6"/>
              </w:rPr>
              <w:t xml:space="preserve">Phase 2</w:t>
            </w:r>
          </w:p>
        </w:tc>
        <w:tc>
          <w:tcPr>
            <w:tcW w:w="1347"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6"/>
              </w:rPr>
              <w:t xml:space="preserve">Phase 3</w:t>
            </w:r>
          </w:p>
        </w:tc>
        <w:tc>
          <w:tcPr>
            <w:tcW w:w="1715"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6"/>
              </w:rPr>
              <w:t xml:space="preserve">New funding</w:t>
            </w:r>
          </w:p>
        </w:tc>
      </w:tr>
      <w:tr>
        <w:trPr>
          <w:cantSplit w:val="true"/>
        </w:trPr>
        <w:tc>
          <w:tcPr>
            <w:tcW w:w="171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Conservative</w:t>
            </w:r>
          </w:p>
        </w:tc>
        <w:tc>
          <w:tcPr>
            <w:tcW w:w="1893"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RM1,158.487m</w:t>
            </w:r>
          </w:p>
        </w:tc>
        <w:tc>
          <w:tcPr>
            <w:tcW w:w="1347"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RM283.4m</w:t>
            </w:r>
          </w:p>
        </w:tc>
        <w:tc>
          <w:tcPr>
            <w:tcW w:w="1347"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RM406.0m</w:t>
            </w:r>
          </w:p>
        </w:tc>
        <w:tc>
          <w:tcPr>
            <w:tcW w:w="1347"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RM469.2m</w:t>
            </w:r>
          </w:p>
        </w:tc>
        <w:tc>
          <w:tcPr>
            <w:tcW w:w="1715"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RM662.217m</w:t>
            </w:r>
          </w:p>
        </w:tc>
      </w:tr>
      <w:tr>
        <w:trPr>
          <w:cantSplit w:val="true"/>
        </w:trPr>
        <w:tc>
          <w:tcPr>
            <w:tcW w:w="1711"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6"/>
              </w:rPr>
              <w:t xml:space="preserve">Central</w:t>
            </w:r>
          </w:p>
        </w:tc>
        <w:tc>
          <w:tcPr>
            <w:tcW w:w="1893" w:type="dxa"/>
            <w:tcMar>
              <w:top w:w="80" w:type="dxa"/>
              <w:start w:w="120" w:type="dxa"/>
              <w:bottom w:w="80" w:type="dxa"/>
              <w:end w:w="120" w:type="dxa"/>
            </w:tcMar>
            <w:vAlign w:val="center"/>
          </w:tcPr>
          <w:p>
            <w:pPr>
              <w:pStyle w:val="Compact"/>
              <w:spacing w:before="0" w:after="40" w:line="240" w:lineRule="auto"/>
              <w:jc w:val="right"/>
            </w:pPr>
            <w:r>
              <w:rPr>
                <w:bCs/>
                <w:rFonts w:ascii="Calibri" w:hAnsi="Calibri"/>
                <w:b/>
                <w:color w:val="0B2545"/>
                <w:sz w:val="16"/>
              </w:rPr>
              <w:t xml:space="preserve">RM1,484.273m</w:t>
            </w:r>
          </w:p>
        </w:tc>
        <w:tc>
          <w:tcPr>
            <w:tcW w:w="1347" w:type="dxa"/>
            <w:tcMar>
              <w:top w:w="80" w:type="dxa"/>
              <w:start w:w="120" w:type="dxa"/>
              <w:bottom w:w="80" w:type="dxa"/>
              <w:end w:w="120" w:type="dxa"/>
            </w:tcMar>
            <w:vAlign w:val="center"/>
          </w:tcPr>
          <w:p>
            <w:pPr>
              <w:pStyle w:val="Compact"/>
              <w:spacing w:before="0" w:after="40" w:line="240" w:lineRule="auto"/>
              <w:jc w:val="right"/>
            </w:pPr>
            <w:r>
              <w:rPr>
                <w:bCs/>
                <w:rFonts w:ascii="Calibri" w:hAnsi="Calibri"/>
                <w:b/>
                <w:color w:val="0B2545"/>
                <w:sz w:val="16"/>
              </w:rPr>
              <w:t xml:space="preserve">RM355.3m</w:t>
            </w:r>
          </w:p>
        </w:tc>
        <w:tc>
          <w:tcPr>
            <w:tcW w:w="1347" w:type="dxa"/>
            <w:tcMar>
              <w:top w:w="80" w:type="dxa"/>
              <w:start w:w="120" w:type="dxa"/>
              <w:bottom w:w="80" w:type="dxa"/>
              <w:end w:w="120" w:type="dxa"/>
            </w:tcMar>
            <w:vAlign w:val="center"/>
          </w:tcPr>
          <w:p>
            <w:pPr>
              <w:pStyle w:val="Compact"/>
              <w:spacing w:before="0" w:after="40" w:line="240" w:lineRule="auto"/>
              <w:jc w:val="right"/>
            </w:pPr>
            <w:r>
              <w:rPr>
                <w:bCs/>
                <w:rFonts w:ascii="Calibri" w:hAnsi="Calibri"/>
                <w:b/>
                <w:color w:val="0B2545"/>
                <w:sz w:val="16"/>
              </w:rPr>
              <w:t xml:space="preserve">RM520.8m</w:t>
            </w:r>
          </w:p>
        </w:tc>
        <w:tc>
          <w:tcPr>
            <w:tcW w:w="1347" w:type="dxa"/>
            <w:tcMar>
              <w:top w:w="80" w:type="dxa"/>
              <w:start w:w="120" w:type="dxa"/>
              <w:bottom w:w="80" w:type="dxa"/>
              <w:end w:w="120" w:type="dxa"/>
            </w:tcMar>
            <w:vAlign w:val="center"/>
          </w:tcPr>
          <w:p>
            <w:pPr>
              <w:pStyle w:val="Compact"/>
              <w:spacing w:before="0" w:after="40" w:line="240" w:lineRule="auto"/>
              <w:jc w:val="right"/>
            </w:pPr>
            <w:r>
              <w:rPr>
                <w:bCs/>
                <w:rFonts w:ascii="Calibri" w:hAnsi="Calibri"/>
                <w:b/>
                <w:color w:val="0B2545"/>
                <w:sz w:val="16"/>
              </w:rPr>
              <w:t xml:space="preserve">RM608.2m</w:t>
            </w:r>
          </w:p>
        </w:tc>
        <w:tc>
          <w:tcPr>
            <w:tcW w:w="1715" w:type="dxa"/>
            <w:tcMar>
              <w:top w:w="80" w:type="dxa"/>
              <w:start w:w="120" w:type="dxa"/>
              <w:bottom w:w="80" w:type="dxa"/>
              <w:end w:w="120" w:type="dxa"/>
            </w:tcMar>
            <w:vAlign w:val="center"/>
          </w:tcPr>
          <w:p>
            <w:pPr>
              <w:pStyle w:val="Compact"/>
              <w:spacing w:before="0" w:after="40" w:line="240" w:lineRule="auto"/>
              <w:jc w:val="right"/>
            </w:pPr>
            <w:r>
              <w:rPr>
                <w:bCs/>
                <w:rFonts w:ascii="Calibri" w:hAnsi="Calibri"/>
                <w:b/>
                <w:color w:val="0B2545"/>
                <w:sz w:val="16"/>
              </w:rPr>
              <w:t xml:space="preserve">RM847.677m</w:t>
            </w:r>
          </w:p>
        </w:tc>
      </w:tr>
      <w:tr>
        <w:trPr>
          <w:cantSplit w:val="true"/>
        </w:trPr>
        <w:tc>
          <w:tcPr>
            <w:tcW w:w="171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Expanded</w:t>
            </w:r>
          </w:p>
        </w:tc>
        <w:tc>
          <w:tcPr>
            <w:tcW w:w="1893"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RM1,875.220m</w:t>
            </w:r>
          </w:p>
        </w:tc>
        <w:tc>
          <w:tcPr>
            <w:tcW w:w="1347"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RM441.5m</w:t>
            </w:r>
          </w:p>
        </w:tc>
        <w:tc>
          <w:tcPr>
            <w:tcW w:w="1347"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RM658.7m</w:t>
            </w:r>
          </w:p>
        </w:tc>
        <w:tc>
          <w:tcPr>
            <w:tcW w:w="1347"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RM775.0m</w:t>
            </w:r>
          </w:p>
        </w:tc>
        <w:tc>
          <w:tcPr>
            <w:tcW w:w="1715"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RM1,070.229m</w:t>
            </w:r>
          </w:p>
        </w:tc>
      </w:tr>
    </w:tbl>
    <w:p>
      <w:pPr>
        <w:pStyle w:val="BodyText"/>
      </w:pPr>
      <w:r>
        <w:t xml:space="preserve">Scenarios are</w:t>
      </w:r>
      <w:r>
        <w:t xml:space="preserve"> </w:t>
      </w:r>
      <w:r>
        <w:rPr>
          <w:bCs/>
          <w:b/>
        </w:rPr>
        <w:t xml:space="preserve">sensitivity cases on identical programme definitions</w:t>
      </w:r>
      <w:r>
        <w:t xml:space="preserve">, not alternative blueprints. Conservative applies 0.75× and expanded 1.30× to the variable component of each programme; fixed components (systems, audits, secretariat, evaluations) do not scale. The conservative case approximates the position if participation across the portfolio runs 25% below plan.</w:t>
      </w:r>
    </w:p>
    <w:p>
      <w:pPr>
        <w:pStyle w:val="BodyText"/>
      </w:pPr>
      <w:r>
        <w:rPr>
          <w:bCs/>
          <w:b/>
        </w:rPr>
        <w:t xml:space="preserve">The indicative central scenario has a gross portfolio cost of RM1,484.273 million and a modelled incremental new fiscal requirement of RM847.677 million</w:t>
      </w:r>
      <w:r>
        <w:t xml:space="preserve"> </w:t>
      </w:r>
      <w:r>
        <w:t xml:space="preserve">— approximately RM141 million per year averaged over six years, against MITRA's verified 2026 allocation of RM150 million (CLM-019). The remaining RM636.596 million is modelled as RM338.637 million of existing allocations and RM297.959 million of proposed reallocations. These are unverified planning classifications, not recognised funding sources, and remain subject to Treasury and ministry validation.</w:t>
      </w:r>
    </w:p>
    <w:bookmarkEnd w:id="58"/>
    <w:bookmarkStart w:id="59" w:name="X9b3fde7e2045ae7fdcb9c91967779e58889fefc"/>
    <w:p>
      <w:pPr>
        <w:pStyle w:val="Heading2"/>
        <w:keepNext/>
      </w:pPr>
      <w:r>
        <w:t xml:space="preserve">7.2 Confidence</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5911"/>
        <w:gridCol w:w="2138"/>
        <w:gridCol w:w="1311"/>
      </w:tblGrid>
      <w:tr>
        <w:trPr>
          <w:tblHeader w:val="true"/>
          <w:cantSplit w:val="true"/>
          <w:tblHeader w:val="true"/>
        </w:trPr>
        <w:tc>
          <w:tcPr>
            <w:tcW w:w="5911"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Class</w:t>
            </w:r>
          </w:p>
        </w:tc>
        <w:tc>
          <w:tcPr>
            <w:tcW w:w="2138"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7"/>
              </w:rPr>
              <w:t xml:space="preserve">Central amount</w:t>
            </w:r>
          </w:p>
        </w:tc>
        <w:tc>
          <w:tcPr>
            <w:tcW w:w="1311"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7"/>
              </w:rPr>
              <w:t xml:space="preserve">Share</w:t>
            </w:r>
          </w:p>
        </w:tc>
      </w:tr>
      <w:tr>
        <w:trPr>
          <w:cantSplit w:val="true"/>
        </w:trPr>
        <w:tc>
          <w:tcPr>
            <w:tcW w:w="5911"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Confirmed</w:t>
            </w:r>
            <w:r>
              <w:rPr>
                <w:rFonts w:ascii="Calibri" w:hAnsi="Calibri"/>
                <w:color w:val="0B2545"/>
                <w:sz w:val="17"/>
              </w:rPr>
              <w:t xml:space="preserve"> </w:t>
            </w:r>
            <w:r>
              <w:rPr>
                <w:rFonts w:ascii="Calibri" w:hAnsi="Calibri"/>
                <w:color w:val="0B2545"/>
                <w:sz w:val="17"/>
              </w:rPr>
              <w:t xml:space="preserve">— supported by authoritative programme, financial or procurement data</w:t>
            </w:r>
          </w:p>
        </w:tc>
        <w:tc>
          <w:tcPr>
            <w:tcW w:w="2138"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RM0.000m</w:t>
            </w:r>
          </w:p>
        </w:tc>
        <w:tc>
          <w:tcPr>
            <w:tcW w:w="1311" w:type="dxa"/>
            <w:tcMar>
              <w:top w:w="80" w:type="dxa"/>
              <w:start w:w="120" w:type="dxa"/>
              <w:bottom w:w="80" w:type="dxa"/>
              <w:end w:w="120" w:type="dxa"/>
            </w:tcMar>
            <w:vAlign w:val="center"/>
          </w:tcPr>
          <w:p>
            <w:pPr>
              <w:pStyle w:val="Compact"/>
              <w:spacing w:before="0" w:after="40" w:line="240" w:lineRule="auto"/>
              <w:jc w:val="right"/>
            </w:pPr>
            <w:r>
              <w:rPr>
                <w:bCs/>
                <w:rFonts w:ascii="Calibri" w:hAnsi="Calibri"/>
                <w:b/>
                <w:color w:val="0B2545"/>
                <w:sz w:val="17"/>
              </w:rPr>
              <w:t xml:space="preserve">0.0%</w:t>
            </w:r>
          </w:p>
        </w:tc>
      </w:tr>
      <w:tr>
        <w:trPr>
          <w:cantSplit w:val="true"/>
        </w:trPr>
        <w:tc>
          <w:tcPr>
            <w:tcW w:w="5911"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Benchmarked</w:t>
            </w:r>
            <w:r>
              <w:rPr>
                <w:rFonts w:ascii="Calibri" w:hAnsi="Calibri"/>
                <w:color w:val="0B2545"/>
                <w:sz w:val="17"/>
              </w:rPr>
              <w:t xml:space="preserve"> </w:t>
            </w:r>
            <w:r>
              <w:rPr>
                <w:rFonts w:ascii="Calibri" w:hAnsi="Calibri"/>
                <w:color w:val="0B2545"/>
                <w:sz w:val="17"/>
              </w:rPr>
              <w:t xml:space="preserve">— based on comparable official programmes or credible unit-cost evidence</w:t>
            </w:r>
          </w:p>
        </w:tc>
        <w:tc>
          <w:tcPr>
            <w:tcW w:w="2138"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RM473.400m</w:t>
            </w:r>
          </w:p>
        </w:tc>
        <w:tc>
          <w:tcPr>
            <w:tcW w:w="1311" w:type="dxa"/>
            <w:tcMar>
              <w:top w:w="80" w:type="dxa"/>
              <w:start w:w="120" w:type="dxa"/>
              <w:bottom w:w="80" w:type="dxa"/>
              <w:end w:w="120" w:type="dxa"/>
            </w:tcMar>
            <w:vAlign w:val="center"/>
          </w:tcPr>
          <w:p>
            <w:pPr>
              <w:pStyle w:val="Compact"/>
              <w:spacing w:before="0" w:after="40" w:line="240" w:lineRule="auto"/>
              <w:jc w:val="right"/>
            </w:pPr>
            <w:r>
              <w:rPr>
                <w:bCs/>
                <w:rFonts w:ascii="Calibri" w:hAnsi="Calibri"/>
                <w:b/>
                <w:color w:val="0B2545"/>
                <w:sz w:val="17"/>
              </w:rPr>
              <w:t xml:space="preserve">31.9%</w:t>
            </w:r>
          </w:p>
        </w:tc>
      </w:tr>
      <w:tr>
        <w:trPr>
          <w:cantSplit w:val="true"/>
        </w:trPr>
        <w:tc>
          <w:tcPr>
            <w:tcW w:w="5911"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Provisional</w:t>
            </w:r>
            <w:r>
              <w:rPr>
                <w:rFonts w:ascii="Calibri" w:hAnsi="Calibri"/>
                <w:color w:val="0B2545"/>
                <w:sz w:val="17"/>
              </w:rPr>
              <w:t xml:space="preserve"> </w:t>
            </w:r>
            <w:r>
              <w:rPr>
                <w:rFonts w:ascii="Calibri" w:hAnsi="Calibri"/>
                <w:color w:val="0B2545"/>
                <w:sz w:val="17"/>
              </w:rPr>
              <w:t xml:space="preserve">— transparent but unverified assumptions</w:t>
            </w:r>
          </w:p>
        </w:tc>
        <w:tc>
          <w:tcPr>
            <w:tcW w:w="2138"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RM1,010.873m</w:t>
            </w:r>
          </w:p>
        </w:tc>
        <w:tc>
          <w:tcPr>
            <w:tcW w:w="1311" w:type="dxa"/>
            <w:tcMar>
              <w:top w:w="80" w:type="dxa"/>
              <w:start w:w="120" w:type="dxa"/>
              <w:bottom w:w="80" w:type="dxa"/>
              <w:end w:w="120" w:type="dxa"/>
            </w:tcMar>
            <w:vAlign w:val="center"/>
          </w:tcPr>
          <w:p>
            <w:pPr>
              <w:pStyle w:val="Compact"/>
              <w:spacing w:before="0" w:after="40" w:line="240" w:lineRule="auto"/>
              <w:jc w:val="right"/>
            </w:pPr>
            <w:r>
              <w:rPr>
                <w:bCs/>
                <w:rFonts w:ascii="Calibri" w:hAnsi="Calibri"/>
                <w:b/>
                <w:color w:val="0B2545"/>
                <w:sz w:val="17"/>
              </w:rPr>
              <w:t xml:space="preserve">68.1%</w:t>
            </w:r>
          </w:p>
        </w:tc>
      </w:tr>
    </w:tbl>
    <w:p>
      <w:pPr>
        <w:pStyle w:val="BodyText"/>
      </w:pPr>
      <w:r>
        <w:rPr>
          <w:bCs/>
          <w:b/>
        </w:rPr>
        <w:t xml:space="preserve">No cost line in this portfolio is Confirmed.</w:t>
      </w:r>
      <w:r>
        <w:t xml:space="preserve"> </w:t>
      </w:r>
      <w:r>
        <w:t xml:space="preserve">The central scenario is therefore presented for conditional endorsement as a planning case only, not as a fiscal framework or envelope for approval. No programme in this proposal is described as fully costed while material assumptions remain provisional.</w:t>
      </w:r>
    </w:p>
    <w:bookmarkEnd w:id="59"/>
    <w:bookmarkStart w:id="60" w:name="X51be0fc97e3d77f800baf8e4a4754060978dc50"/>
    <w:p>
      <w:pPr>
        <w:pStyle w:val="Heading2"/>
        <w:keepNext/>
      </w:pPr>
      <w:r>
        <w:t xml:space="preserve">7.3 Cost structure</w:t>
      </w:r>
    </w:p>
    <w:p>
      <w:pPr>
        <w:pStyle w:val="FirstParagraph"/>
      </w:pPr>
      <w:r>
        <w:t xml:space="preserve">Costs distinguish</w:t>
      </w:r>
      <w:r>
        <w:t xml:space="preserve"> </w:t>
      </w:r>
      <w:r>
        <w:rPr>
          <w:bCs/>
          <w:b/>
        </w:rPr>
        <w:t xml:space="preserve">one-off</w:t>
      </w:r>
      <w:r>
        <w:t xml:space="preserve"> </w:t>
      </w:r>
      <w:r>
        <w:t xml:space="preserve">(audits, systems, evaluations, capital works) from</w:t>
      </w:r>
      <w:r>
        <w:t xml:space="preserve"> </w:t>
      </w:r>
      <w:r>
        <w:rPr>
          <w:bCs/>
          <w:b/>
        </w:rPr>
        <w:t xml:space="preserve">recurring</w:t>
      </w:r>
      <w:r>
        <w:t xml:space="preserve"> </w:t>
      </w:r>
      <w:r>
        <w:t xml:space="preserve">(subsidies, stipends, navigator salaries, matched savings). Categories are development expenditure, operating expenditure, transfers and grants, administration (4.0% of delivery) and contingency (7.5% of delivery plus administration). Contingency is set at the lower end of the 5–15% range because the portfolio is weighted towards recurrent service delivery; a higher rate would be appropriate if the PRG-03 and PRG-12 capital scopes expand.</w:t>
      </w:r>
    </w:p>
    <w:bookmarkEnd w:id="60"/>
    <w:bookmarkStart w:id="61" w:name="Xefb33c1469fa686816d944ac639b1adba014633"/>
    <w:p>
      <w:pPr>
        <w:pStyle w:val="Heading2"/>
        <w:keepNext/>
      </w:pPr>
      <w:r>
        <w:t xml:space="preserve">7.4 Cash-flow and displacement</w:t>
      </w:r>
    </w:p>
    <w:p>
      <w:pPr>
        <w:pStyle w:val="FirstParagraph"/>
      </w:pPr>
      <w:r>
        <w:t xml:space="preserve">Phase costs rise across the six years (RM355.3m → RM520.8m → RM608.2m), which is deliberate: Phase 1 is dominated by baseline-setting rather than by scaled delivery.</w:t>
      </w:r>
      <w:r>
        <w:t xml:space="preserve"> </w:t>
      </w:r>
      <w:r>
        <w:rPr>
          <w:bCs/>
          <w:b/>
        </w:rPr>
        <w:t xml:space="preserve">Phase gating prevents unfunded commitments.</w:t>
      </w:r>
      <w:r>
        <w:t xml:space="preserve"> </w:t>
      </w:r>
      <w:r>
        <w:t xml:space="preserve">An end-Year 2 administrative readiness review determines whether Phase 2 may start, be corrected or be re-scoped. The independent end-Year 3 mid-term evaluation determines whether Phase 3 may proceed, while the normal Year 5 appropriation remains a separate fiscal condition. Each phase is separately costed, so a phase can be scaled down without stranding earlier investment.</w:t>
      </w:r>
    </w:p>
    <w:p>
      <w:pPr>
        <w:pStyle w:val="BodyText"/>
      </w:pPr>
      <w:r>
        <w:t xml:space="preserve">The principal displacement risk is not fiscal but administrative: delivery capacity in lead ministries is already committed (RSK-09). This is why every programme runs on an existing agency and why volumes are capped below both source drafts.</w:t>
      </w:r>
    </w:p>
    <w:bookmarkEnd w:id="61"/>
    <w:bookmarkStart w:id="62" w:name="X24dba6f990fdd40996612fb0193d71baa9a5ed1"/>
    <w:p>
      <w:pPr>
        <w:pStyle w:val="Heading2"/>
        <w:keepNext/>
      </w:pPr>
      <w:r>
        <w:t xml:space="preserve">7.5 Distributional and equity tests</w:t>
      </w:r>
    </w:p>
    <w:p>
      <w:pPr>
        <w:numPr>
          <w:ilvl w:val="0"/>
          <w:numId w:val="1007"/>
        </w:numPr>
        <w:pStyle w:val="Compact"/>
      </w:pPr>
      <w:r>
        <w:rPr>
          <w:bCs/>
          <w:b/>
        </w:rPr>
        <w:t xml:space="preserve">Geographic concentration</w:t>
      </w:r>
      <w:r>
        <w:t xml:space="preserve"> </w:t>
      </w:r>
      <w:r>
        <w:t xml:space="preserve">(RSK-12): all indicators are disaggregated by state; the dashboard reports geographic distribution so concentration is visible within one quarter.</w:t>
      </w:r>
    </w:p>
    <w:p>
      <w:pPr>
        <w:numPr>
          <w:ilvl w:val="0"/>
          <w:numId w:val="1007"/>
        </w:numPr>
        <w:pStyle w:val="Compact"/>
      </w:pPr>
      <w:r>
        <w:rPr>
          <w:bCs/>
          <w:b/>
        </w:rPr>
        <w:t xml:space="preserve">Exclusion of the informal</w:t>
      </w:r>
      <w:r>
        <w:t xml:space="preserve"> </w:t>
      </w:r>
      <w:r>
        <w:t xml:space="preserve">(RSK-13): needs-based eligibility using documented income would exclude the most vulnerable. Alternative means-assessment pathways — community verification and social-welfare officer assessment — are built in, and documentation status is expressly</w:t>
      </w:r>
      <w:r>
        <w:t xml:space="preserve"> </w:t>
      </w:r>
      <w:r>
        <w:rPr>
          <w:bCs/>
          <w:b/>
        </w:rPr>
        <w:t xml:space="preserve">not</w:t>
      </w:r>
      <w:r>
        <w:t xml:space="preserve"> </w:t>
      </w:r>
      <w:r>
        <w:t xml:space="preserve">a barrier to PRG-01 or PRG-02.</w:t>
      </w:r>
    </w:p>
    <w:p>
      <w:pPr>
        <w:numPr>
          <w:ilvl w:val="0"/>
          <w:numId w:val="1007"/>
        </w:numPr>
        <w:pStyle w:val="Compact"/>
      </w:pPr>
      <w:r>
        <w:rPr>
          <w:bCs/>
          <w:b/>
        </w:rPr>
        <w:t xml:space="preserve">Perverse incentives</w:t>
      </w:r>
      <w:r>
        <w:t xml:space="preserve"> </w:t>
      </w:r>
      <w:r>
        <w:t xml:space="preserve">(RSK-14): graduation is defined by sustained movement over 24 months, not by exit from assistance; re-entry carries no penalty; the independent evaluation specifically tests for premature exit.</w:t>
      </w:r>
    </w:p>
    <w:p>
      <w:pPr>
        <w:numPr>
          <w:ilvl w:val="0"/>
          <w:numId w:val="1007"/>
        </w:numPr>
        <w:pStyle w:val="Compact"/>
      </w:pPr>
      <w:r>
        <w:rPr>
          <w:bCs/>
          <w:b/>
        </w:rPr>
        <w:t xml:space="preserve">Leakage</w:t>
      </w:r>
      <w:r>
        <w:t xml:space="preserve"> </w:t>
      </w:r>
      <w:r>
        <w:t xml:space="preserve">(RSK-11): payments to institutions and verified accounts rather than cash where possible; published recipient lists above a threshold; the secretariat holds no programme funds.</w:t>
      </w:r>
    </w:p>
    <w:p>
      <w:pPr>
        <w:numPr>
          <w:ilvl w:val="0"/>
          <w:numId w:val="1007"/>
        </w:numPr>
        <w:pStyle w:val="Compact"/>
      </w:pPr>
      <w:r>
        <w:rPr>
          <w:bCs/>
          <w:b/>
        </w:rPr>
        <w:t xml:space="preserve">Double counting</w:t>
      </w:r>
      <w:r>
        <w:t xml:space="preserve"> </w:t>
      </w:r>
      <w:r>
        <w:t xml:space="preserve">(RSK-15): reach is never summed across programmes; unique beneficiaries are reported separately with a stated overlap factor.</w:t>
      </w:r>
    </w:p>
    <w:p>
      <w:r>
        <w:pict>
          <v:rect style="width:0;height:1.5pt" o:hralign="center" o:hrstd="t" o:hr="t"/>
        </w:pict>
      </w:r>
    </w:p>
    <w:bookmarkEnd w:id="62"/>
    <w:bookmarkEnd w:id="63"/>
    <w:bookmarkStart w:id="64" w:name="Xbaabedf64234c95914223f41c061da0aa42f24a"/>
    <w:p>
      <w:pPr>
        <w:pStyle w:val="Heading1"/>
        <w:keepNext/>
      </w:pPr>
      <w:r>
        <w:t xml:space="preserve">8. Measurement</w:t>
      </w:r>
    </w:p>
    <w:p>
      <w:pPr>
        <w:pStyle w:val="FirstParagraph"/>
      </w:pPr>
      <w:r>
        <w:t xml:space="preserve">Sixteen indicators, one per retained substantive programme, each with a definition, a data owner, a verification source and a disaggregation rule (</w:t>
      </w:r>
      <w:r>
        <w:rPr>
          <w:rStyle w:val="VerbatimChar"/>
        </w:rPr>
        <w:t xml:space="preserve">KPI_REGISTER.csv</w:t>
      </w:r>
      <w:r>
        <w:t xml:space="preserve">).</w:t>
      </w:r>
    </w:p>
    <w:p>
      <w:pPr>
        <w:pStyle w:val="BodyText"/>
      </w:pPr>
      <w:r>
        <w:rPr>
          <w:bCs/>
          <w:b/>
        </w:rPr>
        <w:t xml:space="preserve">Twelve of the sixteen have a baseline status of</w:t>
      </w:r>
      <w:r>
        <w:rPr>
          <w:bCs/>
          <w:b/>
        </w:rPr>
        <w:t xml:space="preserve"> </w:t>
      </w:r>
      <w:r>
        <w:rPr>
          <w:rStyle w:val="VerbatimChar"/>
          <w:bCs/>
          <w:b/>
        </w:rPr>
        <w:t xml:space="preserve">to-be-established</w:t>
      </w:r>
      <w:r>
        <w:rPr>
          <w:bCs/>
          <w:b/>
        </w:rPr>
        <w:t xml:space="preserve">.</w:t>
      </w:r>
      <w:r>
        <w:t xml:space="preserve"> </w:t>
      </w:r>
      <w:r>
        <w:t xml:space="preserve">For those, the Year 2 target is principally a baseline or system-establishment deliverable. This is the most important disclosure in the document: a plan that set numeric outcome targets on unmeasured quantities would be repeating precisely the failure it exists to correct.</w:t>
      </w:r>
    </w:p>
    <w:p>
      <w:pPr>
        <w:pStyle w:val="BodyText"/>
      </w:pPr>
      <w:r>
        <w:t xml:space="preserve">The remaining four indicators comprise two source-verified baselines — civil service participation (3.7%, 2024) and measurement integrity (0 of 16 baselined) — plus one disputed matriculation series and one unmeasured historic savings target. The verified count of 528 SJKT defines PRG-03's audit scope, but it is not a baseline for the KPI measuring the proportion meeting the future safety and learning-environment standard.</w:t>
      </w:r>
    </w:p>
    <w:p>
      <w:r>
        <w:pict>
          <v:rect style="width:0;height:1.5pt" o:hralign="center" o:hrstd="t" o:hr="t"/>
        </w:pict>
      </w:r>
    </w:p>
    <w:bookmarkEnd w:id="64"/>
    <w:bookmarkStart w:id="65" w:name="X9f5fb10442440cdf7379452103a59f400de196e"/>
    <w:p>
      <w:pPr>
        <w:pStyle w:val="Heading1"/>
        <w:keepNext/>
      </w:pPr>
      <w:r>
        <w:t xml:space="preserve">9. Risks</w:t>
      </w:r>
    </w:p>
    <w:p>
      <w:pPr>
        <w:pStyle w:val="FirstParagraph"/>
      </w:pPr>
      <w:r>
        <w:t xml:space="preserve">Twenty-one risks are registered with safeguards and residual ratings (</w:t>
      </w:r>
      <w:r>
        <w:rPr>
          <w:rStyle w:val="VerbatimChar"/>
        </w:rPr>
        <w:t xml:space="preserve">RISK_AND_SAFEGUARD_REGISTER.csv</w:t>
      </w:r>
      <w:r>
        <w:t xml:space="preserve">). Fourteen carry a</w:t>
      </w:r>
      <w:r>
        <w:t xml:space="preserve"> </w:t>
      </w:r>
      <w:r>
        <w:rPr>
          <w:bCs/>
          <w:b/>
        </w:rPr>
        <w:t xml:space="preserve">critical inherent rating</w:t>
      </w:r>
      <w:r>
        <w:t xml:space="preserve">. The table below highlights six of the most cross-cutting critical risks; the full register remains controlling:</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680"/>
        <w:gridCol w:w="4680"/>
      </w:tblGrid>
      <w:tr>
        <w:trPr>
          <w:tblHeader w:val="true"/>
          <w:cantSplit w:val="true"/>
          <w:tblHeader w:val="true"/>
        </w:trPr>
        <w:tc>
          <w:tcPr>
            <w:tcW w:w="4680"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Risk</w:t>
            </w:r>
          </w:p>
        </w:tc>
        <w:tc>
          <w:tcPr>
            <w:tcW w:w="4680"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Residual after safeguard</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RSK-01</w:t>
            </w:r>
            <w:r>
              <w:rPr>
                <w:rFonts w:ascii="Calibri" w:hAnsi="Calibri"/>
                <w:color w:val="0B2545"/>
                <w:sz w:val="17"/>
              </w:rPr>
              <w:t xml:space="preserve"> </w:t>
            </w:r>
            <w:r>
              <w:rPr>
                <w:rFonts w:ascii="Calibri" w:hAnsi="Calibri"/>
                <w:color w:val="0B2545"/>
                <w:sz w:val="17"/>
              </w:rPr>
              <w:t xml:space="preserve">The delegated continuity chain is not adopted or maintained, allowing delivery to stall during postponed reviews or political transition</w:t>
            </w:r>
          </w:p>
        </w:tc>
        <w:tc>
          <w:tcPr>
            <w:tcW w:w="4680"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Moderate after safeguard.</w:t>
            </w:r>
            <w:r>
              <w:rPr>
                <w:rFonts w:ascii="Calibri" w:hAnsi="Calibri"/>
                <w:color w:val="0B2545"/>
                <w:sz w:val="17"/>
              </w:rPr>
              <w:t xml:space="preserve"> </w:t>
            </w:r>
            <w:r>
              <w:rPr>
                <w:rFonts w:ascii="Calibri" w:hAnsi="Calibri"/>
                <w:color w:val="0B2545"/>
                <w:sz w:val="17"/>
              </w:rPr>
              <w:t xml:space="preserve">GC-01 to GC-08 separate strategic sponsorship from routine operation through a designated minister, senior officials, ministry delivery officers, automatic escalation, meeting-independent reporting and succession controls; formal adoption remains a pre-submission gate</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RSK-02</w:t>
            </w:r>
            <w:r>
              <w:rPr>
                <w:rFonts w:ascii="Calibri" w:hAnsi="Calibri"/>
                <w:color w:val="0B2545"/>
                <w:sz w:val="17"/>
              </w:rPr>
              <w:t xml:space="preserve"> </w:t>
            </w:r>
            <w:r>
              <w:rPr>
                <w:rFonts w:ascii="Calibri" w:hAnsi="Calibri"/>
                <w:color w:val="0B2545"/>
                <w:sz w:val="17"/>
              </w:rPr>
              <w:t xml:space="preserve">Article 8 challenge to ethnically-defined benefits</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Medium — set-asides removed; eligibility needs-based; AGC clearance gating</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RSK-03</w:t>
            </w:r>
            <w:r>
              <w:rPr>
                <w:rFonts w:ascii="Calibri" w:hAnsi="Calibri"/>
                <w:color w:val="0B2545"/>
                <w:sz w:val="17"/>
              </w:rPr>
              <w:t xml:space="preserve"> </w:t>
            </w:r>
            <w:r>
              <w:rPr>
                <w:rFonts w:ascii="Calibri" w:hAnsi="Calibri"/>
                <w:color w:val="0B2545"/>
                <w:sz w:val="17"/>
              </w:rPr>
              <w:t xml:space="preserve">Federal encroachment on state jurisdiction</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Medium — state consent required facility by facility</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RSK-04</w:t>
            </w:r>
            <w:r>
              <w:rPr>
                <w:rFonts w:ascii="Calibri" w:hAnsi="Calibri"/>
                <w:color w:val="0B2545"/>
                <w:sz w:val="17"/>
              </w:rPr>
              <w:t xml:space="preserve"> </w:t>
            </w:r>
            <w:r>
              <w:rPr>
                <w:rFonts w:ascii="Calibri" w:hAnsi="Calibri"/>
                <w:color w:val="0B2545"/>
                <w:sz w:val="17"/>
              </w:rPr>
              <w:t xml:space="preserve">New funding not appropriated, leaving later phases stranded</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High — phase gating; conservative scenario as fallback</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RSK-06</w:t>
            </w:r>
            <w:r>
              <w:rPr>
                <w:rFonts w:ascii="Calibri" w:hAnsi="Calibri"/>
                <w:color w:val="0B2545"/>
                <w:sz w:val="17"/>
              </w:rPr>
              <w:t xml:space="preserve"> </w:t>
            </w:r>
            <w:r>
              <w:rPr>
                <w:rFonts w:ascii="Calibri" w:hAnsi="Calibri"/>
                <w:color w:val="0B2545"/>
                <w:sz w:val="17"/>
              </w:rPr>
              <w:t xml:space="preserve">Registry linkage chills take-up</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Medium — systems separated; DPIA published before operation</w:t>
            </w:r>
          </w:p>
        </w:tc>
      </w:tr>
      <w:tr>
        <w:trPr>
          <w:cantSplit w:val="true"/>
        </w:trPr>
        <w:tc>
          <w:tcPr>
            <w:tcW w:w="4680"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RSK-07</w:t>
            </w:r>
            <w:r>
              <w:rPr>
                <w:rFonts w:ascii="Calibri" w:hAnsi="Calibri"/>
                <w:color w:val="0B2545"/>
                <w:sz w:val="17"/>
              </w:rPr>
              <w:t xml:space="preserve"> </w:t>
            </w:r>
            <w:r>
              <w:rPr>
                <w:rFonts w:ascii="Calibri" w:hAnsi="Calibri"/>
                <w:color w:val="0B2545"/>
                <w:sz w:val="17"/>
              </w:rPr>
              <w:t xml:space="preserve">Characterised as ethnic preferential treatment</w:t>
            </w:r>
          </w:p>
        </w:tc>
        <w:tc>
          <w:tcPr>
            <w:tcW w:w="468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Medium — needs-based throughout; relative poverty position disclosed openly; model extensible to any community</w:t>
            </w:r>
          </w:p>
        </w:tc>
      </w:tr>
    </w:tbl>
    <w:p>
      <w:r>
        <w:pict>
          <v:rect style="width:0;height:1.5pt" o:hralign="center" o:hrstd="t" o:hr="t"/>
        </w:pict>
      </w:r>
    </w:p>
    <w:bookmarkEnd w:id="65"/>
    <w:bookmarkStart w:id="66" w:name="X361c3440e659fb878825250f4dae9c77c971aff"/>
    <w:p>
      <w:pPr>
        <w:pStyle w:val="Heading1"/>
        <w:keepNext/>
      </w:pPr>
      <w:r>
        <w:t xml:space="preserve">10. Cabinet objections, answered</w:t>
      </w:r>
    </w:p>
    <w:p>
      <w:pPr>
        <w:pStyle w:val="FirstParagraph"/>
      </w:pPr>
      <w:r>
        <w:rPr>
          <w:bCs/>
          <w:b/>
        </w:rPr>
        <w:t xml:space="preserve">1. Why a targeted blueprint within a needs-based national policy?</w:t>
      </w:r>
      <w:r>
        <w:t xml:space="preserve"> </w:t>
      </w:r>
      <w:r>
        <w:t xml:space="preserve">Because the barriers are structural and specific, not general. Eligibility here is needs-based — income, documentation status, tenure insecurity. What is targeted is</w:t>
      </w:r>
      <w:r>
        <w:t xml:space="preserve"> </w:t>
      </w:r>
      <w:r>
        <w:rPr>
          <w:iCs/>
          <w:i/>
        </w:rPr>
        <w:t xml:space="preserve">outreach</w:t>
      </w:r>
      <w:r>
        <w:t xml:space="preserve">, not entitlement. And the largest single barrier, unresolved legal identity, affects no other community at comparable scale. Note also what this proposal does</w:t>
      </w:r>
      <w:r>
        <w:t xml:space="preserve"> </w:t>
      </w:r>
      <w:r>
        <w:rPr>
          <w:bCs/>
          <w:b/>
        </w:rPr>
        <w:t xml:space="preserve">not</w:t>
      </w:r>
      <w:r>
        <w:t xml:space="preserve"> </w:t>
      </w:r>
      <w:r>
        <w:t xml:space="preserve">argue: Indian absolute poverty (5.4%, 2022) is below the Bumiputera rate (7.9%). The case is structural exclusion and an adverse trend, not relative deprivation.</w:t>
      </w:r>
    </w:p>
    <w:p>
      <w:pPr>
        <w:pStyle w:val="BodyText"/>
      </w:pPr>
      <w:r>
        <w:rPr>
          <w:bCs/>
          <w:b/>
        </w:rPr>
        <w:t xml:space="preserve">2. How does this avoid duplicating existing institutions and programmes?</w:t>
      </w:r>
      <w:r>
        <w:t xml:space="preserve"> </w:t>
      </w:r>
      <w:r>
        <w:t xml:space="preserve">Every retained substantive programme runs on an existing delivery agency; only the secretariat and navigator cadre are new establishment. Each carries an explicit duplication assessment in</w:t>
      </w:r>
      <w:r>
        <w:t xml:space="preserve"> </w:t>
      </w:r>
      <w:r>
        <w:rPr>
          <w:rStyle w:val="VerbatimChar"/>
        </w:rPr>
        <w:t xml:space="preserve">PROGRAMME_REGISTER.csv</w:t>
      </w:r>
      <w:r>
        <w:t xml:space="preserve">. Five source proposals were not carried forward because they were duplicative, unlawful, unsupported or outside scope. MITRA continues as an executing agency and is not superseded.</w:t>
      </w:r>
    </w:p>
    <w:p>
      <w:pPr>
        <w:pStyle w:val="BodyText"/>
      </w:pPr>
      <w:r>
        <w:rPr>
          <w:bCs/>
          <w:b/>
        </w:rPr>
        <w:t xml:space="preserve">3. Why should the Prime Minister remain involved without becoming the operating dependency?</w:t>
      </w:r>
      <w:r>
        <w:t xml:space="preserve"> </w:t>
      </w:r>
      <w:r>
        <w:t xml:space="preserve">Because the levers sit in at least six ministries, the states, and a constitutionally independent service commission, Prime Ministerial sponsorship supplies strategic authority. Continuity does not require the Prime Minister to chair every operational review: a designated minister, a Chief Secretary-chaired or authorised-equivalent committee, named ministry delivery officers and a bounded secretariat keep milestones, escalation and reporting moving. Cabinet should decide and record that complete delegation chain under VAL-27 and GC-01 to GC-08.</w:t>
      </w:r>
    </w:p>
    <w:p>
      <w:pPr>
        <w:pStyle w:val="BodyText"/>
      </w:pPr>
      <w:r>
        <w:rPr>
          <w:bCs/>
          <w:b/>
        </w:rPr>
        <w:t xml:space="preserve">4. What is new funding versus existing or redirected?</w:t>
      </w:r>
      <w:r>
        <w:t xml:space="preserve"> </w:t>
      </w:r>
      <w:r>
        <w:t xml:space="preserve">In the indicative central model, RM847.677 million of RM1,484.273 million is classified as new and RM636.596 million as existing allocation or proposed reallocation. Those are modelling classifications, not verified funding sources. The modelled new requirement averages approximately RM141 million per year. The true existing envelope is</w:t>
      </w:r>
      <w:r>
        <w:t xml:space="preserve"> </w:t>
      </w:r>
      <w:r>
        <w:rPr>
          <w:bCs/>
          <w:b/>
        </w:rPr>
        <w:t xml:space="preserve">not yet verified</w:t>
      </w:r>
      <w:r>
        <w:t xml:space="preserve"> </w:t>
      </w:r>
      <w:r>
        <w:t xml:space="preserve">— the RM220 million figure in circulation could not be substantiated (CLM-018, VAL-03).</w:t>
      </w:r>
    </w:p>
    <w:p>
      <w:pPr>
        <w:pStyle w:val="BodyText"/>
      </w:pPr>
      <w:r>
        <w:rPr>
          <w:bCs/>
          <w:b/>
        </w:rPr>
        <w:t xml:space="preserve">5. Are ministries capable of delivery within six years?</w:t>
      </w:r>
      <w:r>
        <w:t xml:space="preserve"> </w:t>
      </w:r>
      <w:r>
        <w:t xml:space="preserve">Not at the volumes the source material proposed. Volumes have been cut to what is staffed and costed: household case management capped at approximately 26% of the 2014-basis low-income Indian household count, housing at 6,000 households, preschool at the actual child cohort. Delivery capacity — not money — is the binding constraint (RSK-09).</w:t>
      </w:r>
    </w:p>
    <w:p>
      <w:pPr>
        <w:pStyle w:val="BodyText"/>
      </w:pPr>
      <w:r>
        <w:rPr>
          <w:bCs/>
          <w:b/>
        </w:rPr>
        <w:t xml:space="preserve">6. How will beneficiary selection, leakage and overlap be controlled?</w:t>
      </w:r>
      <w:r>
        <w:t xml:space="preserve"> </w:t>
      </w:r>
      <w:r>
        <w:t xml:space="preserve">Published eligibility criteria; payment to institutions and verified accounts; published recipient lists; Auditor-General audit tabled in Parliament; the secretariat holds no funds. Overlap is modelled explicitly with a stated factor and reach is never summed across programmes.</w:t>
      </w:r>
    </w:p>
    <w:p>
      <w:pPr>
        <w:pStyle w:val="BodyText"/>
      </w:pPr>
      <w:r>
        <w:rPr>
          <w:bCs/>
          <w:b/>
        </w:rPr>
        <w:t xml:space="preserve">7. What measurable outcomes justify the expenditure?</w:t>
      </w:r>
      <w:r>
        <w:t xml:space="preserve"> </w:t>
      </w:r>
      <w:r>
        <w:t xml:space="preserve">Sixteen indicators with defined verification sources. Twelve have a baseline status of</w:t>
      </w:r>
      <w:r>
        <w:t xml:space="preserve"> </w:t>
      </w:r>
      <w:r>
        <w:rPr>
          <w:rStyle w:val="VerbatimChar"/>
        </w:rPr>
        <w:t xml:space="preserve">to-be-established</w:t>
      </w:r>
      <w:r>
        <w:t xml:space="preserve">, so for those the first measurable outcome is principally a published baseline or an operational measurement system. Cabinet is entitled to regard that as a modest return for Phase 1, and it is the accurate position.</w:t>
      </w:r>
    </w:p>
    <w:p>
      <w:pPr>
        <w:pStyle w:val="BodyText"/>
      </w:pPr>
      <w:r>
        <w:rPr>
          <w:bCs/>
          <w:b/>
        </w:rPr>
        <w:t xml:space="preserve">8. What if data or performance are weaker than assumed?</w:t>
      </w:r>
      <w:r>
        <w:t xml:space="preserve"> </w:t>
      </w:r>
      <w:r>
        <w:t xml:space="preserve">Phase gating. The independent mid-term evaluation at end-Year 3 publishes a pass/correct/re-scope verdict on every indicator before Phase 3 funds flow. The conservative scenario (RM1,158.487m) is a sensitivity case for Treasury testing, not a pre-approved fallback envelope. Individual programmes — notably PRG-11 at RM200m — can be removed or re-scoped before any later implementation decision without stranding the rest.</w:t>
      </w:r>
    </w:p>
    <w:p>
      <w:pPr>
        <w:pStyle w:val="BodyText"/>
      </w:pPr>
      <w:r>
        <w:rPr>
          <w:bCs/>
          <w:b/>
        </w:rPr>
        <w:t xml:space="preserve">9. What requires endorsement now, and what remains subject to validation?</w:t>
      </w:r>
      <w:r>
        <w:t xml:space="preserve"> </w:t>
      </w:r>
      <w:r>
        <w:t xml:space="preserve">Approval now is limited to policy direction, a 90-day validation exercise, interim coordination within existing resources, preparation of a formal implementation submission, and the rule that any additional validation budget must return separately as an itemised Treasury-cleared ceiling. The architecture, programme directions, central fiscal scenario and candidate Phase 1 package are endorsed only as design parameters. The final six-year envelope, all appropriations, unverified reallocations, PNB participation, state-dependent commitments and targets without verified baselines are expressly not approved.</w:t>
      </w:r>
    </w:p>
    <w:p>
      <w:pPr>
        <w:pStyle w:val="BodyText"/>
      </w:pPr>
      <w:r>
        <w:rPr>
          <w:bCs/>
          <w:b/>
        </w:rPr>
        <w:t xml:space="preserve">10. How will progress be independently measured and publicly reported?</w:t>
      </w:r>
      <w:r>
        <w:t xml:space="preserve"> </w:t>
      </w:r>
      <w:r>
        <w:t xml:space="preserve">Quarterly published dashboards; annual public report; annual Auditor-General audit tabled in Parliament; independent mid-term and final evaluations published in full. Publication is committed in advance so that selective disclosure is not available later.</w:t>
      </w:r>
    </w:p>
    <w:p>
      <w:r>
        <w:pict>
          <v:rect style="width:0;height:1.5pt" o:hralign="center" o:hrstd="t" o:hr="t"/>
        </w:pict>
      </w:r>
    </w:p>
    <w:bookmarkEnd w:id="66"/>
    <w:bookmarkStart w:id="67" w:name="Xf5d86473d559b99d6296fe47e3f55a222a3ee3d"/>
    <w:p>
      <w:pPr>
        <w:pStyle w:val="Heading1"/>
        <w:keepNext/>
      </w:pPr>
      <w:r>
        <w:t xml:space="preserve">11. Roadmap</w:t>
      </w:r>
    </w:p>
    <w:p>
      <w:pPr>
        <w:pStyle w:val="FirstParagraph"/>
      </w:pPr>
      <w:r>
        <w:t xml:space="preserve">This is an</w:t>
      </w:r>
      <w:r>
        <w:t xml:space="preserve"> </w:t>
      </w:r>
      <w:r>
        <w:rPr>
          <w:bCs/>
          <w:b/>
        </w:rPr>
        <w:t xml:space="preserve">indicative implementation roadmap</w:t>
      </w:r>
      <w:r>
        <w:t xml:space="preserve">, not an operative consequence of the preliminary decision. It begins only after a later Cabinet decision approves the relevant Phase 1 components, ceiling, legal basis and launch conditions.</w:t>
      </w:r>
    </w:p>
    <w:p>
      <w:pPr>
        <w:pStyle w:val="BodyText"/>
      </w:pPr>
      <w:r>
        <w:rPr>
          <w:bCs/>
          <w:b/>
        </w:rPr>
        <w:t xml:space="preserve">Phase 1, Year 1</w:t>
      </w:r>
      <w:r>
        <w:t xml:space="preserve"> </w:t>
      </w:r>
      <w:r>
        <w:t xml:space="preserve">— Permanent secretariat established if approved under VAL-23; first quarterly meeting; DOSM baseline survey commissioned; documentation caseload baseline published (month 9); all 528 SJKT audits commenced; DPIA completed and published before any household record operates; dashboard live.</w:t>
      </w:r>
      <w:r>
        <w:t xml:space="preserve"> </w:t>
      </w:r>
      <w:r>
        <w:rPr>
          <w:bCs/>
          <w:b/>
        </w:rPr>
        <w:t xml:space="preserve">Phase 1, Year 2</w:t>
      </w:r>
      <w:r>
        <w:t xml:space="preserve"> </w:t>
      </w:r>
      <w:r>
        <w:t xml:space="preserve">— SJKT remediation schedule published and safety-critical works commenced; preschool enrolment audit complete and subsidy operating; TVET first cohort; navigator cadre at 120; first grade-disaggregated civil service series published; first disaggregated matriculation series published; 12 of 16 indicators baselined.</w:t>
      </w:r>
      <w:r>
        <w:t xml:space="preserve"> </w:t>
      </w:r>
      <w:r>
        <w:rPr>
          <w:bCs/>
          <w:b/>
        </w:rPr>
        <w:t xml:space="preserve">Phase 2, Year 3</w:t>
      </w:r>
      <w:r>
        <w:t xml:space="preserve"> </w:t>
      </w:r>
      <w:r>
        <w:t xml:space="preserve">— Independent mid-term evaluation; housing legacy review tabled; enterprise advisory operating; savings instrument decision point.</w:t>
      </w:r>
      <w:r>
        <w:t xml:space="preserve"> </w:t>
      </w:r>
      <w:r>
        <w:rPr>
          <w:bCs/>
          <w:b/>
        </w:rPr>
        <w:t xml:space="preserve">Phase 2, Year 4</w:t>
      </w:r>
      <w:r>
        <w:t xml:space="preserve"> </w:t>
      </w:r>
      <w:r>
        <w:t xml:space="preserve">— Pathways at scale; all 16 indicators baselined with published outturns.</w:t>
      </w:r>
      <w:r>
        <w:t xml:space="preserve"> </w:t>
      </w:r>
      <w:r>
        <w:rPr>
          <w:bCs/>
          <w:b/>
        </w:rPr>
        <w:t xml:space="preserve">Phase 3, Years 5–6</w:t>
      </w:r>
      <w:r>
        <w:t xml:space="preserve"> </w:t>
      </w:r>
      <w:r>
        <w:t xml:space="preserve">— Consolidation; graduation measurement; final independent evaluation; successor arrangements recommended to Cabinet.</w:t>
      </w:r>
    </w:p>
    <w:p>
      <w:r>
        <w:pict>
          <v:rect style="width:0;height:1.5pt" o:hralign="center" o:hrstd="t" o:hr="t"/>
        </w:pict>
      </w:r>
    </w:p>
    <w:bookmarkEnd w:id="67"/>
    <w:bookmarkStart w:id="71" w:name="X287ce0655f34b6e5bc95dd48fc11aeabe19eef8"/>
    <w:p>
      <w:pPr>
        <w:pStyle w:val="Heading1"/>
        <w:keepNext/>
      </w:pPr>
      <w:r>
        <w:t xml:space="preserve">12. Decision resolution requested</w:t>
      </w:r>
    </w:p>
    <w:p>
      <w:pPr>
        <w:pStyle w:val="FirstParagraph"/>
      </w:pPr>
      <w:r>
        <w:t xml:space="preserve">Cabinet is respectfully invited to:</w:t>
      </w:r>
    </w:p>
    <w:bookmarkStart w:id="68" w:name="approve-now"/>
    <w:p>
      <w:pPr>
        <w:pStyle w:val="Heading2"/>
        <w:keepNext/>
      </w:pPr>
      <w:r>
        <w:t xml:space="preserve">Approve now</w:t>
      </w:r>
    </w:p>
    <w:p>
      <w:pPr>
        <w:numPr>
          <w:ilvl w:val="0"/>
          <w:numId w:val="1008"/>
        </w:numPr>
        <w:pStyle w:val="Compact"/>
      </w:pPr>
      <w:r>
        <w:rPr>
          <w:bCs/>
          <w:b/>
        </w:rPr>
        <w:t xml:space="preserve">AN-01:</w:t>
      </w:r>
      <w:r>
        <w:t xml:space="preserve"> </w:t>
      </w:r>
      <w:r>
        <w:t xml:space="preserve">Approve the policy direction and strategic objectives of MIB 2.0 as the basis for further government design and validation</w:t>
      </w:r>
    </w:p>
    <w:p>
      <w:pPr>
        <w:numPr>
          <w:ilvl w:val="0"/>
          <w:numId w:val="1008"/>
        </w:numPr>
        <w:pStyle w:val="Compact"/>
      </w:pPr>
      <w:r>
        <w:rPr>
          <w:bCs/>
          <w:b/>
        </w:rPr>
        <w:t xml:space="preserve">AN-02:</w:t>
      </w:r>
      <w:r>
        <w:t xml:space="preserve"> </w:t>
      </w:r>
      <w:r>
        <w:t xml:space="preserve">Authorise a 90-calendar-day cross-agency validation exercise beginning on the date of Cabinet notification</w:t>
      </w:r>
    </w:p>
    <w:p>
      <w:pPr>
        <w:numPr>
          <w:ilvl w:val="0"/>
          <w:numId w:val="1008"/>
        </w:numPr>
        <w:pStyle w:val="Compact"/>
      </w:pPr>
      <w:r>
        <w:rPr>
          <w:bCs/>
          <w:b/>
        </w:rPr>
        <w:t xml:space="preserve">AN-03:</w:t>
      </w:r>
      <w:r>
        <w:t xml:space="preserve"> </w:t>
      </w:r>
      <w:r>
        <w:t xml:space="preserve">Establish an interim coordination arrangement and require participating ministries and agencies to nominate accountable delivery officers and alternates</w:t>
      </w:r>
    </w:p>
    <w:p>
      <w:pPr>
        <w:numPr>
          <w:ilvl w:val="0"/>
          <w:numId w:val="1008"/>
        </w:numPr>
        <w:pStyle w:val="Compact"/>
      </w:pPr>
      <w:r>
        <w:rPr>
          <w:bCs/>
          <w:b/>
        </w:rPr>
        <w:t xml:space="preserve">AN-04:</w:t>
      </w:r>
      <w:r>
        <w:t xml:space="preserve"> </w:t>
      </w:r>
      <w:r>
        <w:t xml:space="preserve">Authorise preparation of a formal implementation submission after validation</w:t>
      </w:r>
    </w:p>
    <w:p>
      <w:pPr>
        <w:numPr>
          <w:ilvl w:val="0"/>
          <w:numId w:val="1008"/>
        </w:numPr>
        <w:pStyle w:val="Compact"/>
      </w:pPr>
      <w:r>
        <w:rPr>
          <w:bCs/>
          <w:b/>
        </w:rPr>
        <w:t xml:space="preserve">AN-05:</w:t>
      </w:r>
      <w:r>
        <w:t xml:space="preserve"> </w:t>
      </w:r>
      <w:r>
        <w:t xml:space="preserve">Require validation and design work to use existing approved resources unless a separate capped request is justified</w:t>
      </w:r>
    </w:p>
    <w:bookmarkEnd w:id="68"/>
    <w:bookmarkStart w:id="69" w:name="endorse-conditionally"/>
    <w:p>
      <w:pPr>
        <w:pStyle w:val="Heading2"/>
        <w:keepNext/>
      </w:pPr>
      <w:r>
        <w:t xml:space="preserve">Endorse conditionally</w:t>
      </w:r>
    </w:p>
    <w:p>
      <w:pPr>
        <w:numPr>
          <w:ilvl w:val="0"/>
          <w:numId w:val="1009"/>
        </w:numPr>
        <w:pStyle w:val="Compact"/>
      </w:pPr>
      <w:r>
        <w:rPr>
          <w:bCs/>
          <w:b/>
        </w:rPr>
        <w:t xml:space="preserve">CE-01:</w:t>
      </w:r>
      <w:r>
        <w:t xml:space="preserve"> </w:t>
      </w:r>
      <w:r>
        <w:t xml:space="preserve">Conditionally endorse the six-year architecture as the basis for validation and detailed design</w:t>
      </w:r>
    </w:p>
    <w:p>
      <w:pPr>
        <w:numPr>
          <w:ilvl w:val="0"/>
          <w:numId w:val="1009"/>
        </w:numPr>
        <w:pStyle w:val="Compact"/>
      </w:pPr>
      <w:r>
        <w:rPr>
          <w:bCs/>
          <w:b/>
        </w:rPr>
        <w:t xml:space="preserve">CE-02:</w:t>
      </w:r>
      <w:r>
        <w:t xml:space="preserve"> </w:t>
      </w:r>
      <w:r>
        <w:t xml:space="preserve">Conditionally endorse the central fiscal scenario as an indicative planning case only</w:t>
      </w:r>
    </w:p>
    <w:p>
      <w:pPr>
        <w:numPr>
          <w:ilvl w:val="0"/>
          <w:numId w:val="1009"/>
        </w:numPr>
        <w:pStyle w:val="Compact"/>
      </w:pPr>
      <w:r>
        <w:rPr>
          <w:bCs/>
          <w:b/>
        </w:rPr>
        <w:t xml:space="preserve">CE-03:</w:t>
      </w:r>
      <w:r>
        <w:t xml:space="preserve"> </w:t>
      </w:r>
      <w:r>
        <w:t xml:space="preserve">Conditionally endorse the sixteen retained substantive programme directions for detailed design</w:t>
      </w:r>
    </w:p>
    <w:p>
      <w:pPr>
        <w:numPr>
          <w:ilvl w:val="0"/>
          <w:numId w:val="1009"/>
        </w:numPr>
        <w:pStyle w:val="Compact"/>
      </w:pPr>
      <w:r>
        <w:rPr>
          <w:bCs/>
          <w:b/>
        </w:rPr>
        <w:t xml:space="preserve">CE-04:</w:t>
      </w:r>
      <w:r>
        <w:t xml:space="preserve"> </w:t>
      </w:r>
      <w:r>
        <w:t xml:space="preserve">Conditionally endorse Phase 1 as a candidate implementation package for a later decision</w:t>
      </w:r>
    </w:p>
    <w:bookmarkEnd w:id="69"/>
    <w:bookmarkStart w:id="70" w:name="record-as-not-approved-at-this-stage"/>
    <w:p>
      <w:pPr>
        <w:pStyle w:val="Heading2"/>
        <w:keepNext/>
      </w:pPr>
      <w:r>
        <w:t xml:space="preserve">Record as not approved at this stage</w:t>
      </w:r>
    </w:p>
    <w:p>
      <w:pPr>
        <w:numPr>
          <w:ilvl w:val="0"/>
          <w:numId w:val="1010"/>
        </w:numPr>
        <w:pStyle w:val="Compact"/>
      </w:pPr>
      <w:r>
        <w:rPr>
          <w:bCs/>
          <w:b/>
        </w:rPr>
        <w:t xml:space="preserve">NA-01:</w:t>
      </w:r>
      <w:r>
        <w:t xml:space="preserve"> </w:t>
      </w:r>
      <w:r>
        <w:t xml:space="preserve">Do not approve the final six-year fiscal envelope</w:t>
      </w:r>
    </w:p>
    <w:p>
      <w:pPr>
        <w:numPr>
          <w:ilvl w:val="0"/>
          <w:numId w:val="1010"/>
        </w:numPr>
        <w:pStyle w:val="Compact"/>
      </w:pPr>
      <w:r>
        <w:rPr>
          <w:bCs/>
          <w:b/>
        </w:rPr>
        <w:t xml:space="preserve">NA-02:</w:t>
      </w:r>
      <w:r>
        <w:t xml:space="preserve"> </w:t>
      </w:r>
      <w:r>
        <w:t xml:space="preserve">Do not approve or recognise unverified ministry reallocations as available funding</w:t>
      </w:r>
    </w:p>
    <w:p>
      <w:pPr>
        <w:numPr>
          <w:ilvl w:val="0"/>
          <w:numId w:val="1010"/>
        </w:numPr>
        <w:pStyle w:val="Compact"/>
      </w:pPr>
      <w:r>
        <w:rPr>
          <w:bCs/>
          <w:b/>
        </w:rPr>
        <w:t xml:space="preserve">NA-03:</w:t>
      </w:r>
      <w:r>
        <w:t xml:space="preserve"> </w:t>
      </w:r>
      <w:r>
        <w:t xml:space="preserve">Do not approve any Phase 1 appropriation or any Years 3–6 appropriation</w:t>
      </w:r>
    </w:p>
    <w:p>
      <w:pPr>
        <w:numPr>
          <w:ilvl w:val="0"/>
          <w:numId w:val="1010"/>
        </w:numPr>
        <w:pStyle w:val="Compact"/>
      </w:pPr>
      <w:r>
        <w:rPr>
          <w:bCs/>
          <w:b/>
        </w:rPr>
        <w:t xml:space="preserve">NA-04:</w:t>
      </w:r>
      <w:r>
        <w:t xml:space="preserve"> </w:t>
      </w:r>
      <w:r>
        <w:t xml:space="preserve">Do not approve or direct PNB participation in PRG-11</w:t>
      </w:r>
    </w:p>
    <w:p>
      <w:pPr>
        <w:numPr>
          <w:ilvl w:val="0"/>
          <w:numId w:val="1010"/>
        </w:numPr>
        <w:pStyle w:val="Compact"/>
      </w:pPr>
      <w:r>
        <w:rPr>
          <w:bCs/>
          <w:b/>
        </w:rPr>
        <w:t xml:space="preserve">NA-05:</w:t>
      </w:r>
      <w:r>
        <w:t xml:space="preserve"> </w:t>
      </w:r>
      <w:r>
        <w:t xml:space="preserve">Do not approve commitments dependent on states, local authorities, trustees or religious authorities</w:t>
      </w:r>
    </w:p>
    <w:p>
      <w:pPr>
        <w:numPr>
          <w:ilvl w:val="0"/>
          <w:numId w:val="1010"/>
        </w:numPr>
        <w:pStyle w:val="Compact"/>
      </w:pPr>
      <w:r>
        <w:rPr>
          <w:bCs/>
          <w:b/>
        </w:rPr>
        <w:t xml:space="preserve">NA-06:</w:t>
      </w:r>
      <w:r>
        <w:t xml:space="preserve"> </w:t>
      </w:r>
      <w:r>
        <w:t xml:space="preserve">Do not approve programme outcome targets whose baselines are not verified</w:t>
      </w:r>
    </w:p>
    <w:p>
      <w:pPr>
        <w:numPr>
          <w:ilvl w:val="0"/>
          <w:numId w:val="1010"/>
        </w:numPr>
        <w:pStyle w:val="Compact"/>
      </w:pPr>
      <w:r>
        <w:rPr>
          <w:bCs/>
          <w:b/>
        </w:rPr>
        <w:t xml:space="preserve">NA-07:</w:t>
      </w:r>
      <w:r>
        <w:t xml:space="preserve"> </w:t>
      </w:r>
      <w:r>
        <w:t xml:space="preserve">Do not approve permanent-establishment, statutory, procurement or contractual consequences</w:t>
      </w:r>
    </w:p>
    <w:p>
      <w:pPr>
        <w:pStyle w:val="FirstParagraph"/>
      </w:pPr>
      <w:r>
        <w:t xml:space="preserve">For avoidance of doubt, this resolution creates no appropriation, procurement authority, statutory power, permanent establishment, programme launch, third-party commitment or beneficiary entitlement. Any later implementation authority must identify the approved programme components, ceiling, funding source, accounting officer, legal basis, launch conditions and review gate.</w:t>
      </w:r>
    </w:p>
    <w:p>
      <w:r>
        <w:pict>
          <v:rect style="width:0;height:1.5pt" o:hralign="center" o:hrstd="t" o:hr="t"/>
        </w:pict>
      </w:r>
    </w:p>
    <w:p>
      <w:pPr>
        <w:pStyle w:val="FirstParagraph"/>
      </w:pPr>
      <w:r>
        <w:rPr>
          <w:iCs/>
          <w:i/>
        </w:rPr>
        <w:t xml:space="preserve">Technical detail, full registers, the costing model and the machine-verification results are in</w:t>
      </w:r>
      <w:r>
        <w:rPr>
          <w:iCs/>
          <w:i/>
        </w:rPr>
        <w:t xml:space="preserve"> </w:t>
      </w:r>
      <w:r>
        <w:rPr>
          <w:rStyle w:val="VerbatimChar"/>
          <w:iCs/>
          <w:i/>
        </w:rPr>
        <w:t xml:space="preserve">TECHNICAL_ANNEXES.md</w:t>
      </w:r>
      <w:r>
        <w:rPr>
          <w:iCs/>
          <w:i/>
        </w:rPr>
        <w:t xml:space="preserve"> </w:t>
      </w:r>
      <w:r>
        <w:rPr>
          <w:iCs/>
          <w:i/>
        </w:rPr>
        <w:t xml:space="preserve">and the accompanying CSV registers. Material caveats are stated in this document, not relegated to the annexes.</w:t>
      </w:r>
    </w:p>
    <w:bookmarkEnd w:id="70"/>
    <w:bookmarkEnd w:id="71"/>
    <w:bookmarkStart w:id="89" w:name="mib-20--technical-annexes"/>
    <w:p>
      <w:pPr>
        <w:pStyle w:val="Heading1"/>
        <w:keepNext/>
      </w:pPr>
      <w:r>
        <w:t xml:space="preserve">MIB 2.0 — Technical Annexes</w:t>
      </w:r>
    </w:p>
    <w:p>
      <w:pPr>
        <w:pStyle w:val="FirstParagraph"/>
      </w:pPr>
      <w:r>
        <w:t xml:space="preserve">Companion to</w:t>
      </w:r>
      <w:r>
        <w:t xml:space="preserve"> </w:t>
      </w:r>
      <w:r>
        <w:rPr>
          <w:rStyle w:val="VerbatimChar"/>
        </w:rPr>
        <w:t xml:space="preserve">MIB_2.0_EXECUTIVE_PROPOSAL.md</w:t>
      </w:r>
      <w:r>
        <w:t xml:space="preserve">. All figures 2026 nominal ringgit, price base year 2026.</w:t>
      </w:r>
      <w:r>
        <w:t xml:space="preserve"> </w:t>
      </w:r>
      <w:r>
        <w:t xml:space="preserve">These annexes contain technical detail only.</w:t>
      </w:r>
      <w:r>
        <w:t xml:space="preserve"> </w:t>
      </w:r>
      <w:r>
        <w:rPr>
          <w:bCs/>
          <w:b/>
        </w:rPr>
        <w:t xml:space="preserve">All material caveats appear in the proposal body itself</w:t>
      </w:r>
      <w:r>
        <w:t xml:space="preserve">, not solely here.</w:t>
      </w:r>
    </w:p>
    <w:p>
      <w:r>
        <w:pict>
          <v:rect style="width:0;height:1.5pt" o:hralign="center" o:hrstd="t" o:hr="t"/>
        </w:pict>
      </w:r>
    </w:p>
    <w:bookmarkStart w:id="76" w:name="X94a4531e50ab4548dac2d7a01f08d115f0435ca"/>
    <w:p>
      <w:pPr>
        <w:pStyle w:val="Heading2"/>
        <w:keepNext/>
      </w:pPr>
      <w:r>
        <w:t xml:space="preserve">Annex A — Six-year costing model, central scenario</w:t>
      </w:r>
    </w:p>
    <w:p>
      <w:pPr>
        <w:pStyle w:val="FirstParagraph"/>
      </w:pPr>
      <w:r>
        <w:t xml:space="preserve">Generated by</w:t>
      </w:r>
      <w:r>
        <w:t xml:space="preserve"> </w:t>
      </w:r>
      <w:r>
        <w:rPr>
          <w:rStyle w:val="VerbatimChar"/>
        </w:rPr>
        <w:t xml:space="preserve">build_costing.py</w:t>
      </w:r>
      <w:r>
        <w:t xml:space="preserve"> </w:t>
      </w:r>
      <w:r>
        <w:t xml:space="preserve">from</w:t>
      </w:r>
      <w:r>
        <w:t xml:space="preserve"> </w:t>
      </w:r>
      <w:r>
        <w:rPr>
          <w:rStyle w:val="VerbatimChar"/>
        </w:rPr>
        <w:t xml:space="preserve">COSTING_ASSUMPTIONS.csv</w:t>
      </w:r>
      <w:r>
        <w:t xml:space="preserve">; this entire annex section is generated by</w:t>
      </w:r>
      <w:r>
        <w:t xml:space="preserve"> </w:t>
      </w:r>
      <w:r>
        <w:rPr>
          <w:rStyle w:val="VerbatimChar"/>
        </w:rPr>
        <w:t xml:space="preserve">sync_document_integrity.py</w:t>
      </w:r>
      <w:r>
        <w:t xml:space="preserve"> </w:t>
      </w:r>
      <w:r>
        <w:t xml:space="preserve">and verified by</w:t>
      </w:r>
      <w:r>
        <w:t xml:space="preserve"> </w:t>
      </w:r>
      <w:r>
        <w:rPr>
          <w:rStyle w:val="VerbatimChar"/>
        </w:rPr>
        <w:t xml:space="preserve">verify_outputs.py</w:t>
      </w:r>
      <w:r>
        <w:t xml:space="preserve">.</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675"/>
        <w:gridCol w:w="1127"/>
        <w:gridCol w:w="896"/>
        <w:gridCol w:w="1109"/>
        <w:gridCol w:w="684"/>
        <w:gridCol w:w="684"/>
        <w:gridCol w:w="684"/>
        <w:gridCol w:w="703"/>
        <w:gridCol w:w="693"/>
        <w:gridCol w:w="693"/>
        <w:gridCol w:w="684"/>
        <w:gridCol w:w="728"/>
      </w:tblGrid>
      <w:tr>
        <w:trPr>
          <w:tblHeader w:val="true"/>
          <w:cantSplit w:val="true"/>
          <w:tblHeader w:val="true"/>
        </w:trPr>
        <w:tc>
          <w:tcPr>
            <w:tcW w:w="675" w:type="dxa"/>
            <w:tcMar>
              <w:top w:w="60" w:type="dxa"/>
              <w:start w:w="60" w:type="dxa"/>
              <w:bottom w:w="60" w:type="dxa"/>
              <w:end w:w="60" w:type="dxa"/>
            </w:tcMar>
            <w:vAlign w:val="center"/>
            <w:shd w:fill="F4F6F9"/>
          </w:tcPr>
          <w:p>
            <w:pPr>
              <w:pStyle w:val="Compact"/>
              <w:spacing w:before="0" w:after="40" w:line="240" w:lineRule="auto"/>
              <w:jc w:val="left"/>
            </w:pPr>
            <w:r>
              <w:rPr>
                <w:rFonts w:ascii="Calibri" w:hAnsi="Calibri"/>
                <w:b/>
                <w:color w:val="0B2545"/>
                <w:sz w:val="14"/>
              </w:rPr>
              <w:t xml:space="preserve">ID</w:t>
            </w:r>
          </w:p>
        </w:tc>
        <w:tc>
          <w:tcPr>
            <w:tcW w:w="1127" w:type="dxa"/>
            <w:tcMar>
              <w:top w:w="60" w:type="dxa"/>
              <w:start w:w="60" w:type="dxa"/>
              <w:bottom w:w="60" w:type="dxa"/>
              <w:end w:w="60" w:type="dxa"/>
            </w:tcMar>
            <w:vAlign w:val="center"/>
            <w:shd w:fill="F4F6F9"/>
          </w:tcPr>
          <w:p>
            <w:pPr>
              <w:pStyle w:val="Compact"/>
              <w:spacing w:before="0" w:after="40" w:line="240" w:lineRule="auto"/>
              <w:jc w:val="left"/>
            </w:pPr>
            <w:r>
              <w:rPr>
                <w:rFonts w:ascii="Calibri" w:hAnsi="Calibri"/>
                <w:b/>
                <w:color w:val="0B2545"/>
                <w:sz w:val="14"/>
              </w:rPr>
              <w:t xml:space="preserve">Programme</w:t>
            </w:r>
          </w:p>
        </w:tc>
        <w:tc>
          <w:tcPr>
            <w:tcW w:w="896" w:type="dxa"/>
            <w:tcMar>
              <w:top w:w="60" w:type="dxa"/>
              <w:start w:w="60" w:type="dxa"/>
              <w:bottom w:w="60" w:type="dxa"/>
              <w:end w:w="60" w:type="dxa"/>
            </w:tcMar>
            <w:vAlign w:val="center"/>
            <w:shd w:fill="F4F6F9"/>
          </w:tcPr>
          <w:p>
            <w:pPr>
              <w:pStyle w:val="Compact"/>
              <w:spacing w:before="0" w:after="40" w:line="240" w:lineRule="auto"/>
              <w:jc w:val="left"/>
            </w:pPr>
            <w:r>
              <w:rPr>
                <w:rFonts w:ascii="Calibri" w:hAnsi="Calibri"/>
                <w:b/>
                <w:color w:val="0B2545"/>
                <w:sz w:val="14"/>
              </w:rPr>
              <w:t xml:space="preserve">Pillar</w:t>
            </w:r>
          </w:p>
        </w:tc>
        <w:tc>
          <w:tcPr>
            <w:tcW w:w="1109" w:type="dxa"/>
            <w:tcMar>
              <w:top w:w="60" w:type="dxa"/>
              <w:start w:w="60" w:type="dxa"/>
              <w:bottom w:w="60" w:type="dxa"/>
              <w:end w:w="60" w:type="dxa"/>
            </w:tcMar>
            <w:vAlign w:val="center"/>
            <w:shd w:fill="F4F6F9"/>
          </w:tcPr>
          <w:p>
            <w:pPr>
              <w:pStyle w:val="Compact"/>
              <w:spacing w:before="0" w:after="40" w:line="240" w:lineRule="auto"/>
              <w:jc w:val="left"/>
            </w:pPr>
            <w:r>
              <w:rPr>
                <w:rFonts w:ascii="Calibri" w:hAnsi="Calibri"/>
                <w:b/>
                <w:color w:val="0B2545"/>
                <w:sz w:val="14"/>
              </w:rPr>
              <w:t xml:space="preserve">Lead ministry</w:t>
            </w:r>
          </w:p>
        </w:tc>
        <w:tc>
          <w:tcPr>
            <w:tcW w:w="684" w:type="dxa"/>
            <w:tcMar>
              <w:top w:w="60" w:type="dxa"/>
              <w:start w:w="60" w:type="dxa"/>
              <w:bottom w:w="60" w:type="dxa"/>
              <w:end w:w="60" w:type="dxa"/>
            </w:tcMar>
            <w:vAlign w:val="center"/>
            <w:shd w:fill="F4F6F9"/>
          </w:tcPr>
          <w:p>
            <w:pPr>
              <w:pStyle w:val="Compact"/>
              <w:spacing w:before="0" w:after="40" w:line="240" w:lineRule="auto"/>
              <w:jc w:val="right"/>
            </w:pPr>
            <w:r>
              <w:rPr>
                <w:rFonts w:ascii="Calibri" w:hAnsi="Calibri"/>
                <w:b/>
                <w:color w:val="0B2545"/>
                <w:sz w:val="14"/>
              </w:rPr>
              <w:t xml:space="preserve">Yrs 1–2</w:t>
            </w:r>
          </w:p>
        </w:tc>
        <w:tc>
          <w:tcPr>
            <w:tcW w:w="684" w:type="dxa"/>
            <w:tcMar>
              <w:top w:w="60" w:type="dxa"/>
              <w:start w:w="60" w:type="dxa"/>
              <w:bottom w:w="60" w:type="dxa"/>
              <w:end w:w="60" w:type="dxa"/>
            </w:tcMar>
            <w:vAlign w:val="center"/>
            <w:shd w:fill="F4F6F9"/>
          </w:tcPr>
          <w:p>
            <w:pPr>
              <w:pStyle w:val="Compact"/>
              <w:spacing w:before="0" w:after="40" w:line="240" w:lineRule="auto"/>
              <w:jc w:val="right"/>
            </w:pPr>
            <w:r>
              <w:rPr>
                <w:rFonts w:ascii="Calibri" w:hAnsi="Calibri"/>
                <w:b/>
                <w:color w:val="0B2545"/>
                <w:sz w:val="14"/>
              </w:rPr>
              <w:t xml:space="preserve">Yrs 3–4</w:t>
            </w:r>
          </w:p>
        </w:tc>
        <w:tc>
          <w:tcPr>
            <w:tcW w:w="684" w:type="dxa"/>
            <w:tcMar>
              <w:top w:w="60" w:type="dxa"/>
              <w:start w:w="60" w:type="dxa"/>
              <w:bottom w:w="60" w:type="dxa"/>
              <w:end w:w="60" w:type="dxa"/>
            </w:tcMar>
            <w:vAlign w:val="center"/>
            <w:shd w:fill="F4F6F9"/>
          </w:tcPr>
          <w:p>
            <w:pPr>
              <w:pStyle w:val="Compact"/>
              <w:spacing w:before="0" w:after="40" w:line="240" w:lineRule="auto"/>
              <w:jc w:val="right"/>
            </w:pPr>
            <w:r>
              <w:rPr>
                <w:rFonts w:ascii="Calibri" w:hAnsi="Calibri"/>
                <w:b/>
                <w:color w:val="0B2545"/>
                <w:sz w:val="14"/>
              </w:rPr>
              <w:t xml:space="preserve">Yrs 5–6</w:t>
            </w:r>
          </w:p>
        </w:tc>
        <w:tc>
          <w:tcPr>
            <w:tcW w:w="703" w:type="dxa"/>
            <w:tcMar>
              <w:top w:w="60" w:type="dxa"/>
              <w:start w:w="60" w:type="dxa"/>
              <w:bottom w:w="60" w:type="dxa"/>
              <w:end w:w="60" w:type="dxa"/>
            </w:tcMar>
            <w:vAlign w:val="center"/>
            <w:shd w:fill="F4F6F9"/>
          </w:tcPr>
          <w:p>
            <w:pPr>
              <w:pStyle w:val="Compact"/>
              <w:spacing w:before="0" w:after="40" w:line="240" w:lineRule="auto"/>
              <w:jc w:val="right"/>
            </w:pPr>
            <w:r>
              <w:rPr>
                <w:bCs/>
                <w:rFonts w:ascii="Calibri" w:hAnsi="Calibri"/>
                <w:b/>
                <w:color w:val="0B2545"/>
                <w:sz w:val="14"/>
              </w:rPr>
              <w:t xml:space="preserve">Total</w:t>
            </w:r>
          </w:p>
        </w:tc>
        <w:tc>
          <w:tcPr>
            <w:tcW w:w="693" w:type="dxa"/>
            <w:tcMar>
              <w:top w:w="60" w:type="dxa"/>
              <w:start w:w="60" w:type="dxa"/>
              <w:bottom w:w="60" w:type="dxa"/>
              <w:end w:w="60" w:type="dxa"/>
            </w:tcMar>
            <w:vAlign w:val="center"/>
            <w:shd w:fill="F4F6F9"/>
          </w:tcPr>
          <w:p>
            <w:pPr>
              <w:pStyle w:val="Compact"/>
              <w:spacing w:before="0" w:after="40" w:line="240" w:lineRule="auto"/>
              <w:jc w:val="right"/>
            </w:pPr>
            <w:r>
              <w:rPr>
                <w:rFonts w:ascii="Calibri" w:hAnsi="Calibri"/>
                <w:b/>
                <w:color w:val="0B2545"/>
                <w:sz w:val="14"/>
              </w:rPr>
              <w:t xml:space="preserve">Existing</w:t>
            </w:r>
          </w:p>
        </w:tc>
        <w:tc>
          <w:tcPr>
            <w:tcW w:w="693" w:type="dxa"/>
            <w:tcMar>
              <w:top w:w="60" w:type="dxa"/>
              <w:start w:w="60" w:type="dxa"/>
              <w:bottom w:w="60" w:type="dxa"/>
              <w:end w:w="60" w:type="dxa"/>
            </w:tcMar>
            <w:vAlign w:val="center"/>
            <w:shd w:fill="F4F6F9"/>
          </w:tcPr>
          <w:p>
            <w:pPr>
              <w:pStyle w:val="Compact"/>
              <w:spacing w:before="0" w:after="40" w:line="240" w:lineRule="auto"/>
              <w:jc w:val="right"/>
            </w:pPr>
            <w:r>
              <w:rPr>
                <w:rFonts w:ascii="Calibri" w:hAnsi="Calibri"/>
                <w:b/>
                <w:color w:val="0B2545"/>
                <w:sz w:val="14"/>
              </w:rPr>
              <w:t xml:space="preserve">Realloc.</w:t>
            </w:r>
          </w:p>
        </w:tc>
        <w:tc>
          <w:tcPr>
            <w:tcW w:w="684" w:type="dxa"/>
            <w:tcMar>
              <w:top w:w="60" w:type="dxa"/>
              <w:start w:w="60" w:type="dxa"/>
              <w:bottom w:w="60" w:type="dxa"/>
              <w:end w:w="60" w:type="dxa"/>
            </w:tcMar>
            <w:vAlign w:val="center"/>
            <w:shd w:fill="F4F6F9"/>
          </w:tcPr>
          <w:p>
            <w:pPr>
              <w:pStyle w:val="Compact"/>
              <w:spacing w:before="0" w:after="40" w:line="240" w:lineRule="auto"/>
              <w:jc w:val="right"/>
            </w:pPr>
            <w:r>
              <w:rPr>
                <w:bCs/>
                <w:rFonts w:ascii="Calibri" w:hAnsi="Calibri"/>
                <w:b/>
                <w:color w:val="0B2545"/>
                <w:sz w:val="14"/>
              </w:rPr>
              <w:t xml:space="preserve">New</w:t>
            </w:r>
          </w:p>
        </w:tc>
        <w:tc>
          <w:tcPr>
            <w:tcW w:w="728" w:type="dxa"/>
            <w:tcMar>
              <w:top w:w="60" w:type="dxa"/>
              <w:start w:w="60" w:type="dxa"/>
              <w:bottom w:w="60" w:type="dxa"/>
              <w:end w:w="60" w:type="dxa"/>
            </w:tcMar>
            <w:vAlign w:val="center"/>
            <w:shd w:fill="F4F6F9"/>
          </w:tcPr>
          <w:p>
            <w:pPr>
              <w:pStyle w:val="Compact"/>
              <w:spacing w:before="0" w:after="40" w:line="240" w:lineRule="auto"/>
              <w:jc w:val="left"/>
            </w:pPr>
            <w:r>
              <w:rPr>
                <w:rFonts w:ascii="Calibri" w:hAnsi="Calibri"/>
                <w:b/>
                <w:color w:val="0B2545"/>
                <w:sz w:val="14"/>
              </w:rPr>
              <w:t xml:space="preserve">Confidence</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PRG-01</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National Documentation Resolution Programme</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P1 Foundations</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Ministry of Home Affairs (JPN)</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14.600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7.000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4.500</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26.100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5.220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7.830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13.050</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Benchmarked</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PRG-02</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Early Childhood Access Programme</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P1 Foundations</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Ministry of Education</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53.760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94.080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107.520</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255.360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89.376</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38.304</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127.680</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Provisional</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PRG-03</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SJKT Safety and Learning Environment Programme</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P1 Foundations</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Ministry of Education</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60.720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50.952</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21.384</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133.056</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26.611</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13.306</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93.139</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Provisional</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PRG-04</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Multi-Faith Community Institution Safety and Compliance Programme</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P1 Foundations</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Ministry of National Unity</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16.400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14.000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14.000</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44.400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4.440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15.540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24.420</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Provisional</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PRG-05</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School-to-Pathway Guidance and Placement Support</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P2 Progression</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Ministry of Education</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9.800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4.800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4.800</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19.400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7.760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1.940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9.700</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Provisional</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PRG-06</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TVET and STEM Progression Pipeline</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P2 Progression</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Ministry of Human Resources</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46.500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93.000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139.500</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279.000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125.550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41.850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111.600</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Benchmarked</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PRG-07</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Tertiary Access Navigation and Transparency</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P2 Progression</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Ministry of Education</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6.000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6.000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6.000</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18.000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9.000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1.800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7.200</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Provisional</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PRG-08</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Professional Entry and Mentoring</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P2 Progression</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Ministry of Higher Education</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0.000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4.000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4.000</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8.000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2.400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1.600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4.000</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Provisional</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PRG-09</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Household Progression Programme</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P3 Livelihoods</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Prime Minister's Department</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29.280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44.320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59.600</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133.200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13.320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53.280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66.600</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Benchmarked</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PRG-10</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Microenterprise Growth and Vendor Capability Programme</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P3 Livelihoods</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Ministry of Entrepreneur and Cooperatives Development</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0.000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18.000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18.000</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36.000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12.600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9.000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14.400</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Provisional</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PRG-11</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Household Savings and Asset Accumulation Scheme</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P3 Livelihoods</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Ministry of Finance</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30.000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70.000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100.000</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200.000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0.000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40.000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160.000</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Provisional</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PRG-12</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Housing Access and Estate Legacy Resolution</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P3 Livelihoods</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Ministry of Housing and Local Government</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14.000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30.000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34.000</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78.000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23.400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7.800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46.800</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Provisional</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PRG-13</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Public Service Application Pipeline Programme</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P4 Institutional Participation</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Public Service Department (JPA)</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7.000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7.000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7.000</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21.000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7.350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2.100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11.550</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Provisional</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PRG-14</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Public Service Professional Advancement</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P4 Institutional Participation</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Public Service Department (JPA)</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0.000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4.000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4.000</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8.000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4.800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0.400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2.800</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Provisional</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PRG-15</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Task Force and Delivery Secretariat</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X Delivery</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Prime Minister's Department</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11.700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11.700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11.700</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35.100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3.510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15.795</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15.795</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Benchmarked</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PRG-16</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Data, Evaluation and Public Reporting</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X Delivery</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Prime Minister's Department</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18.000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7.000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8.000</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33.000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3.300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8.250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21.450</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Provisional</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Portfolio administration overhead</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X Delivery</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All lead ministries</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12.710</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18.634</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21.760</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53.104</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0.000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13.276</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39.828</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Provisional</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w:t>
            </w:r>
          </w:p>
        </w:tc>
        <w:tc>
          <w:tcPr>
            <w:tcW w:w="1127"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Portfolio contingency</w:t>
            </w:r>
          </w:p>
        </w:tc>
        <w:tc>
          <w:tcPr>
            <w:tcW w:w="896"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X Delivery</w:t>
            </w:r>
          </w:p>
        </w:tc>
        <w:tc>
          <w:tcPr>
            <w:tcW w:w="1109"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Ministry of Finance</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24.785</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36.336</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42.432</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103.553</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0.000</w:t>
            </w:r>
          </w:p>
        </w:tc>
        <w:tc>
          <w:tcPr>
            <w:tcW w:w="693"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25.888</w:t>
            </w:r>
          </w:p>
        </w:tc>
        <w:tc>
          <w:tcPr>
            <w:tcW w:w="684" w:type="dxa"/>
            <w:tcMar>
              <w:top w:w="60" w:type="dxa"/>
              <w:start w:w="60" w:type="dxa"/>
              <w:bottom w:w="60" w:type="dxa"/>
              <w:end w:w="60" w:type="dxa"/>
            </w:tcMar>
            <w:vAlign w:val="center"/>
          </w:tcPr>
          <w:p>
            <w:pPr>
              <w:pStyle w:val="Compact"/>
              <w:spacing w:before="0" w:after="40" w:line="240" w:lineRule="auto"/>
              <w:jc w:val="right"/>
            </w:pPr>
            <w:r>
              <w:rPr>
                <w:rFonts w:ascii="Calibri" w:hAnsi="Calibri"/>
                <w:color w:val="0B2545"/>
                <w:sz w:val="14"/>
              </w:rPr>
              <w:t xml:space="preserve">77.665</w:t>
            </w:r>
          </w:p>
        </w:tc>
        <w:tc>
          <w:tcPr>
            <w:tcW w:w="728" w:type="dxa"/>
            <w:tcMar>
              <w:top w:w="60" w:type="dxa"/>
              <w:start w:w="60" w:type="dxa"/>
              <w:bottom w:w="60" w:type="dxa"/>
              <w:end w:w="60" w:type="dxa"/>
            </w:tcMar>
            <w:vAlign w:val="center"/>
          </w:tcPr>
          <w:p>
            <w:pPr>
              <w:pStyle w:val="Compact"/>
              <w:spacing w:before="0" w:after="40" w:line="240" w:lineRule="auto"/>
              <w:jc w:val="left"/>
            </w:pPr>
            <w:r>
              <w:rPr>
                <w:rFonts w:ascii="Calibri" w:hAnsi="Calibri"/>
                <w:color w:val="0B2545"/>
                <w:sz w:val="14"/>
              </w:rPr>
              <w:t xml:space="preserve">Provisional</w:t>
            </w:r>
          </w:p>
        </w:tc>
      </w:tr>
      <w:tr>
        <w:trPr>
          <w:cantSplit w:val="true"/>
        </w:trPr>
        <w:tc>
          <w:tcPr>
            <w:tcW w:w="675" w:type="dxa"/>
            <w:tcMar>
              <w:top w:w="60" w:type="dxa"/>
              <w:start w:w="60" w:type="dxa"/>
              <w:bottom w:w="60" w:type="dxa"/>
              <w:end w:w="60" w:type="dxa"/>
            </w:tcMar>
            <w:vAlign w:val="center"/>
          </w:tcPr>
          <w:p>
            <w:pPr>
              <w:pStyle w:val="Compact"/>
              <w:spacing w:before="0" w:after="40" w:line="240" w:lineRule="auto"/>
            </w:pPr>
          </w:p>
        </w:tc>
        <w:tc>
          <w:tcPr>
            <w:tcW w:w="1127" w:type="dxa"/>
            <w:tcMar>
              <w:top w:w="60" w:type="dxa"/>
              <w:start w:w="60" w:type="dxa"/>
              <w:bottom w:w="60" w:type="dxa"/>
              <w:end w:w="60" w:type="dxa"/>
            </w:tcMar>
            <w:vAlign w:val="center"/>
          </w:tcPr>
          <w:p>
            <w:pPr>
              <w:pStyle w:val="Compact"/>
              <w:spacing w:before="0" w:after="40" w:line="240" w:lineRule="auto"/>
              <w:jc w:val="left"/>
            </w:pPr>
            <w:r>
              <w:rPr>
                <w:bCs/>
                <w:rFonts w:ascii="Calibri" w:hAnsi="Calibri"/>
                <w:b/>
                <w:color w:val="0B2545"/>
                <w:sz w:val="14"/>
              </w:rPr>
              <w:t xml:space="preserve">TOTAL</w:t>
            </w:r>
          </w:p>
        </w:tc>
        <w:tc>
          <w:tcPr>
            <w:tcW w:w="896" w:type="dxa"/>
            <w:tcMar>
              <w:top w:w="60" w:type="dxa"/>
              <w:start w:w="60" w:type="dxa"/>
              <w:bottom w:w="60" w:type="dxa"/>
              <w:end w:w="60" w:type="dxa"/>
            </w:tcMar>
            <w:vAlign w:val="center"/>
          </w:tcPr>
          <w:p>
            <w:pPr>
              <w:pStyle w:val="Compact"/>
              <w:spacing w:before="0" w:after="40" w:line="240" w:lineRule="auto"/>
            </w:pPr>
          </w:p>
        </w:tc>
        <w:tc>
          <w:tcPr>
            <w:tcW w:w="1109" w:type="dxa"/>
            <w:tcMar>
              <w:top w:w="60" w:type="dxa"/>
              <w:start w:w="60" w:type="dxa"/>
              <w:bottom w:w="60" w:type="dxa"/>
              <w:end w:w="60" w:type="dxa"/>
            </w:tcMar>
            <w:vAlign w:val="center"/>
          </w:tcPr>
          <w:p>
            <w:pPr>
              <w:pStyle w:val="Compact"/>
              <w:spacing w:before="0" w:after="40" w:line="240" w:lineRule="auto"/>
            </w:pPr>
          </w:p>
        </w:tc>
        <w:tc>
          <w:tcPr>
            <w:tcW w:w="684"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355.255</w:t>
            </w:r>
          </w:p>
        </w:tc>
        <w:tc>
          <w:tcPr>
            <w:tcW w:w="684"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520.822</w:t>
            </w:r>
          </w:p>
        </w:tc>
        <w:tc>
          <w:tcPr>
            <w:tcW w:w="684"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608.196</w:t>
            </w:r>
          </w:p>
        </w:tc>
        <w:tc>
          <w:tcPr>
            <w:tcW w:w="70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1,484.273</w:t>
            </w:r>
          </w:p>
        </w:tc>
        <w:tc>
          <w:tcPr>
            <w:tcW w:w="69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338.637</w:t>
            </w:r>
          </w:p>
        </w:tc>
        <w:tc>
          <w:tcPr>
            <w:tcW w:w="693"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297.959</w:t>
            </w:r>
          </w:p>
        </w:tc>
        <w:tc>
          <w:tcPr>
            <w:tcW w:w="684" w:type="dxa"/>
            <w:tcMar>
              <w:top w:w="60" w:type="dxa"/>
              <w:start w:w="60" w:type="dxa"/>
              <w:bottom w:w="60" w:type="dxa"/>
              <w:end w:w="60" w:type="dxa"/>
            </w:tcMar>
            <w:vAlign w:val="center"/>
          </w:tcPr>
          <w:p>
            <w:pPr>
              <w:pStyle w:val="Compact"/>
              <w:spacing w:before="0" w:after="40" w:line="240" w:lineRule="auto"/>
              <w:jc w:val="right"/>
            </w:pPr>
            <w:r>
              <w:rPr>
                <w:bCs/>
                <w:rFonts w:ascii="Calibri" w:hAnsi="Calibri"/>
                <w:b/>
                <w:color w:val="0B2545"/>
                <w:sz w:val="14"/>
              </w:rPr>
              <w:t xml:space="preserve">847.677</w:t>
            </w:r>
          </w:p>
        </w:tc>
        <w:tc>
          <w:tcPr>
            <w:tcW w:w="728" w:type="dxa"/>
            <w:tcMar>
              <w:top w:w="60" w:type="dxa"/>
              <w:start w:w="60" w:type="dxa"/>
              <w:bottom w:w="60" w:type="dxa"/>
              <w:end w:w="60" w:type="dxa"/>
            </w:tcMar>
            <w:vAlign w:val="center"/>
          </w:tcPr>
          <w:p>
            <w:pPr>
              <w:pStyle w:val="Compact"/>
              <w:spacing w:before="0" w:after="40" w:line="240" w:lineRule="auto"/>
            </w:pPr>
          </w:p>
        </w:tc>
      </w:tr>
    </w:tbl>
    <w:p>
      <w:pPr>
        <w:pStyle w:val="BodyText"/>
      </w:pPr>
      <w:r>
        <w:rPr>
          <w:iCs/>
          <w:i/>
        </w:rPr>
        <w:t xml:space="preserve">Portfolio-count convention: 16 retained substantive programme rows plus 2 portfolio-level financial rows (administration and contingency) = 18 central-scenario cost lines. The programme register separately preserves 5 non-retained source proposals for auditability.</w:t>
      </w:r>
    </w:p>
    <w:p>
      <w:pPr>
        <w:pStyle w:val="BodyText"/>
      </w:pPr>
      <w:r>
        <w:rPr>
          <w:iCs/>
          <w:i/>
        </w:rPr>
        <w:t xml:space="preserve">Column check: 355.255 + 520.822 + 608.196 = 1,484.273. Funding check: 338.637 + 297.959 + 847.677 = 1,484.273. Both are machine-verified.</w:t>
      </w:r>
    </w:p>
    <w:bookmarkStart w:id="72" w:name="a1-reconciliation-by-pillar"/>
    <w:p>
      <w:pPr>
        <w:pStyle w:val="Heading3"/>
        <w:keepNext/>
      </w:pPr>
      <w:r>
        <w:t xml:space="preserve">A.1 Reconciliation by pillar</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5019"/>
        <w:gridCol w:w="2656"/>
        <w:gridCol w:w="1685"/>
      </w:tblGrid>
      <w:tr>
        <w:trPr>
          <w:tblHeader w:val="true"/>
          <w:cantSplit w:val="true"/>
          <w:tblHeader w:val="true"/>
        </w:trPr>
        <w:tc>
          <w:tcPr>
            <w:tcW w:w="5019"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Pillar</w:t>
            </w:r>
          </w:p>
        </w:tc>
        <w:tc>
          <w:tcPr>
            <w:tcW w:w="2656"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7"/>
              </w:rPr>
              <w:t xml:space="preserve">Central total</w:t>
            </w:r>
          </w:p>
        </w:tc>
        <w:tc>
          <w:tcPr>
            <w:tcW w:w="1685"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7"/>
              </w:rPr>
              <w:t xml:space="preserve">Share</w:t>
            </w:r>
          </w:p>
        </w:tc>
      </w:tr>
      <w:tr>
        <w:trPr>
          <w:cantSplit w:val="true"/>
        </w:trPr>
        <w:tc>
          <w:tcPr>
            <w:tcW w:w="501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P1 Foundations</w:t>
            </w:r>
          </w:p>
        </w:tc>
        <w:tc>
          <w:tcPr>
            <w:tcW w:w="2656"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458.916</w:t>
            </w:r>
          </w:p>
        </w:tc>
        <w:tc>
          <w:tcPr>
            <w:tcW w:w="1685"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30.9%</w:t>
            </w:r>
          </w:p>
        </w:tc>
      </w:tr>
      <w:tr>
        <w:trPr>
          <w:cantSplit w:val="true"/>
        </w:trPr>
        <w:tc>
          <w:tcPr>
            <w:tcW w:w="501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P3 Livelihoods</w:t>
            </w:r>
          </w:p>
        </w:tc>
        <w:tc>
          <w:tcPr>
            <w:tcW w:w="2656"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447.200</w:t>
            </w:r>
          </w:p>
        </w:tc>
        <w:tc>
          <w:tcPr>
            <w:tcW w:w="1685"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30.1%</w:t>
            </w:r>
          </w:p>
        </w:tc>
      </w:tr>
      <w:tr>
        <w:trPr>
          <w:cantSplit w:val="true"/>
        </w:trPr>
        <w:tc>
          <w:tcPr>
            <w:tcW w:w="501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P2 Progression</w:t>
            </w:r>
          </w:p>
        </w:tc>
        <w:tc>
          <w:tcPr>
            <w:tcW w:w="2656"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324.400</w:t>
            </w:r>
          </w:p>
        </w:tc>
        <w:tc>
          <w:tcPr>
            <w:tcW w:w="1685"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21.9%</w:t>
            </w:r>
          </w:p>
        </w:tc>
      </w:tr>
      <w:tr>
        <w:trPr>
          <w:cantSplit w:val="true"/>
        </w:trPr>
        <w:tc>
          <w:tcPr>
            <w:tcW w:w="501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X Delivery</w:t>
            </w:r>
          </w:p>
        </w:tc>
        <w:tc>
          <w:tcPr>
            <w:tcW w:w="2656"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224.757</w:t>
            </w:r>
          </w:p>
        </w:tc>
        <w:tc>
          <w:tcPr>
            <w:tcW w:w="1685"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15.1%</w:t>
            </w:r>
          </w:p>
        </w:tc>
      </w:tr>
      <w:tr>
        <w:trPr>
          <w:cantSplit w:val="true"/>
        </w:trPr>
        <w:tc>
          <w:tcPr>
            <w:tcW w:w="501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P4 Institutional Participation</w:t>
            </w:r>
          </w:p>
        </w:tc>
        <w:tc>
          <w:tcPr>
            <w:tcW w:w="2656"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29.000</w:t>
            </w:r>
          </w:p>
        </w:tc>
        <w:tc>
          <w:tcPr>
            <w:tcW w:w="1685"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2.0%</w:t>
            </w:r>
          </w:p>
        </w:tc>
      </w:tr>
      <w:tr>
        <w:trPr>
          <w:cantSplit w:val="true"/>
        </w:trPr>
        <w:tc>
          <w:tcPr>
            <w:tcW w:w="5019"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Total</w:t>
            </w:r>
          </w:p>
        </w:tc>
        <w:tc>
          <w:tcPr>
            <w:tcW w:w="2656" w:type="dxa"/>
            <w:tcMar>
              <w:top w:w="80" w:type="dxa"/>
              <w:start w:w="120" w:type="dxa"/>
              <w:bottom w:w="80" w:type="dxa"/>
              <w:end w:w="120" w:type="dxa"/>
            </w:tcMar>
            <w:vAlign w:val="center"/>
          </w:tcPr>
          <w:p>
            <w:pPr>
              <w:pStyle w:val="Compact"/>
              <w:spacing w:before="0" w:after="40" w:line="240" w:lineRule="auto"/>
              <w:jc w:val="right"/>
            </w:pPr>
            <w:r>
              <w:rPr>
                <w:bCs/>
                <w:rFonts w:ascii="Calibri" w:hAnsi="Calibri"/>
                <w:b/>
                <w:color w:val="0B2545"/>
                <w:sz w:val="17"/>
              </w:rPr>
              <w:t xml:space="preserve">1,484.273</w:t>
            </w:r>
          </w:p>
        </w:tc>
        <w:tc>
          <w:tcPr>
            <w:tcW w:w="1685" w:type="dxa"/>
            <w:tcMar>
              <w:top w:w="80" w:type="dxa"/>
              <w:start w:w="120" w:type="dxa"/>
              <w:bottom w:w="80" w:type="dxa"/>
              <w:end w:w="120" w:type="dxa"/>
            </w:tcMar>
            <w:vAlign w:val="center"/>
          </w:tcPr>
          <w:p>
            <w:pPr>
              <w:pStyle w:val="Compact"/>
              <w:spacing w:before="0" w:after="40" w:line="240" w:lineRule="auto"/>
              <w:jc w:val="right"/>
            </w:pPr>
            <w:r>
              <w:rPr>
                <w:bCs/>
                <w:rFonts w:ascii="Calibri" w:hAnsi="Calibri"/>
                <w:b/>
                <w:color w:val="0B2545"/>
                <w:sz w:val="17"/>
              </w:rPr>
              <w:t xml:space="preserve">100.0%</w:t>
            </w:r>
          </w:p>
        </w:tc>
      </w:tr>
    </w:tbl>
    <w:bookmarkEnd w:id="72"/>
    <w:bookmarkStart w:id="73" w:name="a2-reconciliation-by-cost-category"/>
    <w:p>
      <w:pPr>
        <w:pStyle w:val="Heading3"/>
        <w:keepNext/>
      </w:pPr>
      <w:r>
        <w:t xml:space="preserve">A.2 Reconciliation by cost category</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4719"/>
        <w:gridCol w:w="2862"/>
        <w:gridCol w:w="1779"/>
      </w:tblGrid>
      <w:tr>
        <w:trPr>
          <w:tblHeader w:val="true"/>
          <w:cantSplit w:val="true"/>
          <w:tblHeader w:val="true"/>
        </w:trPr>
        <w:tc>
          <w:tcPr>
            <w:tcW w:w="4719"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Category</w:t>
            </w:r>
          </w:p>
        </w:tc>
        <w:tc>
          <w:tcPr>
            <w:tcW w:w="2862"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7"/>
              </w:rPr>
              <w:t xml:space="preserve">Central total</w:t>
            </w:r>
          </w:p>
        </w:tc>
        <w:tc>
          <w:tcPr>
            <w:tcW w:w="1779"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7"/>
              </w:rPr>
              <w:t xml:space="preserve">Share</w:t>
            </w:r>
          </w:p>
        </w:tc>
      </w:tr>
      <w:tr>
        <w:trPr>
          <w:cantSplit w:val="true"/>
        </w:trPr>
        <w:tc>
          <w:tcPr>
            <w:tcW w:w="471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Operating expenditure</w:t>
            </w:r>
          </w:p>
        </w:tc>
        <w:tc>
          <w:tcPr>
            <w:tcW w:w="2862"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548.700</w:t>
            </w:r>
          </w:p>
        </w:tc>
        <w:tc>
          <w:tcPr>
            <w:tcW w:w="17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37.0%</w:t>
            </w:r>
          </w:p>
        </w:tc>
      </w:tr>
      <w:tr>
        <w:trPr>
          <w:cantSplit w:val="true"/>
        </w:trPr>
        <w:tc>
          <w:tcPr>
            <w:tcW w:w="471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Transfers and grants</w:t>
            </w:r>
          </w:p>
        </w:tc>
        <w:tc>
          <w:tcPr>
            <w:tcW w:w="2862"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455.360</w:t>
            </w:r>
          </w:p>
        </w:tc>
        <w:tc>
          <w:tcPr>
            <w:tcW w:w="17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30.7%</w:t>
            </w:r>
          </w:p>
        </w:tc>
      </w:tr>
      <w:tr>
        <w:trPr>
          <w:cantSplit w:val="true"/>
        </w:trPr>
        <w:tc>
          <w:tcPr>
            <w:tcW w:w="471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Development expenditure</w:t>
            </w:r>
          </w:p>
        </w:tc>
        <w:tc>
          <w:tcPr>
            <w:tcW w:w="2862"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255.456</w:t>
            </w:r>
          </w:p>
        </w:tc>
        <w:tc>
          <w:tcPr>
            <w:tcW w:w="17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17.2%</w:t>
            </w:r>
          </w:p>
        </w:tc>
      </w:tr>
      <w:tr>
        <w:trPr>
          <w:cantSplit w:val="true"/>
        </w:trPr>
        <w:tc>
          <w:tcPr>
            <w:tcW w:w="471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Contingency</w:t>
            </w:r>
          </w:p>
        </w:tc>
        <w:tc>
          <w:tcPr>
            <w:tcW w:w="2862"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103.553</w:t>
            </w:r>
          </w:p>
        </w:tc>
        <w:tc>
          <w:tcPr>
            <w:tcW w:w="17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7.0%</w:t>
            </w:r>
          </w:p>
        </w:tc>
      </w:tr>
      <w:tr>
        <w:trPr>
          <w:cantSplit w:val="true"/>
        </w:trPr>
        <w:tc>
          <w:tcPr>
            <w:tcW w:w="471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Administration</w:t>
            </w:r>
          </w:p>
        </w:tc>
        <w:tc>
          <w:tcPr>
            <w:tcW w:w="2862"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88.204</w:t>
            </w:r>
          </w:p>
        </w:tc>
        <w:tc>
          <w:tcPr>
            <w:tcW w:w="17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5.9%</w:t>
            </w:r>
          </w:p>
        </w:tc>
      </w:tr>
      <w:tr>
        <w:trPr>
          <w:cantSplit w:val="true"/>
        </w:trPr>
        <w:tc>
          <w:tcPr>
            <w:tcW w:w="471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Monitoring and evaluation</w:t>
            </w:r>
          </w:p>
        </w:tc>
        <w:tc>
          <w:tcPr>
            <w:tcW w:w="2862"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33.000</w:t>
            </w:r>
          </w:p>
        </w:tc>
        <w:tc>
          <w:tcPr>
            <w:tcW w:w="17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2.2%</w:t>
            </w:r>
          </w:p>
        </w:tc>
      </w:tr>
      <w:tr>
        <w:trPr>
          <w:cantSplit w:val="true"/>
        </w:trPr>
        <w:tc>
          <w:tcPr>
            <w:tcW w:w="4719"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Total</w:t>
            </w:r>
          </w:p>
        </w:tc>
        <w:tc>
          <w:tcPr>
            <w:tcW w:w="2862" w:type="dxa"/>
            <w:tcMar>
              <w:top w:w="80" w:type="dxa"/>
              <w:start w:w="120" w:type="dxa"/>
              <w:bottom w:w="80" w:type="dxa"/>
              <w:end w:w="120" w:type="dxa"/>
            </w:tcMar>
            <w:vAlign w:val="center"/>
          </w:tcPr>
          <w:p>
            <w:pPr>
              <w:pStyle w:val="Compact"/>
              <w:spacing w:before="0" w:after="40" w:line="240" w:lineRule="auto"/>
              <w:jc w:val="right"/>
            </w:pPr>
            <w:r>
              <w:rPr>
                <w:bCs/>
                <w:rFonts w:ascii="Calibri" w:hAnsi="Calibri"/>
                <w:b/>
                <w:color w:val="0B2545"/>
                <w:sz w:val="17"/>
              </w:rPr>
              <w:t xml:space="preserve">1,484.273</w:t>
            </w:r>
          </w:p>
        </w:tc>
        <w:tc>
          <w:tcPr>
            <w:tcW w:w="1779" w:type="dxa"/>
            <w:tcMar>
              <w:top w:w="80" w:type="dxa"/>
              <w:start w:w="120" w:type="dxa"/>
              <w:bottom w:w="80" w:type="dxa"/>
              <w:end w:w="120" w:type="dxa"/>
            </w:tcMar>
            <w:vAlign w:val="center"/>
          </w:tcPr>
          <w:p>
            <w:pPr>
              <w:pStyle w:val="Compact"/>
              <w:spacing w:before="0" w:after="40" w:line="240" w:lineRule="auto"/>
              <w:jc w:val="right"/>
            </w:pPr>
            <w:r>
              <w:rPr>
                <w:bCs/>
                <w:rFonts w:ascii="Calibri" w:hAnsi="Calibri"/>
                <w:b/>
                <w:color w:val="0B2545"/>
                <w:sz w:val="17"/>
              </w:rPr>
              <w:t xml:space="preserve">100.0%</w:t>
            </w:r>
          </w:p>
        </w:tc>
      </w:tr>
    </w:tbl>
    <w:bookmarkEnd w:id="73"/>
    <w:bookmarkStart w:id="74" w:name="a3-reconciliation-by-lead-ministry"/>
    <w:p>
      <w:pPr>
        <w:pStyle w:val="Heading3"/>
        <w:keepNext/>
      </w:pPr>
      <w:r>
        <w:t xml:space="preserve">A.3 Reconciliation by lead ministry</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5862"/>
        <w:gridCol w:w="2079"/>
        <w:gridCol w:w="1419"/>
      </w:tblGrid>
      <w:tr>
        <w:trPr>
          <w:tblHeader w:val="true"/>
          <w:cantSplit w:val="true"/>
          <w:tblHeader w:val="true"/>
        </w:trPr>
        <w:tc>
          <w:tcPr>
            <w:tcW w:w="5862"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Ministry / agency</w:t>
            </w:r>
          </w:p>
        </w:tc>
        <w:tc>
          <w:tcPr>
            <w:tcW w:w="2079"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7"/>
              </w:rPr>
              <w:t xml:space="preserve">Central total</w:t>
            </w:r>
          </w:p>
        </w:tc>
        <w:tc>
          <w:tcPr>
            <w:tcW w:w="1419"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7"/>
              </w:rPr>
              <w:t xml:space="preserve">Share</w:t>
            </w:r>
          </w:p>
        </w:tc>
      </w:tr>
      <w:tr>
        <w:trPr>
          <w:cantSplit w:val="true"/>
        </w:trPr>
        <w:tc>
          <w:tcPr>
            <w:tcW w:w="5862"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Ministry of Education</w:t>
            </w:r>
          </w:p>
        </w:tc>
        <w:tc>
          <w:tcPr>
            <w:tcW w:w="20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425.816</w:t>
            </w:r>
          </w:p>
        </w:tc>
        <w:tc>
          <w:tcPr>
            <w:tcW w:w="141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28.7%</w:t>
            </w:r>
          </w:p>
        </w:tc>
      </w:tr>
      <w:tr>
        <w:trPr>
          <w:cantSplit w:val="true"/>
        </w:trPr>
        <w:tc>
          <w:tcPr>
            <w:tcW w:w="5862"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Ministry of Finance</w:t>
            </w:r>
          </w:p>
        </w:tc>
        <w:tc>
          <w:tcPr>
            <w:tcW w:w="20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303.553</w:t>
            </w:r>
          </w:p>
        </w:tc>
        <w:tc>
          <w:tcPr>
            <w:tcW w:w="141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20.5%</w:t>
            </w:r>
          </w:p>
        </w:tc>
      </w:tr>
      <w:tr>
        <w:trPr>
          <w:cantSplit w:val="true"/>
        </w:trPr>
        <w:tc>
          <w:tcPr>
            <w:tcW w:w="5862"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Ministry of Human Resources</w:t>
            </w:r>
          </w:p>
        </w:tc>
        <w:tc>
          <w:tcPr>
            <w:tcW w:w="20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279.000</w:t>
            </w:r>
          </w:p>
        </w:tc>
        <w:tc>
          <w:tcPr>
            <w:tcW w:w="141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18.8%</w:t>
            </w:r>
          </w:p>
        </w:tc>
      </w:tr>
      <w:tr>
        <w:trPr>
          <w:cantSplit w:val="true"/>
        </w:trPr>
        <w:tc>
          <w:tcPr>
            <w:tcW w:w="5862"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Prime Minister's Department</w:t>
            </w:r>
          </w:p>
        </w:tc>
        <w:tc>
          <w:tcPr>
            <w:tcW w:w="20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201.300</w:t>
            </w:r>
          </w:p>
        </w:tc>
        <w:tc>
          <w:tcPr>
            <w:tcW w:w="141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13.6%</w:t>
            </w:r>
          </w:p>
        </w:tc>
      </w:tr>
      <w:tr>
        <w:trPr>
          <w:cantSplit w:val="true"/>
        </w:trPr>
        <w:tc>
          <w:tcPr>
            <w:tcW w:w="5862"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Ministry of Housing and Local Government</w:t>
            </w:r>
          </w:p>
        </w:tc>
        <w:tc>
          <w:tcPr>
            <w:tcW w:w="20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78.000</w:t>
            </w:r>
          </w:p>
        </w:tc>
        <w:tc>
          <w:tcPr>
            <w:tcW w:w="141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5.3%</w:t>
            </w:r>
          </w:p>
        </w:tc>
      </w:tr>
      <w:tr>
        <w:trPr>
          <w:cantSplit w:val="true"/>
        </w:trPr>
        <w:tc>
          <w:tcPr>
            <w:tcW w:w="5862"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All lead ministries</w:t>
            </w:r>
          </w:p>
        </w:tc>
        <w:tc>
          <w:tcPr>
            <w:tcW w:w="20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53.104</w:t>
            </w:r>
          </w:p>
        </w:tc>
        <w:tc>
          <w:tcPr>
            <w:tcW w:w="141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3.6%</w:t>
            </w:r>
          </w:p>
        </w:tc>
      </w:tr>
      <w:tr>
        <w:trPr>
          <w:cantSplit w:val="true"/>
        </w:trPr>
        <w:tc>
          <w:tcPr>
            <w:tcW w:w="5862"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Ministry of National Unity</w:t>
            </w:r>
          </w:p>
        </w:tc>
        <w:tc>
          <w:tcPr>
            <w:tcW w:w="20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44.400</w:t>
            </w:r>
          </w:p>
        </w:tc>
        <w:tc>
          <w:tcPr>
            <w:tcW w:w="141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3.0%</w:t>
            </w:r>
          </w:p>
        </w:tc>
      </w:tr>
      <w:tr>
        <w:trPr>
          <w:cantSplit w:val="true"/>
        </w:trPr>
        <w:tc>
          <w:tcPr>
            <w:tcW w:w="5862"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Ministry of Entrepreneur and Cooperatives Development</w:t>
            </w:r>
          </w:p>
        </w:tc>
        <w:tc>
          <w:tcPr>
            <w:tcW w:w="20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36.000</w:t>
            </w:r>
          </w:p>
        </w:tc>
        <w:tc>
          <w:tcPr>
            <w:tcW w:w="141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2.4%</w:t>
            </w:r>
          </w:p>
        </w:tc>
      </w:tr>
      <w:tr>
        <w:trPr>
          <w:cantSplit w:val="true"/>
        </w:trPr>
        <w:tc>
          <w:tcPr>
            <w:tcW w:w="5862"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Public Service Department (JPA)</w:t>
            </w:r>
          </w:p>
        </w:tc>
        <w:tc>
          <w:tcPr>
            <w:tcW w:w="20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29.000</w:t>
            </w:r>
          </w:p>
        </w:tc>
        <w:tc>
          <w:tcPr>
            <w:tcW w:w="141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2.0%</w:t>
            </w:r>
          </w:p>
        </w:tc>
      </w:tr>
      <w:tr>
        <w:trPr>
          <w:cantSplit w:val="true"/>
        </w:trPr>
        <w:tc>
          <w:tcPr>
            <w:tcW w:w="5862"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Ministry of Home Affairs (JPN)</w:t>
            </w:r>
          </w:p>
        </w:tc>
        <w:tc>
          <w:tcPr>
            <w:tcW w:w="20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26.100</w:t>
            </w:r>
          </w:p>
        </w:tc>
        <w:tc>
          <w:tcPr>
            <w:tcW w:w="141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1.8%</w:t>
            </w:r>
          </w:p>
        </w:tc>
      </w:tr>
      <w:tr>
        <w:trPr>
          <w:cantSplit w:val="true"/>
        </w:trPr>
        <w:tc>
          <w:tcPr>
            <w:tcW w:w="5862"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Ministry of Higher Education</w:t>
            </w:r>
          </w:p>
        </w:tc>
        <w:tc>
          <w:tcPr>
            <w:tcW w:w="207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8.000</w:t>
            </w:r>
          </w:p>
        </w:tc>
        <w:tc>
          <w:tcPr>
            <w:tcW w:w="141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0.5%</w:t>
            </w:r>
          </w:p>
        </w:tc>
      </w:tr>
      <w:tr>
        <w:trPr>
          <w:cantSplit w:val="true"/>
        </w:trPr>
        <w:tc>
          <w:tcPr>
            <w:tcW w:w="5862"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Total</w:t>
            </w:r>
          </w:p>
        </w:tc>
        <w:tc>
          <w:tcPr>
            <w:tcW w:w="2079" w:type="dxa"/>
            <w:tcMar>
              <w:top w:w="80" w:type="dxa"/>
              <w:start w:w="120" w:type="dxa"/>
              <w:bottom w:w="80" w:type="dxa"/>
              <w:end w:w="120" w:type="dxa"/>
            </w:tcMar>
            <w:vAlign w:val="center"/>
          </w:tcPr>
          <w:p>
            <w:pPr>
              <w:pStyle w:val="Compact"/>
              <w:spacing w:before="0" w:after="40" w:line="240" w:lineRule="auto"/>
              <w:jc w:val="right"/>
            </w:pPr>
            <w:r>
              <w:rPr>
                <w:bCs/>
                <w:rFonts w:ascii="Calibri" w:hAnsi="Calibri"/>
                <w:b/>
                <w:color w:val="0B2545"/>
                <w:sz w:val="17"/>
              </w:rPr>
              <w:t xml:space="preserve">1,484.273</w:t>
            </w:r>
          </w:p>
        </w:tc>
        <w:tc>
          <w:tcPr>
            <w:tcW w:w="1419" w:type="dxa"/>
            <w:tcMar>
              <w:top w:w="80" w:type="dxa"/>
              <w:start w:w="120" w:type="dxa"/>
              <w:bottom w:w="80" w:type="dxa"/>
              <w:end w:w="120" w:type="dxa"/>
            </w:tcMar>
            <w:vAlign w:val="center"/>
          </w:tcPr>
          <w:p>
            <w:pPr>
              <w:pStyle w:val="Compact"/>
              <w:spacing w:before="0" w:after="40" w:line="240" w:lineRule="auto"/>
              <w:jc w:val="right"/>
            </w:pPr>
            <w:r>
              <w:rPr>
                <w:bCs/>
                <w:rFonts w:ascii="Calibri" w:hAnsi="Calibri"/>
                <w:b/>
                <w:color w:val="0B2545"/>
                <w:sz w:val="17"/>
              </w:rPr>
              <w:t xml:space="preserve">100.0%</w:t>
            </w:r>
          </w:p>
        </w:tc>
      </w:tr>
    </w:tbl>
    <w:bookmarkEnd w:id="74"/>
    <w:bookmarkStart w:id="75" w:name="a4-scenario-comparison"/>
    <w:p>
      <w:pPr>
        <w:pStyle w:val="Heading3"/>
        <w:keepNext/>
      </w:pPr>
      <w:r>
        <w:t xml:space="preserve">A.4 Scenario comparison</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3161"/>
        <w:gridCol w:w="2309"/>
        <w:gridCol w:w="1944"/>
        <w:gridCol w:w="1946"/>
      </w:tblGrid>
      <w:tr>
        <w:trPr>
          <w:tblHeader w:val="true"/>
          <w:cantSplit w:val="true"/>
          <w:tblHeader w:val="true"/>
        </w:trPr>
        <w:tc>
          <w:tcPr>
            <w:tcW w:w="3161" w:type="dxa"/>
            <w:tcMar>
              <w:top w:w="80" w:type="dxa"/>
              <w:start w:w="120" w:type="dxa"/>
              <w:bottom w:w="80" w:type="dxa"/>
              <w:end w:w="120" w:type="dxa"/>
            </w:tcMar>
            <w:vAlign w:val="center"/>
            <w:shd w:fill="F4F6F9"/>
          </w:tcPr>
          <w:p>
            <w:pPr>
              <w:pStyle w:val="Compact"/>
              <w:spacing w:before="0" w:after="40" w:line="240" w:lineRule="auto"/>
            </w:pPr>
          </w:p>
        </w:tc>
        <w:tc>
          <w:tcPr>
            <w:tcW w:w="2309"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7"/>
              </w:rPr>
              <w:t xml:space="preserve">Conservative</w:t>
            </w:r>
          </w:p>
        </w:tc>
        <w:tc>
          <w:tcPr>
            <w:tcW w:w="1944"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7"/>
              </w:rPr>
              <w:t xml:space="preserve">Central</w:t>
            </w:r>
          </w:p>
        </w:tc>
        <w:tc>
          <w:tcPr>
            <w:tcW w:w="1946"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7"/>
              </w:rPr>
              <w:t xml:space="preserve">Expanded</w:t>
            </w:r>
          </w:p>
        </w:tc>
      </w:tr>
      <w:tr>
        <w:trPr>
          <w:cantSplit w:val="true"/>
        </w:trPr>
        <w:tc>
          <w:tcPr>
            <w:tcW w:w="316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Phase 1</w:t>
            </w:r>
          </w:p>
        </w:tc>
        <w:tc>
          <w:tcPr>
            <w:tcW w:w="230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283.4</w:t>
            </w:r>
          </w:p>
        </w:tc>
        <w:tc>
          <w:tcPr>
            <w:tcW w:w="1944"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355.3</w:t>
            </w:r>
          </w:p>
        </w:tc>
        <w:tc>
          <w:tcPr>
            <w:tcW w:w="1946"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441.5</w:t>
            </w:r>
          </w:p>
        </w:tc>
      </w:tr>
      <w:tr>
        <w:trPr>
          <w:cantSplit w:val="true"/>
        </w:trPr>
        <w:tc>
          <w:tcPr>
            <w:tcW w:w="316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Phase 2</w:t>
            </w:r>
          </w:p>
        </w:tc>
        <w:tc>
          <w:tcPr>
            <w:tcW w:w="230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406.0</w:t>
            </w:r>
          </w:p>
        </w:tc>
        <w:tc>
          <w:tcPr>
            <w:tcW w:w="1944"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520.8</w:t>
            </w:r>
          </w:p>
        </w:tc>
        <w:tc>
          <w:tcPr>
            <w:tcW w:w="1946"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658.7</w:t>
            </w:r>
          </w:p>
        </w:tc>
      </w:tr>
      <w:tr>
        <w:trPr>
          <w:cantSplit w:val="true"/>
        </w:trPr>
        <w:tc>
          <w:tcPr>
            <w:tcW w:w="316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Phase 3</w:t>
            </w:r>
          </w:p>
        </w:tc>
        <w:tc>
          <w:tcPr>
            <w:tcW w:w="230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469.2</w:t>
            </w:r>
          </w:p>
        </w:tc>
        <w:tc>
          <w:tcPr>
            <w:tcW w:w="1944"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608.2</w:t>
            </w:r>
          </w:p>
        </w:tc>
        <w:tc>
          <w:tcPr>
            <w:tcW w:w="1946"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775.0</w:t>
            </w:r>
          </w:p>
        </w:tc>
      </w:tr>
      <w:tr>
        <w:trPr>
          <w:cantSplit w:val="true"/>
        </w:trPr>
        <w:tc>
          <w:tcPr>
            <w:tcW w:w="3161"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Six-year total</w:t>
            </w:r>
          </w:p>
        </w:tc>
        <w:tc>
          <w:tcPr>
            <w:tcW w:w="230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1,158.487</w:t>
            </w:r>
          </w:p>
        </w:tc>
        <w:tc>
          <w:tcPr>
            <w:tcW w:w="1944"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1,484.273</w:t>
            </w:r>
          </w:p>
        </w:tc>
        <w:tc>
          <w:tcPr>
            <w:tcW w:w="1946"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1,875.220</w:t>
            </w:r>
          </w:p>
        </w:tc>
      </w:tr>
      <w:tr>
        <w:trPr>
          <w:cantSplit w:val="true"/>
        </w:trPr>
        <w:tc>
          <w:tcPr>
            <w:tcW w:w="3161"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7"/>
              </w:rPr>
              <w:t xml:space="preserve">New funding</w:t>
            </w:r>
          </w:p>
        </w:tc>
        <w:tc>
          <w:tcPr>
            <w:tcW w:w="230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662.217</w:t>
            </w:r>
          </w:p>
        </w:tc>
        <w:tc>
          <w:tcPr>
            <w:tcW w:w="1944"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847.677</w:t>
            </w:r>
          </w:p>
        </w:tc>
        <w:tc>
          <w:tcPr>
            <w:tcW w:w="1946"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1,070.229</w:t>
            </w:r>
          </w:p>
        </w:tc>
      </w:tr>
      <w:tr>
        <w:trPr>
          <w:cantSplit w:val="true"/>
        </w:trPr>
        <w:tc>
          <w:tcPr>
            <w:tcW w:w="3161"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Variance vs central</w:t>
            </w:r>
          </w:p>
        </w:tc>
        <w:tc>
          <w:tcPr>
            <w:tcW w:w="2309"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-21.9%</w:t>
            </w:r>
          </w:p>
        </w:tc>
        <w:tc>
          <w:tcPr>
            <w:tcW w:w="1944"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w:t>
            </w:r>
          </w:p>
        </w:tc>
        <w:tc>
          <w:tcPr>
            <w:tcW w:w="1946"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+26.3%</w:t>
            </w:r>
          </w:p>
        </w:tc>
      </w:tr>
    </w:tbl>
    <w:p>
      <w:pPr>
        <w:pStyle w:val="BodyText"/>
      </w:pPr>
      <w:r>
        <w:t xml:space="preserve">Scenarios apply 0.75× / 1.00× / 1.30× to the</w:t>
      </w:r>
      <w:r>
        <w:t xml:space="preserve"> </w:t>
      </w:r>
      <w:r>
        <w:rPr>
          <w:bCs/>
          <w:b/>
        </w:rPr>
        <w:t xml:space="preserve">variable component only</w:t>
      </w:r>
      <w:r>
        <w:t xml:space="preserve">. Fixed components — systems, audits, secretariat and evaluations — do not scale. Programme definitions, owners, categories, confidence classes and price base are identical across all three scenarios: these are sensitivity cases, not alternative blueprints.</w:t>
      </w:r>
    </w:p>
    <w:p>
      <w:r>
        <w:pict>
          <v:rect style="width:0;height:1.5pt" o:hralign="center" o:hrstd="t" o:hr="t"/>
        </w:pict>
      </w:r>
    </w:p>
    <w:bookmarkEnd w:id="75"/>
    <w:bookmarkEnd w:id="76"/>
    <w:bookmarkStart w:id="77" w:name="annex-b--worked-derivations"/>
    <w:p>
      <w:pPr>
        <w:pStyle w:val="Heading2"/>
        <w:keepNext/>
      </w:pPr>
      <w:r>
        <w:t xml:space="preserve">Annex B — Worked derivations</w:t>
      </w:r>
    </w:p>
    <w:p>
      <w:pPr>
        <w:pStyle w:val="FirstParagraph"/>
      </w:pPr>
      <w:r>
        <w:rPr>
          <w:bCs/>
          <w:b/>
        </w:rPr>
        <w:t xml:space="preserve">B.1 Preschool eligible cohort (ASM-008).</w:t>
      </w:r>
      <w:r>
        <w:t xml:space="preserve"> </w:t>
      </w:r>
      <w:r>
        <w:t xml:space="preserve">Indian population ≈ 6.5% × 34.4m ≈ 2.24m. Applying the national crude birth rate gives an annual Indian birth cohort of ≈20,000, so ages 4–5 ≈ 40,000 children. Applying the MIB-era bottom-40% household share (39%) gives ≈15,600 → planning range 15,000–17,000, midpoint</w:t>
      </w:r>
      <w:r>
        <w:t xml:space="preserve"> </w:t>
      </w:r>
      <w:r>
        <w:rPr>
          <w:bCs/>
          <w:b/>
        </w:rPr>
        <w:t xml:space="preserve">16,000</w:t>
      </w:r>
      <w:r>
        <w:t xml:space="preserve">.</w:t>
      </w:r>
      <w:r>
        <w:t xml:space="preserve"> </w:t>
      </w:r>
      <w:r>
        <w:rPr>
          <w:iCs/>
          <w:i/>
        </w:rPr>
        <w:t xml:space="preserve">Phase 1 cost check:</w:t>
      </w:r>
      <w:r>
        <w:t xml:space="preserve"> </w:t>
      </w:r>
      <w:r>
        <w:t xml:space="preserve">16,000 × 0.40 × RM4,200 × 2 years =</w:t>
      </w:r>
      <w:r>
        <w:t xml:space="preserve"> </w:t>
      </w:r>
      <w:r>
        <w:rPr>
          <w:bCs/>
          <w:b/>
        </w:rPr>
        <w:t xml:space="preserve">RM53.76m</w:t>
      </w:r>
      <w:r>
        <w:t xml:space="preserve"> </w:t>
      </w:r>
      <w:r>
        <w:t xml:space="preserve">≈ 53.800 as modelled.</w:t>
      </w:r>
      <w:r>
        <w:t xml:space="preserve"> </w:t>
      </w:r>
      <w:r>
        <w:rPr>
          <w:iCs/>
          <w:i/>
        </w:rPr>
        <w:t xml:space="preserve">Phase 2:</w:t>
      </w:r>
      <w:r>
        <w:t xml:space="preserve"> </w:t>
      </w:r>
      <w:r>
        <w:t xml:space="preserve">16,000 × 0.70 × 4,200 × 2 =</w:t>
      </w:r>
      <w:r>
        <w:t xml:space="preserve"> </w:t>
      </w:r>
      <w:r>
        <w:rPr>
          <w:bCs/>
          <w:b/>
        </w:rPr>
        <w:t xml:space="preserve">RM94.08m</w:t>
      </w:r>
      <w:r>
        <w:t xml:space="preserve"> </w:t>
      </w:r>
      <w:r>
        <w:t xml:space="preserve">≈ 94.100.</w:t>
      </w:r>
      <w:r>
        <w:t xml:space="preserve"> </w:t>
      </w:r>
      <w:r>
        <w:rPr>
          <w:iCs/>
          <w:i/>
        </w:rPr>
        <w:t xml:space="preserve">Phase 3:</w:t>
      </w:r>
      <w:r>
        <w:t xml:space="preserve"> </w:t>
      </w:r>
      <w:r>
        <w:t xml:space="preserve">16,000 × 0.80 × 4,200 × 2 =</w:t>
      </w:r>
      <w:r>
        <w:t xml:space="preserve"> </w:t>
      </w:r>
      <w:r>
        <w:rPr>
          <w:bCs/>
          <w:b/>
        </w:rPr>
        <w:t xml:space="preserve">RM107.52m</w:t>
      </w:r>
      <w:r>
        <w:t xml:space="preserve"> </w:t>
      </w:r>
      <w:r>
        <w:t xml:space="preserve">≈ 107.500.</w:t>
      </w:r>
      <w:r>
        <w:t xml:space="preserve"> </w:t>
      </w:r>
      <w:r>
        <w:rPr>
          <w:iCs/>
          <w:i/>
        </w:rPr>
        <w:t xml:space="preserve">Limitation:</w:t>
      </w:r>
      <w:r>
        <w:t xml:space="preserve"> </w:t>
      </w:r>
      <w:r>
        <w:t xml:space="preserve">applies a 2014-vintage income share to a 2026 population.</w:t>
      </w:r>
      <w:r>
        <w:t xml:space="preserve"> </w:t>
      </w:r>
      <w:r>
        <w:rPr>
          <w:bCs/>
          <w:b/>
        </w:rPr>
        <w:t xml:space="preserve">Provisional</w:t>
      </w:r>
      <w:r>
        <w:t xml:space="preserve"> </w:t>
      </w:r>
      <w:r>
        <w:t xml:space="preserve">(VAL-09).</w:t>
      </w:r>
    </w:p>
    <w:p>
      <w:pPr>
        <w:pStyle w:val="BodyText"/>
      </w:pPr>
      <w:r>
        <w:rPr>
          <w:bCs/>
          <w:b/>
        </w:rPr>
        <w:t xml:space="preserve">B.2 Civil service target (ASM-020).</w:t>
      </w:r>
      <w:r>
        <w:t xml:space="preserve"> </w:t>
      </w:r>
      <w:r>
        <w:t xml:space="preserve">Base 1,302,429 (31 Dec 2024, excluding RMP and MAF).</w:t>
      </w:r>
      <w:r>
        <w:t xml:space="preserve"> </w:t>
      </w:r>
      <w:r>
        <w:t xml:space="preserve">At 3.7%: 48,190 officers. At 7.0%: 91,170. Difference</w:t>
      </w:r>
      <w:r>
        <w:t xml:space="preserve"> </w:t>
      </w:r>
      <w:r>
        <w:rPr>
          <w:bCs/>
          <w:b/>
        </w:rPr>
        <w:t xml:space="preserve">42,980 net additions</w:t>
      </w:r>
      <w:r>
        <w:t xml:space="preserve">, ≈7,160/year for six years →</w:t>
      </w:r>
      <w:r>
        <w:t xml:space="preserve"> </w:t>
      </w:r>
      <w:r>
        <w:rPr>
          <w:bCs/>
          <w:b/>
        </w:rPr>
        <w:t xml:space="preserve">rejected</w:t>
      </w:r>
      <w:r>
        <w:t xml:space="preserve">.</w:t>
      </w:r>
      <w:r>
        <w:t xml:space="preserve"> </w:t>
      </w:r>
      <w:r>
        <w:t xml:space="preserve">At 4.2%: 54,702 → 6,512 net additions. At 4.8%: 62,517 → 14,327.</w:t>
      </w:r>
      <w:r>
        <w:t xml:space="preserve"> </w:t>
      </w:r>
      <w:r>
        <w:rPr>
          <w:bCs/>
          <w:b/>
        </w:rPr>
        <w:t xml:space="preserve">Adopted range 4.2%–4.8%.</w:t>
      </w:r>
      <w:r>
        <w:t xml:space="preserve"> </w:t>
      </w:r>
      <w:r>
        <w:t xml:space="preserve">Reported as</w:t>
      </w:r>
      <w:r>
        <w:t xml:space="preserve"> </w:t>
      </w:r>
      <w:r>
        <w:rPr>
          <w:iCs/>
          <w:i/>
        </w:rPr>
        <w:t xml:space="preserve">both</w:t>
      </w:r>
      <w:r>
        <w:t xml:space="preserve"> </w:t>
      </w:r>
      <w:r>
        <w:t xml:space="preserve">a share and a headcount because the denominator will change independently of Indian recruitment (ASM-021).</w:t>
      </w:r>
    </w:p>
    <w:p>
      <w:pPr>
        <w:pStyle w:val="BodyText"/>
      </w:pPr>
      <w:r>
        <w:rPr>
          <w:bCs/>
          <w:b/>
        </w:rPr>
        <w:t xml:space="preserve">B.3 Indian household denominator (CLM-062).</w:t>
      </w:r>
      <w:r>
        <w:t xml:space="preserve"> </w:t>
      </w:r>
      <w:r>
        <w:t xml:space="preserve">227,600 ÷ 0.39 = 583,590. Cross-check against MIB p.17: 57,624 = 10%, 71,148 = 12%, 112,896 = 19% → implied totals 576,240 / 592,900 / 594,189.</w:t>
      </w:r>
      <w:r>
        <w:t xml:space="preserve"> </w:t>
      </w:r>
      <w:r>
        <w:rPr>
          <w:bCs/>
          <w:b/>
        </w:rPr>
        <w:t xml:space="preserve">Consistent.</w:t>
      </w:r>
      <w:r>
        <w:t xml:space="preserve"> </w:t>
      </w:r>
      <w:r>
        <w:t xml:space="preserve">2014 basis; requires DOSM re-estimation (VAL-02).</w:t>
      </w:r>
    </w:p>
    <w:p>
      <w:pPr>
        <w:pStyle w:val="BodyText"/>
      </w:pPr>
      <w:r>
        <w:rPr>
          <w:bCs/>
          <w:b/>
        </w:rPr>
        <w:t xml:space="preserve">B.4 TVET pipeline (ASM-C06).</w:t>
      </w:r>
      <w:r>
        <w:t xml:space="preserve"> </w:t>
      </w:r>
      <w:r>
        <w:t xml:space="preserve">Per enrolee: stipend RM500 × 12 = RM6,000 + programme support RM2,500 =</w:t>
      </w:r>
      <w:r>
        <w:t xml:space="preserve"> </w:t>
      </w:r>
      <w:r>
        <w:rPr>
          <w:bCs/>
          <w:b/>
        </w:rPr>
        <w:t xml:space="preserve">RM8,500</w:t>
      </w:r>
      <w:r>
        <w:t xml:space="preserve">.</w:t>
      </w:r>
      <w:r>
        <w:t xml:space="preserve"> </w:t>
      </w:r>
      <w:r>
        <w:t xml:space="preserve">Phase 1: 5,000 × 8,500 = RM42.5m + (1,000 × RM4,000) =</w:t>
      </w:r>
      <w:r>
        <w:t xml:space="preserve"> </w:t>
      </w:r>
      <w:r>
        <w:rPr>
          <w:bCs/>
          <w:b/>
        </w:rPr>
        <w:t xml:space="preserve">RM46.5m</w:t>
      </w:r>
      <w:r>
        <w:t xml:space="preserve">.</w:t>
      </w:r>
      <w:r>
        <w:t xml:space="preserve"> </w:t>
      </w:r>
      <w:r>
        <w:t xml:space="preserve">Phase 2: 10,000 × 8,500 = RM85m + (2,000 × 4,000) =</w:t>
      </w:r>
      <w:r>
        <w:t xml:space="preserve"> </w:t>
      </w:r>
      <w:r>
        <w:rPr>
          <w:bCs/>
          <w:b/>
        </w:rPr>
        <w:t xml:space="preserve">RM93.0m</w:t>
      </w:r>
      <w:r>
        <w:t xml:space="preserve">.</w:t>
      </w:r>
      <w:r>
        <w:t xml:space="preserve"> </w:t>
      </w:r>
      <w:r>
        <w:t xml:space="preserve">Phase 3: 15,000 × 8,500 = RM127.5m + (3,000 × 4,000) =</w:t>
      </w:r>
      <w:r>
        <w:t xml:space="preserve"> </w:t>
      </w:r>
      <w:r>
        <w:rPr>
          <w:bCs/>
          <w:b/>
        </w:rPr>
        <w:t xml:space="preserve">RM139.5m</w:t>
      </w:r>
      <w:r>
        <w:t xml:space="preserve">. Cumulative 30,000 enrolees.</w:t>
      </w:r>
    </w:p>
    <w:p>
      <w:pPr>
        <w:pStyle w:val="BodyText"/>
      </w:pPr>
      <w:r>
        <w:rPr>
          <w:bCs/>
          <w:b/>
        </w:rPr>
        <w:t xml:space="preserve">B.5 Navigator cadre (ASM-C09).</w:t>
      </w:r>
      <w:r>
        <w:t xml:space="preserve"> </w:t>
      </w:r>
      <w:r>
        <w:t xml:space="preserve">Caseload 150 households/navigator; loaded cost RM72,000/yr.</w:t>
      </w:r>
      <w:r>
        <w:t xml:space="preserve"> </w:t>
      </w:r>
      <w:r>
        <w:t xml:space="preserve">Phase 1: 120 × 72,000 × 2 = RM17.28m + RM12m system =</w:t>
      </w:r>
      <w:r>
        <w:t xml:space="preserve"> </w:t>
      </w:r>
      <w:r>
        <w:rPr>
          <w:bCs/>
          <w:b/>
        </w:rPr>
        <w:t xml:space="preserve">RM29.28m</w:t>
      </w:r>
      <w:r>
        <w:t xml:space="preserve"> </w:t>
      </w:r>
      <w:r>
        <w:t xml:space="preserve">≈ 29.300.</w:t>
      </w:r>
      <w:r>
        <w:t xml:space="preserve"> </w:t>
      </w:r>
      <w:r>
        <w:t xml:space="preserve">Phase 2: 280 × 72,000 × 2 = RM40.32m + RM4m =</w:t>
      </w:r>
      <w:r>
        <w:t xml:space="preserve"> </w:t>
      </w:r>
      <w:r>
        <w:rPr>
          <w:bCs/>
          <w:b/>
        </w:rPr>
        <w:t xml:space="preserve">RM44.32m</w:t>
      </w:r>
      <w:r>
        <w:t xml:space="preserve"> </w:t>
      </w:r>
      <w:r>
        <w:t xml:space="preserve">≈ 44.300.</w:t>
      </w:r>
      <w:r>
        <w:t xml:space="preserve"> </w:t>
      </w:r>
      <w:r>
        <w:t xml:space="preserve">Phase 3: 400 × 72,000 × 2 = RM57.6m + RM2m =</w:t>
      </w:r>
      <w:r>
        <w:t xml:space="preserve"> </w:t>
      </w:r>
      <w:r>
        <w:rPr>
          <w:bCs/>
          <w:b/>
        </w:rPr>
        <w:t xml:space="preserve">RM59.6m</w:t>
      </w:r>
      <w:r>
        <w:t xml:space="preserve">. Concurrent service capacity ≈60,000 households; cumulative reach depends on case duration and turnover and is not specified.</w:t>
      </w:r>
    </w:p>
    <w:p>
      <w:pPr>
        <w:pStyle w:val="BodyText"/>
      </w:pPr>
      <w:r>
        <w:rPr>
          <w:bCs/>
          <w:b/>
        </w:rPr>
        <w:t xml:space="preserve">B.6 SJKT (ASM-C03).</w:t>
      </w:r>
      <w:r>
        <w:t xml:space="preserve"> </w:t>
      </w:r>
      <w:r>
        <w:t xml:space="preserve">Audit 528 × RM25,000 = RM13.2m. Digital facilities 528 × RM85,000 = RM44.9m. Remediation: 30% of 528 = 158.4 schools (30% of 528) × RM450,000 = RM71.280m, phased 30/40/30. Coordinator training 528 × 2 × RM3,500 = RM3.7m.</w:t>
      </w:r>
      <w:r>
        <w:t xml:space="preserve"> </w:t>
      </w:r>
      <w:r>
        <w:rPr>
          <w:iCs/>
          <w:i/>
        </w:rPr>
        <w:t xml:space="preserve">The 55% existing-funding assumption is provisional and gating (VAL-11).</w:t>
      </w:r>
    </w:p>
    <w:p>
      <w:pPr>
        <w:pStyle w:val="BodyText"/>
      </w:pPr>
      <w:r>
        <w:rPr>
          <w:bCs/>
          <w:b/>
        </w:rPr>
        <w:t xml:space="preserve">B.7 Secretariat (ASM-C15).</w:t>
      </w:r>
      <w:r>
        <w:t xml:space="preserve"> </w:t>
      </w:r>
      <w:r>
        <w:t xml:space="preserve">35 posts × RM110,000 loaded = RM3.85m/yr + RM2m operating = RM5.85m/yr =</w:t>
      </w:r>
      <w:r>
        <w:t xml:space="preserve"> </w:t>
      </w:r>
      <w:r>
        <w:rPr>
          <w:bCs/>
          <w:b/>
        </w:rPr>
        <w:t xml:space="preserve">RM11.7m per two-year phase</w:t>
      </w:r>
      <w:r>
        <w:t xml:space="preserve">.</w:t>
      </w:r>
    </w:p>
    <w:p>
      <w:pPr>
        <w:pStyle w:val="BodyText"/>
      </w:pPr>
      <w:r>
        <w:rPr>
          <w:bCs/>
          <w:b/>
        </w:rPr>
        <w:t xml:space="preserve">B.8 Beneficiary overlap (ASM-030).</w:t>
      </w:r>
      <w:r>
        <w:t xml:space="preserve"> </w:t>
      </w:r>
      <w:r>
        <w:t xml:space="preserve">Household-level programmes (PRG-09 ≈60,000; PRG-11 ≈50,000; PRG-12 ≈6,000) sum to 116,000</w:t>
      </w:r>
      <w:r>
        <w:t xml:space="preserve"> </w:t>
      </w:r>
      <w:r>
        <w:rPr>
          <w:iCs/>
          <w:i/>
        </w:rPr>
        <w:t xml:space="preserve">reach</w:t>
      </w:r>
      <w:r>
        <w:t xml:space="preserve">. Applying the assumed overlap factor 0.45 gives an estimated</w:t>
      </w:r>
      <w:r>
        <w:t xml:space="preserve"> </w:t>
      </w:r>
      <w:r>
        <w:rPr>
          <w:bCs/>
          <w:b/>
        </w:rPr>
        <w:t xml:space="preserve">≈64,000 unique households</w:t>
      </w:r>
      <w:r>
        <w:t xml:space="preserve">.</w:t>
      </w:r>
      <w:r>
        <w:t xml:space="preserve"> </w:t>
      </w:r>
      <w:r>
        <w:rPr>
          <w:bCs/>
          <w:b/>
        </w:rPr>
        <w:t xml:space="preserve">Reach is never summed across programmes in the proposal or the dashboard.</w:t>
      </w:r>
      <w:r>
        <w:t xml:space="preserve"> </w:t>
      </w:r>
      <w:r>
        <w:t xml:space="preserve">The factor is provisional and is replaced by observed data once the household record operates (VAL-25).</w:t>
      </w:r>
    </w:p>
    <w:p>
      <w:r>
        <w:pict>
          <v:rect style="width:0;height:1.5pt" o:hralign="center" o:hrstd="t" o:hr="t"/>
        </w:pict>
      </w:r>
    </w:p>
    <w:bookmarkEnd w:id="77"/>
    <w:bookmarkStart w:id="78" w:name="annex-c--responsibility-matrix"/>
    <w:p>
      <w:pPr>
        <w:pStyle w:val="Heading2"/>
        <w:keepNext/>
      </w:pPr>
      <w:r>
        <w:t xml:space="preserve">Annex C — Responsibility matrix</w:t>
      </w:r>
    </w:p>
    <w:p>
      <w:pPr>
        <w:pStyle w:val="FirstParagraph"/>
      </w:pPr>
      <w:r>
        <w:t xml:space="preserve">Full detail in</w:t>
      </w:r>
      <w:r>
        <w:t xml:space="preserve"> </w:t>
      </w:r>
      <w:r>
        <w:rPr>
          <w:rStyle w:val="VerbatimChar"/>
        </w:rPr>
        <w:t xml:space="preserve">RESPONSIBILITY_MATRIX.csv</w:t>
      </w:r>
      <w:r>
        <w:t xml:space="preserve"> </w:t>
      </w:r>
      <w:r>
        <w:t xml:space="preserve">(16 rows, one per retained substantive programme). Mandate verification status: 10 consistent-requires-confirmation, 4 requires-establishment (PRG-09, PRG-11, PRG-15 and PRG-16), and</w:t>
      </w:r>
      <w:r>
        <w:t xml:space="preserve"> </w:t>
      </w:r>
      <w:r>
        <w:rPr>
          <w:bCs/>
          <w:b/>
        </w:rPr>
        <w:t xml:space="preserve">2 contested</w:t>
      </w:r>
      <w:r>
        <w:t xml:space="preserve"> </w:t>
      </w:r>
      <w:r>
        <w:t xml:space="preserve">(PRG-04 and PRG-12 — state jurisdiction over land, local government and religious institutions).</w:t>
      </w:r>
    </w:p>
    <w:p>
      <w:pPr>
        <w:pStyle w:val="BodyText"/>
      </w:pPr>
      <w:r>
        <w:t xml:space="preserve">Three constitutional and institutional limits constrain what may be promised:</w:t>
      </w:r>
    </w:p>
    <w:p>
      <w:pPr>
        <w:numPr>
          <w:ilvl w:val="0"/>
          <w:numId w:val="1011"/>
        </w:numPr>
        <w:pStyle w:val="Compact"/>
      </w:pPr>
      <w:r>
        <w:rPr>
          <w:bCs/>
          <w:b/>
        </w:rPr>
        <w:t xml:space="preserve">Citizenship</w:t>
      </w:r>
      <w:r>
        <w:t xml:space="preserve"> </w:t>
      </w:r>
      <w:r>
        <w:t xml:space="preserve">determinations under Article 15A / Article 19 / Second Schedule Part II rest with the Minister. No clearance percentage may be committed (PRG-01).</w:t>
      </w:r>
    </w:p>
    <w:p>
      <w:pPr>
        <w:numPr>
          <w:ilvl w:val="0"/>
          <w:numId w:val="1011"/>
        </w:numPr>
        <w:pStyle w:val="Compact"/>
      </w:pPr>
      <w:r>
        <w:rPr>
          <w:bCs/>
          <w:b/>
        </w:rPr>
        <w:t xml:space="preserve">Appointment</w:t>
      </w:r>
      <w:r>
        <w:t xml:space="preserve"> </w:t>
      </w:r>
      <w:r>
        <w:t xml:space="preserve">to the public service rests with the Public Service Commission, constitutionally independent of the executive. PRG-13 addresses application supply and preparation only, with no adjustment to entry standards.</w:t>
      </w:r>
    </w:p>
    <w:p>
      <w:pPr>
        <w:numPr>
          <w:ilvl w:val="0"/>
          <w:numId w:val="1011"/>
        </w:numPr>
        <w:pStyle w:val="Compact"/>
      </w:pPr>
      <w:r>
        <w:rPr>
          <w:bCs/>
          <w:b/>
        </w:rPr>
        <w:t xml:space="preserve">Land</w:t>
      </w:r>
      <w:r>
        <w:t xml:space="preserve"> </w:t>
      </w:r>
      <w:r>
        <w:t xml:space="preserve">is a state matter. PRG-04 and PRG-12 proceed only by state consent, and tenure findings are referred, not determined.</w:t>
      </w:r>
    </w:p>
    <w:p>
      <w:r>
        <w:pict>
          <v:rect style="width:0;height:1.5pt" o:hralign="center" o:hrstd="t" o:hr="t"/>
        </w:pict>
      </w:r>
    </w:p>
    <w:bookmarkEnd w:id="78"/>
    <w:bookmarkStart w:id="79" w:name="annex-d--kpi-framework"/>
    <w:p>
      <w:pPr>
        <w:pStyle w:val="Heading2"/>
        <w:keepNext/>
      </w:pPr>
      <w:r>
        <w:t xml:space="preserve">Annex D — KPI framework</w:t>
      </w:r>
    </w:p>
    <w:p>
      <w:pPr>
        <w:pStyle w:val="FirstParagraph"/>
      </w:pPr>
      <w:r>
        <w:t xml:space="preserve">Full detail in</w:t>
      </w:r>
      <w:r>
        <w:t xml:space="preserve"> </w:t>
      </w:r>
      <w:r>
        <w:rPr>
          <w:rStyle w:val="VerbatimChar"/>
        </w:rPr>
        <w:t xml:space="preserve">KPI_REGISTER.csv</w:t>
      </w:r>
      <w:r>
        <w:t xml:space="preserve"> </w:t>
      </w:r>
      <w:r>
        <w:t xml:space="preserve">(16 rows, one per retained substantive programme).</w:t>
      </w:r>
      <w:r>
        <w:t xml:space="preserve"> </w:t>
      </w:r>
      <w:r>
        <w:rPr>
          <w:bCs/>
          <w:b/>
        </w:rPr>
        <w:t xml:space="preserve">Twelve of sixteen have a baseline status of</w:t>
      </w:r>
      <w:r>
        <w:rPr>
          <w:bCs/>
          <w:b/>
        </w:rPr>
        <w:t xml:space="preserve"> </w:t>
      </w:r>
      <w:r>
        <w:rPr>
          <w:rStyle w:val="VerbatimChar"/>
          <w:bCs/>
          <w:b/>
        </w:rPr>
        <w:t xml:space="preserve">to-be-established</w:t>
      </w:r>
      <w:r>
        <w:t xml:space="preserve">; for those the Year 2 target is principally a baseline or system-establishment deliverable. Disaggregation is specified per indicator (state, gender, income band, grade band, provider type, disability status as applicable). Verification sources are named per indicator, including EPF/SOCSO contribution matching for TVET employment outcomes.</w:t>
      </w:r>
    </w:p>
    <w:bookmarkEnd w:id="79"/>
    <w:bookmarkStart w:id="80" w:name="annex-e--risk-and-safeguard-register"/>
    <w:p>
      <w:pPr>
        <w:pStyle w:val="Heading2"/>
        <w:keepNext/>
      </w:pPr>
      <w:r>
        <w:t xml:space="preserve">Annex E — Risk and safeguard register</w:t>
      </w:r>
    </w:p>
    <w:p>
      <w:pPr>
        <w:pStyle w:val="FirstParagraph"/>
      </w:pPr>
      <w:r>
        <w:t xml:space="preserve">Full detail in</w:t>
      </w:r>
      <w:r>
        <w:t xml:space="preserve"> </w:t>
      </w:r>
      <w:r>
        <w:rPr>
          <w:rStyle w:val="VerbatimChar"/>
        </w:rPr>
        <w:t xml:space="preserve">RISK_AND_SAFEGUARD_REGISTER.csv</w:t>
      </w:r>
      <w:r>
        <w:t xml:space="preserve"> </w:t>
      </w:r>
      <w:r>
        <w:t xml:space="preserve">(21 rows). 14 carry critical inherent ratings.</w:t>
      </w:r>
      <w:r>
        <w:t xml:space="preserve"> </w:t>
      </w:r>
      <w:r>
        <w:rPr>
          <w:bCs/>
          <w:b/>
        </w:rPr>
        <w:t xml:space="preserve">5 retain a High residual rating after safeguards: RSK-04, RSK-05, RSK-09, RSK-19 and RSK-20.</w:t>
      </w:r>
      <w:r>
        <w:t xml:space="preserve"> </w:t>
      </w:r>
      <w:r>
        <w:t xml:space="preserve">RSK-01 falls to Moderate only if the eight continuity controls are adopted and maintained; the five High risks are not fully mitigable by design and remain matters for Cabinet's judgement.</w:t>
      </w:r>
    </w:p>
    <w:bookmarkEnd w:id="80"/>
    <w:bookmarkStart w:id="81" w:name="annex-f--evidence-and-citation-register"/>
    <w:p>
      <w:pPr>
        <w:pStyle w:val="Heading2"/>
        <w:keepNext/>
      </w:pPr>
      <w:r>
        <w:t xml:space="preserve">Annex F — Evidence and citation register</w:t>
      </w:r>
    </w:p>
    <w:p>
      <w:pPr>
        <w:pStyle w:val="FirstParagraph"/>
      </w:pPr>
      <w:r>
        <w:rPr>
          <w:rStyle w:val="VerbatimChar"/>
        </w:rPr>
        <w:t xml:space="preserve">SOURCE_REGISTER.csv</w:t>
      </w:r>
      <w:r>
        <w:t xml:space="preserve"> </w:t>
      </w:r>
      <w:r>
        <w:t xml:space="preserve">(31 sources) and</w:t>
      </w:r>
      <w:r>
        <w:t xml:space="preserve"> </w:t>
      </w:r>
      <w:r>
        <w:rPr>
          <w:rStyle w:val="VerbatimChar"/>
        </w:rPr>
        <w:t xml:space="preserve">CLAIMS_AND_FIGURES_REGISTER.csv</w:t>
      </w:r>
      <w:r>
        <w:t xml:space="preserve"> </w:t>
      </w:r>
      <w:r>
        <w:t xml:space="preserve">(62 claims). Each source records title, institution, date, location, URL, access date, geographic and population scope, definition, tier in the hierarchy, limitations, and whether it supports the claim directly or only by inference.</w:t>
      </w:r>
    </w:p>
    <w:p>
      <w:pPr>
        <w:pStyle w:val="BodyText"/>
      </w:pPr>
      <w:r>
        <w:rPr>
          <w:bCs/>
          <w:b/>
        </w:rPr>
        <w:t xml:space="preserve">The primary Malaysian Indian Blueprint 2017 (172 pp) was obtained and text-extracted</w:t>
      </w:r>
      <w:r>
        <w:t xml:space="preserve"> </w:t>
      </w:r>
      <w:r>
        <w:t xml:space="preserve">to</w:t>
      </w:r>
      <w:r>
        <w:t xml:space="preserve"> </w:t>
      </w:r>
      <w:r>
        <w:rPr>
          <w:rStyle w:val="VerbatimChar"/>
        </w:rPr>
        <w:t xml:space="preserve">outputs/extracted/MIB_2017_blueprint.txt</w:t>
      </w:r>
      <w:r>
        <w:t xml:space="preserve">, and is the basis on which five claims were rejected as unsupported. The hosted copy is not on a gov.my domain, which is recorded as a limitation of SRC-001.</w:t>
      </w:r>
    </w:p>
    <w:bookmarkEnd w:id="81"/>
    <w:bookmarkStart w:id="82" w:name="X5e0ef715f6abb20366927665e291c736547d120"/>
    <w:p>
      <w:pPr>
        <w:pStyle w:val="Heading2"/>
        <w:keepNext/>
      </w:pPr>
      <w:r>
        <w:t xml:space="preserve">Annex G — Assumptions, decisions and validation items</w:t>
      </w:r>
    </w:p>
    <w:p>
      <w:pPr>
        <w:pStyle w:val="FirstParagraph"/>
      </w:pPr>
      <w:r>
        <w:rPr>
          <w:rStyle w:val="VerbatimChar"/>
        </w:rPr>
        <w:t xml:space="preserve">ASSUMPTIONS_AND_DECISIONS.md</w:t>
      </w:r>
      <w:r>
        <w:t xml:space="preserve"> </w:t>
      </w:r>
      <w:r>
        <w:t xml:space="preserve">records material decisions, alternatives and provisional planning assumptions.</w:t>
      </w:r>
      <w:r>
        <w:t xml:space="preserve"> </w:t>
      </w:r>
      <w:r>
        <w:rPr>
          <w:rStyle w:val="VerbatimChar"/>
        </w:rPr>
        <w:t xml:space="preserve">VALIDATION_REGISTER.csv</w:t>
      </w:r>
      <w:r>
        <w:t xml:space="preserve"> </w:t>
      </w:r>
      <w:r>
        <w:t xml:space="preserve">is the canonical control register for all</w:t>
      </w:r>
      <w:r>
        <w:t xml:space="preserve"> </w:t>
      </w:r>
      <w:r>
        <w:rPr>
          <w:bCs/>
          <w:b/>
        </w:rPr>
        <w:t xml:space="preserve">30 validation items</w:t>
      </w:r>
      <w:r>
        <w:t xml:space="preserve">:</w:t>
      </w:r>
      <w:r>
        <w:t xml:space="preserve"> </w:t>
      </w:r>
      <w:r>
        <w:rPr>
          <w:bCs/>
          <w:b/>
        </w:rPr>
        <w:t xml:space="preserve">12 pre-submission gates, 8 programme-launch gates, 2 phase-expansion gates, 5 operational baselines and 3 deferrable validation matters</w:t>
      </w:r>
      <w:r>
        <w:t xml:space="preserve">. The six strict gates remain VAL-01, VAL-09, VAL-11, VAL-19, VAL-23 and VAL-30; VAL-03, VAL-24, VAL-27 and VAL-28 are decision-dependent critical. Every item has one accountable owner, supporting agencies, evidence, deadline, escalation route, financial consequence, affected decision and controlled status.</w:t>
      </w:r>
    </w:p>
    <w:bookmarkEnd w:id="82"/>
    <w:bookmarkStart w:id="83" w:name="annex-h--machine-verification"/>
    <w:p>
      <w:pPr>
        <w:pStyle w:val="Heading2"/>
        <w:keepNext/>
      </w:pPr>
      <w:r>
        <w:t xml:space="preserve">Annex H — Machine verification</w:t>
      </w:r>
    </w:p>
    <w:p>
      <w:pPr>
        <w:pStyle w:val="FirstParagraph"/>
      </w:pPr>
      <w:r>
        <w:rPr>
          <w:rStyle w:val="VerbatimChar"/>
        </w:rPr>
        <w:t xml:space="preserve">verify_outputs.py</w:t>
      </w:r>
      <w:r>
        <w:t xml:space="preserve"> </w:t>
      </w:r>
      <w:r>
        <w:t xml:space="preserve">and</w:t>
      </w:r>
      <w:r>
        <w:t xml:space="preserve"> </w:t>
      </w:r>
      <w:r>
        <w:rPr>
          <w:rStyle w:val="VerbatimChar"/>
        </w:rPr>
        <w:t xml:space="preserve">VERIFICATION_RESULTS.md</w:t>
      </w:r>
      <w:r>
        <w:t xml:space="preserve">. Rebuild and re-verify in two commands:</w:t>
      </w:r>
    </w:p>
    <w:p>
      <w:pPr>
        <w:pStyle w:val="SourceCode"/>
      </w:pPr>
      <w:r>
        <w:rPr>
          <w:rStyle w:val="ExtensionTok"/>
        </w:rPr>
        <w:t xml:space="preserve">python</w:t>
      </w:r>
      <w:r>
        <w:rPr>
          <w:rStyle w:val="NormalTok"/>
        </w:rPr>
        <w:t xml:space="preserve"> outputs/build_costing.py </w:t>
      </w:r>
      <w:r>
        <w:rPr>
          <w:rStyle w:val="KeywordTok"/>
        </w:rPr>
        <w:t xml:space="preserve">&amp;&amp;</w:t>
      </w:r>
      <w:r>
        <w:rPr>
          <w:rStyle w:val="NormalTok"/>
        </w:rPr>
        <w:t xml:space="preserve"> </w:t>
      </w:r>
      <w:r>
        <w:rPr>
          <w:rStyle w:val="ExtensionTok"/>
        </w:rPr>
        <w:t xml:space="preserve">python</w:t>
      </w:r>
      <w:r>
        <w:rPr>
          <w:rStyle w:val="NormalTok"/>
        </w:rPr>
        <w:t xml:space="preserve"> outputs/verify_outputs.py</w:t>
      </w:r>
    </w:p>
    <w:bookmarkEnd w:id="83"/>
    <w:bookmarkStart w:id="84" w:name="annex-i--source-extraction-record"/>
    <w:p>
      <w:pPr>
        <w:pStyle w:val="Heading2"/>
        <w:keepNext/>
      </w:pPr>
      <w:r>
        <w:t xml:space="preserve">Annex I — Source extraction record</w:t>
      </w:r>
    </w:p>
    <w:p>
      <w:pPr>
        <w:pStyle w:val="FirstParagraph"/>
      </w:pPr>
      <w:r>
        <w:rPr>
          <w:rStyle w:val="VerbatimChar"/>
        </w:rPr>
        <w:t xml:space="preserve">extract_sources.py</w:t>
      </w:r>
      <w:r>
        <w:t xml:space="preserve">,</w:t>
      </w:r>
      <w:r>
        <w:t xml:space="preserve"> </w:t>
      </w:r>
      <w:r>
        <w:rPr>
          <w:rStyle w:val="VerbatimChar"/>
        </w:rPr>
        <w:t xml:space="preserve">outputs/extracted/*.txt</w:t>
      </w:r>
      <w:r>
        <w:t xml:space="preserve">,</w:t>
      </w:r>
      <w:r>
        <w:t xml:space="preserve"> </w:t>
      </w:r>
      <w:r>
        <w:rPr>
          <w:rStyle w:val="VerbatimChar"/>
        </w:rPr>
        <w:t xml:space="preserve">outputs/extracted/*_manifest.json</w:t>
      </w:r>
      <w:r>
        <w:t xml:space="preserve">. Both</w:t>
      </w:r>
      <w:r>
        <w:t xml:space="preserve"> </w:t>
      </w:r>
      <w:r>
        <w:rPr>
          <w:rStyle w:val="VerbatimChar"/>
        </w:rPr>
        <w:t xml:space="preserve">.docx</w:t>
      </w:r>
      <w:r>
        <w:t xml:space="preserve"> </w:t>
      </w:r>
      <w:r>
        <w:t xml:space="preserve">sources contain zero images, charts, drawings, embedded objects, text boxes, footnotes or hyperlink relationships — extraction is provably complete, and no content is image-only.</w:t>
      </w:r>
    </w:p>
    <w:bookmarkEnd w:id="84"/>
    <w:bookmarkStart w:id="85" w:name="X6193bdd0c33985e669d75bf5d17235087cf4f01"/>
    <w:p>
      <w:pPr>
        <w:pStyle w:val="Heading2"/>
        <w:keepNext/>
      </w:pPr>
      <w:r>
        <w:t xml:space="preserve">Annex J — Content excluded from this submission</w:t>
      </w:r>
    </w:p>
    <w:p>
      <w:pPr>
        <w:pStyle w:val="FirstParagraph"/>
      </w:pPr>
      <w:r>
        <w:t xml:space="preserve">Approximately 2,676 words (18.3%) of source 2 (Tabs 7–8: political messaging, signature statements, drafted speech text, voter-persuasion logic) and the electoral-cycle argument of source 1 are</w:t>
      </w:r>
      <w:r>
        <w:t xml:space="preserve"> </w:t>
      </w:r>
      <w:r>
        <w:rPr>
          <w:bCs/>
          <w:b/>
        </w:rPr>
        <w:t xml:space="preserve">excluded in full</w:t>
      </w:r>
      <w:r>
        <w:t xml:space="preserve"> </w:t>
      </w:r>
      <w:r>
        <w:t xml:space="preserve">(CNF-019, CNF-030). A public communications plan is a separate matter to be prepared under normal government protocols and forms no part of this submission.</w:t>
      </w:r>
    </w:p>
    <w:bookmarkEnd w:id="85"/>
    <w:bookmarkStart w:id="86" w:name="X3c9fa7006cde98dc8227702887734d836877a72"/>
    <w:p>
      <w:pPr>
        <w:pStyle w:val="Heading2"/>
        <w:keepNext/>
      </w:pPr>
      <w:r>
        <w:t xml:space="preserve">Annex K — Legal and jurisdictional clearance matrix</w:t>
      </w:r>
    </w:p>
    <w:p>
      <w:pPr>
        <w:pStyle w:val="FirstParagraph"/>
      </w:pPr>
      <w:r>
        <w:rPr>
          <w:rStyle w:val="VerbatimChar"/>
        </w:rPr>
        <w:t xml:space="preserve">LEGAL_ISSUES_REGISTER.csv</w:t>
      </w:r>
      <w:r>
        <w:t xml:space="preserve"> </w:t>
      </w:r>
      <w:r>
        <w:t xml:space="preserve">is the canonical matrix of</w:t>
      </w:r>
      <w:r>
        <w:t xml:space="preserve"> </w:t>
      </w:r>
      <w:r>
        <w:rPr>
          <w:bCs/>
          <w:b/>
        </w:rPr>
        <w:t xml:space="preserve">18 open legal issues</w:t>
      </w:r>
      <w:r>
        <w:t xml:space="preserve">. It separates 10 pre-submission clearances from 8 programme-launch clearances and maps each question to legal authorities, competent clearance owners, affected programmes and Stage 2 decisions, related validation controls, required written evidence and the consequence if unresolved. The detailed rendered record is in</w:t>
      </w:r>
      <w:r>
        <w:t xml:space="preserve"> </w:t>
      </w:r>
      <w:r>
        <w:rPr>
          <w:rStyle w:val="VerbatimChar"/>
        </w:rPr>
        <w:t xml:space="preserve">ASSUMPTIONS_AND_DECISIONS.md</w:t>
      </w:r>
      <w:r>
        <w:t xml:space="preserve">, Part G.</w:t>
      </w:r>
    </w:p>
    <w:p>
      <w:pPr>
        <w:pStyle w:val="BodyText"/>
      </w:pPr>
      <w:r>
        <w:t xml:space="preserve">This drafting exercise has obtained</w:t>
      </w:r>
      <w:r>
        <w:t xml:space="preserve"> </w:t>
      </w:r>
      <w:r>
        <w:rPr>
          <w:bCs/>
          <w:b/>
        </w:rPr>
        <w:t xml:space="preserve">no legal clearance</w:t>
      </w:r>
      <w:r>
        <w:t xml:space="preserve">. In particular, AGC and MOF must confirm the commencement, subsidiary and transitional instruments for the Government Procurement Act 2026 [Act 882] before any procurement route is selected. PRG-04 has six separate pathway-specific issues; a generic whole-package statement that the proposal was "legally reviewed" does not satisfy any of them.</w:t>
      </w:r>
    </w:p>
    <w:p>
      <w:r>
        <w:pict>
          <v:rect style="width:0;height:1.5pt" o:hralign="center" o:hrstd="t" o:hr="t"/>
        </w:pict>
      </w:r>
    </w:p>
    <w:bookmarkEnd w:id="86"/>
    <w:bookmarkStart w:id="88" w:name="X63464c3b0720d9fd518c4ffc50915c3c81defd8"/>
    <w:p>
      <w:pPr>
        <w:pStyle w:val="Heading2"/>
        <w:keepNext/>
      </w:pPr>
      <w:r>
        <w:t xml:space="preserve">Annex L — Phase 1 fiscal validation schedule</w:t>
      </w:r>
    </w:p>
    <w:p>
      <w:pPr>
        <w:pStyle w:val="FirstParagraph"/>
      </w:pPr>
      <w:r>
        <w:t xml:space="preserve">The schedule below is generated from the central rows of</w:t>
      </w:r>
      <w:r>
        <w:t xml:space="preserve"> </w:t>
      </w:r>
      <w:r>
        <w:rPr>
          <w:rStyle w:val="VerbatimChar"/>
        </w:rPr>
        <w:t xml:space="preserve">COSTING_MODEL.csv</w:t>
      </w:r>
      <w:r>
        <w:t xml:space="preserve">. It states gross Years 1–2 cost only. The model's existing/reallocated/new columns cover six years and are not apportioned here because no ministry or Treasury has confirmed a Phase 1 funding split.</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920"/>
        <w:gridCol w:w="2455"/>
        <w:gridCol w:w="2388"/>
        <w:gridCol w:w="1387"/>
        <w:gridCol w:w="1220"/>
        <w:gridCol w:w="990"/>
      </w:tblGrid>
      <w:tr>
        <w:trPr>
          <w:tblHeader w:val="true"/>
          <w:cantSplit w:val="true"/>
          <w:tblHeader w:val="true"/>
        </w:trPr>
        <w:tc>
          <w:tcPr>
            <w:tcW w:w="920"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6"/>
              </w:rPr>
              <w:t xml:space="preserve">Cost line</w:t>
            </w:r>
          </w:p>
        </w:tc>
        <w:tc>
          <w:tcPr>
            <w:tcW w:w="2455"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6"/>
              </w:rPr>
              <w:t xml:space="preserve">Programme / portfolio line</w:t>
            </w:r>
          </w:p>
        </w:tc>
        <w:tc>
          <w:tcPr>
            <w:tcW w:w="2388"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6"/>
              </w:rPr>
              <w:t xml:space="preserve">Lead ministry</w:t>
            </w:r>
          </w:p>
        </w:tc>
        <w:tc>
          <w:tcPr>
            <w:tcW w:w="1387"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6"/>
              </w:rPr>
              <w:t xml:space="preserve">Planning category</w:t>
            </w:r>
          </w:p>
        </w:tc>
        <w:tc>
          <w:tcPr>
            <w:tcW w:w="1220"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6"/>
              </w:rPr>
              <w:t xml:space="preserve">Phase 1 gross cost</w:t>
            </w:r>
          </w:p>
        </w:tc>
        <w:tc>
          <w:tcPr>
            <w:tcW w:w="990"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6"/>
              </w:rPr>
              <w:t xml:space="preserve">Confidence</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CL-002</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PRG-01 — National Documentation Resolution Programme</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Ministry of Home Affairs (JPN)</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operating expenditure</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RM14.600m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Benchmarked</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CL-005</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PRG-02 — Early Childhood Access Programme</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Ministry of Education</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transfer grant</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RM53.760m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Provisional</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CL-008</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PRG-03 — SJKT Safety and Learning Environment Programme</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Ministry of Education</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development expenditure</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RM60.720m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Provisional</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CL-011</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PRG-04 — Multi-Faith Community Institution Safety and Compliance Programme</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Ministry of National Unity</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development expenditure</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RM16.400m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Provisional</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CL-014</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PRG-05 — School-to-Pathway Guidance and Placement Support</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Ministry of Education</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operating expenditure</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RM9.800m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Provisional</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CL-017</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PRG-06 — TVET and STEM Progression Pipeline</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Ministry of Human Resources</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operating expenditure</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RM46.500m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Benchmarked</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CL-020</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PRG-07 — Tertiary Access Navigation and Transparency</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Ministry of Education</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operating expenditure</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RM6.000m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Provisional</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CL-023</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PRG-08 — Professional Entry and Mentoring</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Ministry of Higher Education</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operating expenditure</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RM0.000m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Provisional</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CL-026</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PRG-09 — Household Progression Programme</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Prime Minister's Department</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operating expenditure</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RM29.280m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Benchmarked</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CL-029</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PRG-10 — Microenterprise Growth and Vendor Capability Programme</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Ministry of Entrepreneur and Cooperatives Development</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operating expenditure</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RM0.000m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Provisional</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CL-032</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PRG-11 — Household Savings and Asset Accumulation Scheme</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Ministry of Finance</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transfer grant</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RM30.000m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Provisional</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CL-035</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PRG-12 — Housing Access and Estate Legacy Resolution</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Ministry of Housing and Local Government</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development expenditure</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RM14.000m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Provisional</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CL-038</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PRG-13 — Public Service Application Pipeline Programme</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Public Service Department (JPA)</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operating expenditure</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RM7.000m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Provisional</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CL-041</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PRG-14 — Public Service Professional Advancement</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Public Service Department (JPA)</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operating expenditure</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RM0.000m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Provisional</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CL-044</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PRG-15 — Task Force and Delivery Secretariat</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Prime Minister's Department</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administration</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RM11.700m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Benchmarked</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CL-047</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PRG-16 — Data, Evaluation and Public Reporting</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Prime Minister's Department</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monitoring evaluation</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RM18.000m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Provisional</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CL-050</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PRG-XX-ADMIN — Portfolio administration overhead</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All lead ministries</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administration</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RM12.710m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Provisional</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CL-053</w:t>
            </w:r>
          </w:p>
        </w:tc>
        <w:tc>
          <w:tcPr>
            <w:tcW w:w="245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PRG-XX-CONT — Portfolio contingency</w:t>
            </w:r>
          </w:p>
        </w:tc>
        <w:tc>
          <w:tcPr>
            <w:tcW w:w="2388"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Ministry of Finance</w:t>
            </w:r>
          </w:p>
        </w:tc>
        <w:tc>
          <w:tcPr>
            <w:tcW w:w="1387"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contingency</w:t>
            </w:r>
          </w:p>
        </w:tc>
        <w:tc>
          <w:tcPr>
            <w:tcW w:w="1220"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6"/>
              </w:rPr>
              <w:t xml:space="preserve">RM24.785m</w:t>
            </w:r>
          </w:p>
        </w:tc>
        <w:tc>
          <w:tcPr>
            <w:tcW w:w="990"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6"/>
              </w:rPr>
              <w:t xml:space="preserve">Provisional</w:t>
            </w:r>
          </w:p>
        </w:tc>
      </w:tr>
      <w:tr>
        <w:trPr>
          <w:cantSplit w:val="true"/>
        </w:trPr>
        <w:tc>
          <w:tcPr>
            <w:tcW w:w="920"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6"/>
              </w:rPr>
              <w:t xml:space="preserve">Total</w:t>
            </w:r>
          </w:p>
        </w:tc>
        <w:tc>
          <w:tcPr>
            <w:tcW w:w="2455"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6"/>
              </w:rPr>
              <w:t xml:space="preserve">Central planning case</w:t>
            </w:r>
          </w:p>
        </w:tc>
        <w:tc>
          <w:tcPr>
            <w:tcW w:w="2388" w:type="dxa"/>
            <w:tcMar>
              <w:top w:w="80" w:type="dxa"/>
              <w:start w:w="120" w:type="dxa"/>
              <w:bottom w:w="80" w:type="dxa"/>
              <w:end w:w="120" w:type="dxa"/>
            </w:tcMar>
            <w:vAlign w:val="center"/>
          </w:tcPr>
          <w:p>
            <w:pPr>
              <w:pStyle w:val="Compact"/>
              <w:spacing w:before="0" w:after="40" w:line="240" w:lineRule="auto"/>
            </w:pPr>
          </w:p>
        </w:tc>
        <w:tc>
          <w:tcPr>
            <w:tcW w:w="1387" w:type="dxa"/>
            <w:tcMar>
              <w:top w:w="80" w:type="dxa"/>
              <w:start w:w="120" w:type="dxa"/>
              <w:bottom w:w="80" w:type="dxa"/>
              <w:end w:w="120" w:type="dxa"/>
            </w:tcMar>
            <w:vAlign w:val="center"/>
          </w:tcPr>
          <w:p>
            <w:pPr>
              <w:pStyle w:val="Compact"/>
              <w:spacing w:before="0" w:after="40" w:line="240" w:lineRule="auto"/>
            </w:pPr>
          </w:p>
        </w:tc>
        <w:tc>
          <w:tcPr>
            <w:tcW w:w="1220" w:type="dxa"/>
            <w:tcMar>
              <w:top w:w="80" w:type="dxa"/>
              <w:start w:w="120" w:type="dxa"/>
              <w:bottom w:w="80" w:type="dxa"/>
              <w:end w:w="120" w:type="dxa"/>
            </w:tcMar>
            <w:vAlign w:val="center"/>
          </w:tcPr>
          <w:p>
            <w:pPr>
              <w:pStyle w:val="Compact"/>
              <w:spacing w:before="0" w:after="40" w:line="240" w:lineRule="auto"/>
              <w:jc w:val="right"/>
            </w:pPr>
            <w:r>
              <w:rPr>
                <w:bCs/>
                <w:rFonts w:ascii="Calibri" w:hAnsi="Calibri"/>
                <w:b/>
                <w:color w:val="0B2545"/>
                <w:sz w:val="16"/>
              </w:rPr>
              <w:t xml:space="preserve">RM355.255m</w:t>
            </w:r>
          </w:p>
        </w:tc>
        <w:tc>
          <w:tcPr>
            <w:tcW w:w="990" w:type="dxa"/>
            <w:tcMar>
              <w:top w:w="80" w:type="dxa"/>
              <w:start w:w="120" w:type="dxa"/>
              <w:bottom w:w="80" w:type="dxa"/>
              <w:end w:w="120" w:type="dxa"/>
            </w:tcMar>
            <w:vAlign w:val="center"/>
          </w:tcPr>
          <w:p>
            <w:pPr>
              <w:pStyle w:val="Compact"/>
              <w:spacing w:before="0" w:after="40" w:line="240" w:lineRule="auto"/>
              <w:jc w:val="left"/>
            </w:pPr>
            <w:r>
              <w:rPr>
                <w:bCs/>
                <w:rFonts w:ascii="Calibri" w:hAnsi="Calibri"/>
                <w:b/>
                <w:color w:val="0B2545"/>
                <w:sz w:val="16"/>
              </w:rPr>
              <w:t xml:space="preserve">Unvalidated</w:t>
            </w:r>
          </w:p>
        </w:tc>
      </w:tr>
    </w:tbl>
    <w:bookmarkStart w:id="87" w:name="l1-scenario-boundary"/>
    <w:p>
      <w:pPr>
        <w:pStyle w:val="Heading3"/>
        <w:keepNext/>
      </w:pPr>
      <w:r>
        <w:t xml:space="preserve">L.1 Scenario boundary</w:t>
      </w:r>
    </w:p>
    <w:tbl>
      <w:tblPr>
        <w:tblStyle w:val="Table"/>
        <w:tblW w:type="dxa" w:w="9360"/>
        <w:jc w:val="left"/>
        <w:tblLayout w:type="fixed"/>
        <w:tblLook w:firstRow="1" w:lastRow="0" w:firstColumn="0" w:lastColumn="0" w:noHBand="0" w:noVBand="0" w:val="0020"/>
        <w:tblInd w:w="120" w:type="dxa"/>
        <w:tblBorders>
          <w:top w:val="single" w:sz="4" w:color="B8C2CC"/>
          <w:left w:val="single" w:sz="4" w:color="B8C2CC"/>
          <w:bottom w:val="single" w:sz="4" w:color="B8C2CC"/>
          <w:right w:val="single" w:sz="4" w:color="B8C2CC"/>
          <w:insideH w:val="single" w:sz="4" w:color="B8C2CC"/>
          <w:insideV w:val="single" w:sz="4" w:color="B8C2CC"/>
        </w:tblBorders>
      </w:tblPr>
      <w:tblGrid>
        <w:gridCol w:w="1719"/>
        <w:gridCol w:w="2806"/>
        <w:gridCol w:w="4835"/>
      </w:tblGrid>
      <w:tr>
        <w:trPr>
          <w:tblHeader w:val="true"/>
          <w:cantSplit w:val="true"/>
          <w:tblHeader w:val="true"/>
        </w:trPr>
        <w:tc>
          <w:tcPr>
            <w:tcW w:w="1719"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Scenario</w:t>
            </w:r>
          </w:p>
        </w:tc>
        <w:tc>
          <w:tcPr>
            <w:tcW w:w="2806" w:type="dxa"/>
            <w:tcMar>
              <w:top w:w="80" w:type="dxa"/>
              <w:start w:w="120" w:type="dxa"/>
              <w:bottom w:w="80" w:type="dxa"/>
              <w:end w:w="120" w:type="dxa"/>
            </w:tcMar>
            <w:vAlign w:val="center"/>
            <w:shd w:fill="F4F6F9"/>
          </w:tcPr>
          <w:p>
            <w:pPr>
              <w:pStyle w:val="Compact"/>
              <w:spacing w:before="0" w:after="40" w:line="240" w:lineRule="auto"/>
              <w:jc w:val="right"/>
            </w:pPr>
            <w:r>
              <w:rPr>
                <w:rFonts w:ascii="Calibri" w:hAnsi="Calibri"/>
                <w:b/>
                <w:color w:val="0B2545"/>
                <w:sz w:val="17"/>
              </w:rPr>
              <w:t xml:space="preserve">Phase 1 gross planning cost</w:t>
            </w:r>
          </w:p>
        </w:tc>
        <w:tc>
          <w:tcPr>
            <w:tcW w:w="4835" w:type="dxa"/>
            <w:tcMar>
              <w:top w:w="80" w:type="dxa"/>
              <w:start w:w="120" w:type="dxa"/>
              <w:bottom w:w="80" w:type="dxa"/>
              <w:end w:w="120" w:type="dxa"/>
            </w:tcMar>
            <w:vAlign w:val="center"/>
            <w:shd w:fill="F4F6F9"/>
          </w:tcPr>
          <w:p>
            <w:pPr>
              <w:pStyle w:val="Compact"/>
              <w:spacing w:before="0" w:after="40" w:line="240" w:lineRule="auto"/>
              <w:jc w:val="left"/>
            </w:pPr>
            <w:r>
              <w:rPr>
                <w:rFonts w:ascii="Calibri" w:hAnsi="Calibri"/>
                <w:b/>
                <w:color w:val="0B2545"/>
                <w:sz w:val="17"/>
              </w:rPr>
              <w:t xml:space="preserve">Status</w:t>
            </w:r>
          </w:p>
        </w:tc>
      </w:tr>
      <w:tr>
        <w:trPr>
          <w:cantSplit w:val="true"/>
        </w:trPr>
        <w:tc>
          <w:tcPr>
            <w:tcW w:w="171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Conservative</w:t>
            </w:r>
          </w:p>
        </w:tc>
        <w:tc>
          <w:tcPr>
            <w:tcW w:w="2806"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RM283.359m</w:t>
            </w:r>
          </w:p>
        </w:tc>
        <w:tc>
          <w:tcPr>
            <w:tcW w:w="483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Cost sensitivity only; output package not yet specified</w:t>
            </w:r>
          </w:p>
        </w:tc>
      </w:tr>
      <w:tr>
        <w:trPr>
          <w:cantSplit w:val="true"/>
        </w:trPr>
        <w:tc>
          <w:tcPr>
            <w:tcW w:w="171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Central</w:t>
            </w:r>
          </w:p>
        </w:tc>
        <w:tc>
          <w:tcPr>
            <w:tcW w:w="2806"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RM355.255m</w:t>
            </w:r>
          </w:p>
        </w:tc>
        <w:tc>
          <w:tcPr>
            <w:tcW w:w="483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Gross design case; not a ceiling or request</w:t>
            </w:r>
          </w:p>
        </w:tc>
      </w:tr>
      <w:tr>
        <w:trPr>
          <w:cantSplit w:val="true"/>
        </w:trPr>
        <w:tc>
          <w:tcPr>
            <w:tcW w:w="1719"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Expanded</w:t>
            </w:r>
          </w:p>
        </w:tc>
        <w:tc>
          <w:tcPr>
            <w:tcW w:w="2806" w:type="dxa"/>
            <w:tcMar>
              <w:top w:w="80" w:type="dxa"/>
              <w:start w:w="120" w:type="dxa"/>
              <w:bottom w:w="80" w:type="dxa"/>
              <w:end w:w="120" w:type="dxa"/>
            </w:tcMar>
            <w:vAlign w:val="center"/>
          </w:tcPr>
          <w:p>
            <w:pPr>
              <w:pStyle w:val="Compact"/>
              <w:spacing w:before="0" w:after="40" w:line="240" w:lineRule="auto"/>
              <w:jc w:val="right"/>
            </w:pPr>
            <w:r>
              <w:rPr>
                <w:rFonts w:ascii="Calibri" w:hAnsi="Calibri"/>
                <w:color w:val="0B2545"/>
                <w:sz w:val="17"/>
              </w:rPr>
              <w:t xml:space="preserve">RM441.532m</w:t>
            </w:r>
          </w:p>
        </w:tc>
        <w:tc>
          <w:tcPr>
            <w:tcW w:w="4835" w:type="dxa"/>
            <w:tcMar>
              <w:top w:w="80" w:type="dxa"/>
              <w:start w:w="120" w:type="dxa"/>
              <w:bottom w:w="80" w:type="dxa"/>
              <w:end w:w="120" w:type="dxa"/>
            </w:tcMar>
            <w:vAlign w:val="center"/>
          </w:tcPr>
          <w:p>
            <w:pPr>
              <w:pStyle w:val="Compact"/>
              <w:spacing w:before="0" w:after="40" w:line="240" w:lineRule="auto"/>
              <w:jc w:val="left"/>
            </w:pPr>
            <w:r>
              <w:rPr>
                <w:rFonts w:ascii="Calibri" w:hAnsi="Calibri"/>
                <w:color w:val="0B2545"/>
                <w:sz w:val="17"/>
              </w:rPr>
              <w:t xml:space="preserve">Cost sensitivity only; output package not yet specified</w:t>
            </w:r>
          </w:p>
        </w:tc>
      </w:tr>
    </w:tbl>
    <w:p>
      <w:pPr>
        <w:pStyle w:val="BodyText"/>
      </w:pPr>
      <w:r>
        <w:t xml:space="preserve">Before submission for implementation, MOF must replace this gross schedule with an accepted annual schedule of components and outputs showing confirmed existing funding, approved reallocation and incremental funding by vote, programme/activity, object, accounting officer and transaction route. PRG-01 and PRG-14 remain visible as gross planning items but are excluded from any claimed validated ceiling until their complete formulas and evidence are accepted; associated administration and contingency must be recalculated for the selected package. The validated total may be lower or higher than the current central case; it is not mechanically selected from these three sensitivities.</w:t>
      </w:r>
    </w:p>
    <w:bookmarkEnd w:id="87"/>
    <w:bookmarkEnd w:id="88"/>
    <w:bookmarkEnd w:id="89"/>
    <w:sectPr>
      <w:headerReference w:type="default" r:id="rId9"/>
      <w:footerReference w:type="default" r:id="rId10"/>
      <w:pgSz w:w="12240" w:h="15840"/>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C"/>
        <w:sz w:val="17"/>
      </w:rPr>
      <w:t xml:space="preserve">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626C"/>
        <w:sz w:val="17"/>
      </w:rPr>
      <w:t>MIB 2.0  |  Preliminary Cabinet Consideration</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60" w:line="320" w:lineRule="auto"/>
      <w:jc w:val="both"/>
    </w:pPr>
    <w:rPr>
      <w:rFonts w:ascii="Calibri" w:hAnsi="Calibri"/>
      <w:color w:val="0B2545"/>
      <w:sz w:val="22"/>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Heading1">
    <w:name w:val="heading 1"/>
    <w:pPr>
      <w:keepNext/>
      <w:keepLines/>
      <w:spacing w:before="360" w:after="200"/>
    </w:pPr>
    <w:rPr>
      <w:rFonts w:ascii="Calibri" w:hAnsi="Calibri"/>
      <w:b/>
      <w:color w:val="2E74B5"/>
      <w:sz w:val="32"/>
    </w:rPr>
  </w:style>
  <w:style w:type="paragraph" w:customStyle="1" w:styleId="Heading2">
    <w:name w:val="heading 2"/>
    <w:pPr>
      <w:keepNext/>
      <w:keepLines/>
      <w:spacing w:before="240" w:after="120"/>
    </w:pPr>
    <w:rPr>
      <w:rFonts w:ascii="Calibri" w:hAnsi="Calibri"/>
      <w:b/>
      <w:color w:val="2E74B5"/>
      <w:sz w:val="26"/>
    </w:rPr>
  </w:style>
  <w:style w:type="paragraph" w:customStyle="1" w:styleId="Heading3">
    <w:name w:val="heading 3"/>
    <w:pPr>
      <w:keepNext/>
      <w:keepLines/>
      <w:spacing w:before="160" w:after="80"/>
    </w:pPr>
    <w:rPr>
      <w:rFonts w:ascii="Calibri" w:hAnsi="Calibri"/>
      <w:b/>
      <w:color w:val="1F4D78"/>
      <w:sz w:val="24"/>
    </w:rPr>
  </w:style>
  <w:style w:type="paragraph" w:customStyle="1" w:styleId="Heading4">
    <w:name w:val="heading 4"/>
    <w:pPr>
      <w:keepNext/>
      <w:keepLines/>
      <w:spacing w:before="160" w:after="80"/>
    </w:pPr>
    <w:rPr>
      <w:rFonts w:ascii="Calibri" w:hAnsi="Calibri"/>
      <w:b/>
      <w:color w:val="1F4D78"/>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MIB 2.0 Cabinet Submission</dc:title>
  <dc:creator>MIB 2.0 Policy Project</dc:creator>
  <cp:keywords>MIB 2.0, Cabinet, Malaysia, assurance, policy</cp:keywords>
  <dcterms:created xsi:type="dcterms:W3CDTF">2026-08-10T00:00:00Z</dcterms:created>
  <dcterms:modified xsi:type="dcterms:W3CDTF">2026-08-10T00:00:00Z</dcterms:modified>
  <dc:subject>Evidence-led six-year policy architecture for preliminary Cabinet consideration</dc:subject>
</cp:coreProperties>
</file>

<file path=docProps/custom.xml><?xml version="1.0" encoding="utf-8"?>
<Properties xmlns="http://schemas.openxmlformats.org/officeDocument/2006/custom-properties" xmlns:vt="http://schemas.openxmlformats.org/officeDocument/2006/docPropsVTypes"/>
</file>