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7820D8">
        <w:rPr>
          <w:b/>
          <w:lang w:val="ru-RU"/>
        </w:rPr>
        <w:t>1. Название компании:</w:t>
      </w:r>
      <w:r w:rsidRPr="007820D8">
        <w:rPr>
          <w:lang w:val="ru-RU"/>
        </w:rPr>
        <w:t xml:space="preserve"> АО "НАУЧНО-ПРОИЗВОДСТВЕННОЕ ПРЕДПРИЯТИЕ ЭНЕРГИЯ"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820D8">
        <w:rPr>
          <w:b/>
          <w:lang w:val="ru-RU"/>
        </w:rPr>
        <w:t>2. ИНН:</w:t>
      </w:r>
      <w:r w:rsidRPr="007820D8">
        <w:rPr>
          <w:lang w:val="ru-RU"/>
        </w:rPr>
        <w:t xml:space="preserve"> 7720613010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820D8">
        <w:rPr>
          <w:b/>
          <w:lang w:val="ru-RU"/>
        </w:rPr>
        <w:t>3. Дата регистрации:</w:t>
      </w:r>
      <w:r w:rsidRPr="007820D8">
        <w:rPr>
          <w:lang w:val="ru-RU"/>
        </w:rPr>
        <w:t xml:space="preserve"> 2008-03-31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820D8">
        <w:rPr>
          <w:b/>
          <w:lang w:val="ru-RU"/>
        </w:rPr>
        <w:t>4. Уставный капитал:</w:t>
      </w:r>
      <w:r w:rsidRPr="007820D8">
        <w:rPr>
          <w:lang w:val="ru-RU"/>
        </w:rPr>
        <w:t xml:space="preserve"> 250 000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820D8">
        <w:rPr>
          <w:b/>
          <w:lang w:val="ru-RU"/>
        </w:rPr>
        <w:t>5. Юр. адрес:</w:t>
      </w:r>
      <w:r w:rsidRPr="007820D8">
        <w:rPr>
          <w:lang w:val="ru-RU"/>
        </w:rPr>
        <w:t xml:space="preserve"> 111123, г. Москва, Энтузиастов шоссе, д. 56, стр. 24, помещ. 19/1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820D8">
        <w:rPr>
          <w:b/>
          <w:lang w:val="ru-RU"/>
        </w:rPr>
        <w:t>6. Руководитель:</w:t>
      </w:r>
      <w:r w:rsidRPr="007820D8">
        <w:rPr>
          <w:lang w:val="ru-RU"/>
        </w:rPr>
        <w:t xml:space="preserve"> ГЕНЕРАЛЬНЫЙ ДИРЕКТОР Большаков Алексей Владимирович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820D8">
        <w:rPr>
          <w:b/>
          <w:lang w:val="ru-RU"/>
        </w:rPr>
        <w:t>7. ОКВЭД:</w:t>
      </w:r>
      <w:r w:rsidRPr="007820D8">
        <w:rPr>
          <w:lang w:val="ru-RU"/>
        </w:rPr>
        <w:t xml:space="preserve"> Производство электрической распределительной и регулирующей аппаратуры (27.12)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820D8">
        <w:rPr>
          <w:b/>
          <w:lang w:val="ru-RU"/>
        </w:rPr>
        <w:t>8. Контакты:</w:t>
      </w:r>
      <w:r w:rsidRPr="007820D8">
        <w:rPr>
          <w:lang w:val="ru-RU"/>
        </w:rPr>
        <w:t xml:space="preserve"> </w:t>
      </w:r>
      <w:r>
        <w:t>http</w:t>
      </w:r>
      <w:r w:rsidRPr="007820D8">
        <w:rPr>
          <w:lang w:val="ru-RU"/>
        </w:rPr>
        <w:t>://</w:t>
      </w:r>
      <w:r>
        <w:t>npp</w:t>
      </w:r>
      <w:r w:rsidRPr="007820D8">
        <w:rPr>
          <w:lang w:val="ru-RU"/>
        </w:rPr>
        <w:t>-</w:t>
      </w:r>
      <w:r>
        <w:t>energy</w:t>
      </w:r>
      <w:r w:rsidRPr="007820D8">
        <w:rPr>
          <w:lang w:val="ru-RU"/>
        </w:rPr>
        <w:t>.</w:t>
      </w:r>
      <w:r>
        <w:t>ru</w:t>
      </w:r>
      <w:r w:rsidRPr="007820D8">
        <w:rPr>
          <w:lang w:val="ru-RU"/>
        </w:rPr>
        <w:t xml:space="preserve"> | +74997851007 | </w:t>
      </w:r>
      <w:r>
        <w:t>sales</w:t>
      </w:r>
      <w:r w:rsidRPr="007820D8">
        <w:rPr>
          <w:lang w:val="ru-RU"/>
        </w:rPr>
        <w:t>@</w:t>
      </w:r>
      <w:r>
        <w:t>npp</w:t>
      </w:r>
      <w:r w:rsidRPr="007820D8">
        <w:rPr>
          <w:lang w:val="ru-RU"/>
        </w:rPr>
        <w:t>-</w:t>
      </w:r>
      <w:r>
        <w:t>energy</w:t>
      </w:r>
      <w:r w:rsidRPr="007820D8">
        <w:rPr>
          <w:lang w:val="ru-RU"/>
        </w:rPr>
        <w:t>.</w:t>
      </w:r>
      <w:r>
        <w:t>ru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 w:rsidRPr="007820D8">
        <w:rPr>
          <w:b/>
          <w:lang w:val="ru-RU"/>
        </w:rPr>
        <w:t>9. Численность сотрудников:</w:t>
      </w:r>
      <w:r w:rsidRPr="007820D8">
        <w:rPr>
          <w:lang w:val="ru-RU"/>
        </w:rPr>
        <w:t xml:space="preserve"> 83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 w:rsidRPr="007820D8">
        <w:rPr>
          <w:b/>
          <w:lang w:val="ru-RU"/>
        </w:rPr>
        <w:t>10. Санкции:</w:t>
      </w:r>
      <w:r w:rsidRPr="007820D8">
        <w:rPr>
          <w:lang w:val="ru-RU"/>
        </w:rP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A4F7B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A4F7B" w:rsidRDefault="00EB3AB9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612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A4F7B" w:rsidRDefault="00EB3AB9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612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 w:rsidRPr="007820D8">
        <w:rPr>
          <w:b/>
          <w:lang w:val="ru-RU"/>
        </w:rPr>
        <w:t>Аналитика кратко:</w:t>
      </w:r>
    </w:p>
    <w:p w:rsidR="000A4F7B" w:rsidRPr="007820D8" w:rsidRDefault="00EB3AB9">
      <w:pPr>
        <w:spacing w:before="120"/>
        <w:jc w:val="center"/>
        <w:rPr>
          <w:lang w:val="ru-RU"/>
        </w:rPr>
      </w:pPr>
      <w:r w:rsidRPr="007820D8">
        <w:rPr>
          <w:b/>
          <w:lang w:val="ru-RU"/>
        </w:rPr>
        <w:t>Главное о компании</w:t>
      </w:r>
    </w:p>
    <w:p w:rsidR="000A4F7B" w:rsidRDefault="00EB3AB9">
      <w:pPr>
        <w:spacing w:after="120"/>
        <w:ind w:firstLine="709"/>
        <w:jc w:val="both"/>
      </w:pPr>
      <w:r w:rsidRPr="007820D8">
        <w:rPr>
          <w:lang w:val="ru-RU"/>
        </w:rPr>
        <w:t xml:space="preserve">Главное о компании за 1 минуту АО "НПП </w:t>
      </w:r>
      <w:r w:rsidRPr="007820D8">
        <w:rPr>
          <w:lang w:val="ru-RU"/>
        </w:rPr>
        <w:t>Энергия" основано 31 марта 2008 года и зарегистрировано в Москве. Компания работает на рынке производства электрической распределительной и регулирующей аппаратуры. Генеральный директор Алексей Владимирович Большаков назначен на эту должность в мае 2025 го</w:t>
      </w:r>
      <w:r w:rsidRPr="007820D8">
        <w:rPr>
          <w:lang w:val="ru-RU"/>
        </w:rPr>
        <w:t xml:space="preserve">да. </w:t>
      </w:r>
      <w:r>
        <w:t>Информация об учредителях и структуре собственности в открытых источниках отсутствует. Численность сотрудников стабильно растёт: с 38 человек в 2018 году до 83 в 2024-м, что может говорить о расширении операционной деятельности. География работы ограни</w:t>
      </w:r>
      <w:r>
        <w:t>чена головным офисом, филиалы и представительства отсутствуют. Компания имеет действующую лицензию на монтаж и обслуживание средств пожарной безопасности, полученную в 2017 году, что указывает на ведение регулируемой деятельности в этой сфере. Активных тов</w:t>
      </w:r>
      <w:r>
        <w:t>арных знаков у компании нет.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>
        <w:rPr>
          <w:b/>
        </w:rPr>
        <w:t>Боль №1: Риск блокировки платежей за импортную электронную компонентную базу (ЭКБ)</w:t>
      </w:r>
      <w:r w:rsidR="00EB3AB9">
        <w:br/>
      </w:r>
      <w:r>
        <w:rPr>
          <w:b/>
        </w:rPr>
        <w:t>Ситуация:</w:t>
      </w:r>
      <w:r>
        <w:t xml:space="preserve"> Компания производит электрическую распределительную аппаратуру </w:t>
      </w:r>
      <w:r>
        <w:lastRenderedPageBreak/>
        <w:t>(ОКВЭД 27.12), что требует бесперебойного импорта микроэлектроники, реле и контроллеров из Азии. Поскольку данные комплектующие массово классифицируются комплаенс-отделами иностранных банков как товары двойного назначения, азиатские банки-корреспонденты регулярно задерживают платежи или отказывают в проведении транзакций, даже несмотря на то, что сама компания не числится в санкционных списках.</w:t>
      </w:r>
      <w:r w:rsidR="00EB3AB9">
        <w:br/>
      </w:r>
      <w:r>
        <w:rPr>
          <w:b/>
        </w:rPr>
        <w:t>Решение:</w:t>
      </w:r>
      <w:r>
        <w:t xml:space="preserve"> Предоставление транзитных платежных маршрутов через нейтральные юрисдикции и агентские схемы, исключающие прямую комплаенс-связку платежа с российским производством оборудования, подпадающего под жесткий экспортный контроль.</w:t>
      </w:r>
    </w:p>
    <w:p w:rsidR="00263FF9" w:rsidRPr="008B1FDC" w:rsidRDefault="00C10972" w:rsidP="00A141C6">
      <w:pPr>
        <w:pStyle w:val="a0"/>
        <w:spacing w:after="0"/>
        <w:jc w:val="both"/>
      </w:pPr>
      <w:r>
        <w:rPr>
          <w:b/>
        </w:rPr>
        <w:t>Боль №2: Кассовые разрывы из-за увеличения цикла ВЭД-сделок</w:t>
      </w:r>
      <w:r w:rsidR="00EB3AB9">
        <w:br/>
      </w:r>
      <w:r>
        <w:rPr>
          <w:b/>
        </w:rPr>
        <w:t>Ситуация:</w:t>
      </w:r>
      <w:r>
        <w:t xml:space="preserve"> Выручка клиента за 2024 год выросла до 917 млн руб. при стабильном росте штата, что указывает на активное масштабирование производственных мощностей. Закупка иностранных комплектующих требует 100% предоплаты. Из-за текущих проблем с классическим банковским клирингом сроки зачисления средств поставщикам растягиваются на недели. Это замораживает оборотный капитал предприятия на длительный срок до момента выпуска и реализации готовой аппаратуры на внутреннем рынке.</w:t>
      </w:r>
      <w:r w:rsidR="00EB3AB9">
        <w:br/>
      </w:r>
      <w:r>
        <w:rPr>
          <w:b/>
        </w:rPr>
        <w:t>Решение:</w:t>
      </w:r>
      <w:r>
        <w:t xml:space="preserve"> Ускорение трансграничных расчетов до 1-2 дней за счет внутренних клиринговых пулов финтех-сервиса, что позволяет сократить цикл заморозки ликвидности, быстрее запускать производство и минимизировать кассовые разрывы.</w:t>
      </w:r>
    </w:p>
    <w:p w:rsidR="00DF1920" w:rsidRDefault="008B1FDC" w:rsidP="00675C81">
      <w:pPr>
        <w:pStyle w:val="a0"/>
        <w:spacing w:after="0"/>
        <w:jc w:val="both"/>
      </w:pPr>
      <w:r>
        <w:rPr>
          <w:b/>
        </w:rPr>
        <w:t>Боль №3: Потери чистой прибыли на транзакционных издержках и кросс-курсах</w:t>
      </w:r>
      <w:r w:rsidR="00EB3AB9">
        <w:br/>
      </w:r>
      <w:r>
        <w:rPr>
          <w:b/>
        </w:rPr>
        <w:t>Ситуация:</w:t>
      </w:r>
      <w:r>
        <w:t xml:space="preserve"> При заявленной чистой прибыли в 295 млн руб. за 2024 год компания вынуждена нести неконтролируемые издержки на банковских комиссиях при оплате импорта. Использование классическими банками многоуровневых цепочек банков-корреспондентов для проведения "токсичных" для них платежей за электронику приводит к заградительным спредам при конвертации валют (например, CNY/RUB) и скрытым комиссиям, которые напрямую бьют по маржинальности производства.</w:t>
      </w:r>
      <w:r w:rsidR="00EB3AB9">
        <w:br/>
      </w:r>
      <w:r>
        <w:rPr>
          <w:b/>
        </w:rPr>
        <w:t>Решение:</w:t>
      </w:r>
      <w:r>
        <w:t xml:space="preserve"> Организация прямых расчетов в национальных валютах с использованием внебиржевых (OTC) курсов и прозрачной тарифной сеткой за перевод, что позволяет финансовому директору клиента точно прогнозировать себестоимость готовой продукции.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Агентская схема расчетов за электронную компонентную базу (ЭКБ):</w:t>
      </w:r>
      <w:r>
        <w:t xml:space="preserve"> Структурирование платежей за комплектующие для электроаппаратуры через нейтральные юрисдикции с закрытием экспортных деклараций третьими лицами для обхода комплаенс-барьеров азиатских банков по товарам двойного назначения.</w:t>
      </w:r>
    </w:p>
    <w:p w:rsidR="000A4F7B" w:rsidRDefault="00EB3AB9">
      <w:pPr>
        <w:spacing w:after="120"/>
        <w:ind w:left="283"/>
        <w:jc w:val="both"/>
      </w:pPr>
      <w:r>
        <w:t xml:space="preserve">● </w:t>
      </w:r>
      <w:r>
        <w:rPr>
          <w:b/>
        </w:rPr>
        <w:t xml:space="preserve">Внутригрупповой клиринг для </w:t>
      </w:r>
      <w:r>
        <w:rPr>
          <w:b/>
        </w:rPr>
        <w:t>минимизации кассовых разрывов:</w:t>
      </w:r>
      <w:r>
        <w:t xml:space="preserve"> Обеспечение трансграничных переводов поставщикам за 1-2 операционных дня для высвобождения оборотного капитала, замороженного в условиях 100% авансирования импорта при масштабировании производства (выручка 917 млн руб.).</w:t>
      </w:r>
    </w:p>
    <w:p w:rsidR="000A4F7B" w:rsidRDefault="00EB3AB9">
      <w:pPr>
        <w:spacing w:after="120"/>
        <w:ind w:left="283"/>
        <w:jc w:val="both"/>
      </w:pPr>
      <w:r>
        <w:t xml:space="preserve">● </w:t>
      </w:r>
      <w:r>
        <w:rPr>
          <w:b/>
        </w:rPr>
        <w:t>Пр</w:t>
      </w:r>
      <w:r>
        <w:rPr>
          <w:b/>
        </w:rPr>
        <w:t>ямая OTC-конвертация в национальных валютах:</w:t>
      </w:r>
      <w:r>
        <w:t xml:space="preserve"> Предоставление внебиржевых курсов (например, CNY/RUB) и фиксированной транзакционной сетки для защиты маржинальности предприятия (чистая прибыль 295 млн руб.) от скрытых комиссий многоуровневых цепочек банков-ко</w:t>
      </w:r>
      <w:r>
        <w:t>рреспондентов.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lastRenderedPageBreak/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Электронная компонентная база и микроэлектроника:</w:t>
      </w:r>
      <w:r>
        <w:t xml:space="preserve"> Полупроводники, реле, микроконтроллеры, печатные платы для сборки аппаратуры. Страны: Китай, Тайвань, Вьетнам.</w:t>
      </w:r>
    </w:p>
    <w:p w:rsidR="000A4F7B" w:rsidRDefault="00EB3AB9">
      <w:pPr>
        <w:spacing w:after="120"/>
        <w:ind w:left="283"/>
        <w:jc w:val="both"/>
      </w:pPr>
      <w:r>
        <w:t xml:space="preserve">● </w:t>
      </w:r>
      <w:r>
        <w:rPr>
          <w:b/>
        </w:rPr>
        <w:t>Электрическая распределительная и регулирующая аппаратур</w:t>
      </w:r>
      <w:r>
        <w:rPr>
          <w:b/>
        </w:rPr>
        <w:t>а:</w:t>
      </w:r>
      <w:r>
        <w:t xml:space="preserve"> Готовые низковольтные и высоковольтные комплектные устройства, щитовое оборудование. Страны: Россия (внутренний рынок B2B).</w:t>
      </w:r>
    </w:p>
    <w:p w:rsidR="000A4F7B" w:rsidRDefault="00EB3AB9">
      <w:pPr>
        <w:spacing w:after="120"/>
        <w:ind w:left="283"/>
        <w:jc w:val="both"/>
      </w:pPr>
      <w:r>
        <w:t xml:space="preserve">● </w:t>
      </w:r>
      <w:r>
        <w:rPr>
          <w:b/>
        </w:rPr>
        <w:t>Оборудование и компоненты пожарной безопасности:</w:t>
      </w:r>
      <w:r>
        <w:t xml:space="preserve"> Системы автоматики, датчики и контрольно-пусковые блоки для монтажа и обслужив</w:t>
      </w:r>
      <w:r>
        <w:t>ания средств пожарной безопасности. Страны: Россия, Китай.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0A4F7B" w:rsidRDefault="00EB3AB9">
      <w:pPr>
        <w:spacing w:after="120"/>
        <w:ind w:left="283"/>
        <w:jc w:val="both"/>
      </w:pPr>
      <w:r>
        <w:t xml:space="preserve">● </w:t>
      </w:r>
      <w:r>
        <w:rPr>
          <w:b/>
        </w:rPr>
        <w:t>Риск вторичных санкций и блокировки по кодам ТН ВЭД 85:</w:t>
      </w:r>
      <w:r>
        <w:t xml:space="preserve"> Высокая вероятность отказа комплаенс-отделов иностранных банков проводить платежи з</w:t>
      </w:r>
      <w:r>
        <w:t>а компоненты для электрораспределительной аппаратуры (ОКВЭД 27.12) из-за их классификации как товаров двойного назначения, подпадающих под жесткий экспортный контроль.</w:t>
      </w:r>
    </w:p>
    <w:p w:rsidR="000A4F7B" w:rsidRDefault="00EB3AB9">
      <w:pPr>
        <w:spacing w:before="120" w:after="40"/>
      </w:pPr>
      <w:r>
        <w:rPr>
          <w:b/>
        </w:rPr>
        <w:t>Риск ликвидности (Medium):</w:t>
      </w:r>
    </w:p>
    <w:p w:rsidR="000A4F7B" w:rsidRDefault="00EB3AB9">
      <w:pPr>
        <w:spacing w:after="120"/>
        <w:ind w:left="283"/>
        <w:jc w:val="both"/>
      </w:pPr>
      <w:r>
        <w:t xml:space="preserve">● </w:t>
      </w:r>
      <w:r>
        <w:rPr>
          <w:b/>
        </w:rPr>
        <w:t>Замораживание оборотного капитала в транзитных банковских у</w:t>
      </w:r>
      <w:r>
        <w:rPr>
          <w:b/>
        </w:rPr>
        <w:t>злах:</w:t>
      </w:r>
      <w:r>
        <w:t xml:space="preserve"> Увеличение цикла ВЭД-расчетов при закупке импортного сырья по 100% предоплате на фоне активного роста производственных мощностей (штат 83 сотрудника), что ведет к дефициту ликвидности до момента реализации готовой продукции на внутреннем рынке.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line="276" w:lineRule="auto"/>
        <w:jc w:val="both"/>
      </w:pPr>
      <w:r>
        <w:rPr>
          <w:i/>
        </w:rPr>
        <w:t>Данные в открытых источниках не обнаружены.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3A7A9E" w:rsidRDefault="00073C39" w:rsidP="00073C39">
      <w:pPr>
        <w:pStyle w:val="a0"/>
        <w:numPr>
          <w:ilvl w:val="0"/>
          <w:numId w:val="0"/>
        </w:numPr>
        <w:spacing w:after="0"/>
      </w:pPr>
    </w:p>
    <w:p w:rsidR="000A4F7B" w:rsidRDefault="00EB3AB9">
      <w:pPr>
        <w:spacing w:after="80"/>
        <w:jc w:val="both"/>
      </w:pPr>
      <w:r>
        <w:rPr>
          <w:b/>
        </w:rPr>
        <w:t>Боль 1:</w:t>
      </w:r>
    </w:p>
    <w:p w:rsidR="000A4F7B" w:rsidRDefault="00EB3AB9">
      <w:pPr>
        <w:spacing w:after="80"/>
        <w:jc w:val="both"/>
      </w:pPr>
      <w:r>
        <w:t>Тип: ГИПОТЕЗА</w:t>
      </w:r>
    </w:p>
    <w:p w:rsidR="000A4F7B" w:rsidRDefault="00EB3AB9">
      <w:pPr>
        <w:spacing w:after="80"/>
        <w:jc w:val="both"/>
      </w:pPr>
      <w:r>
        <w:t xml:space="preserve">Основание: ОКВЭД 27.12 (Производство электрической аппаратуры) жестко привязан к импорту ЭКБ (ТН ВЭД 85). Банки Китая и других стран Азии в 2024-2025 гг. массово </w:t>
      </w:r>
      <w:r>
        <w:t>блокируют платежи по этой товарной номенклатуре из-за риска вторичных санкций.</w:t>
      </w:r>
    </w:p>
    <w:p w:rsidR="000A4F7B" w:rsidRDefault="00EB3AB9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https://www.rusprofile.ru/search?query=7720613010</w:t>
      </w:r>
    </w:p>
    <w:p w:rsidR="000A4F7B" w:rsidRDefault="00EB3AB9">
      <w:pPr>
        <w:spacing w:after="80"/>
        <w:jc w:val="both"/>
      </w:pPr>
      <w:r>
        <w:rPr>
          <w:b/>
        </w:rPr>
        <w:t>Боль 2:</w:t>
      </w:r>
    </w:p>
    <w:p w:rsidR="000A4F7B" w:rsidRDefault="00EB3AB9">
      <w:pPr>
        <w:spacing w:after="80"/>
        <w:jc w:val="both"/>
      </w:pPr>
      <w:r>
        <w:t>Тип: ГИПОТЕЗА</w:t>
      </w:r>
    </w:p>
    <w:p w:rsidR="000A4F7B" w:rsidRDefault="00EB3AB9">
      <w:pPr>
        <w:spacing w:after="80"/>
        <w:jc w:val="both"/>
      </w:pPr>
      <w:r>
        <w:t>Основание: Данные финансовой отчетности (рост выручки с 727 млн до 917 млн руб. за год) и увеличе</w:t>
      </w:r>
      <w:r>
        <w:t xml:space="preserve">ние штата до 83 человек. Масштабирование производства требует </w:t>
      </w:r>
      <w:r>
        <w:lastRenderedPageBreak/>
        <w:t>пропорционального увеличения оборотного капитала, который в текущих реалиях ВЭД "застревает" в международных банковских переводах.</w:t>
      </w:r>
    </w:p>
    <w:p w:rsidR="000A4F7B" w:rsidRDefault="00EB3AB9">
      <w:pPr>
        <w:spacing w:after="80"/>
        <w:jc w:val="both"/>
      </w:pPr>
      <w:r>
        <w:rPr>
          <w:u w:val="single"/>
        </w:rPr>
        <w:t>Ссылка</w:t>
      </w:r>
      <w:r>
        <w:t>: https://checko.ru/search?query=1087746443036</w:t>
      </w:r>
    </w:p>
    <w:p w:rsidR="000A4F7B" w:rsidRDefault="00EB3AB9">
      <w:pPr>
        <w:spacing w:after="80"/>
        <w:jc w:val="both"/>
      </w:pPr>
      <w:r>
        <w:rPr>
          <w:b/>
        </w:rPr>
        <w:t>Боль 3:</w:t>
      </w:r>
    </w:p>
    <w:p w:rsidR="000A4F7B" w:rsidRDefault="00EB3AB9">
      <w:pPr>
        <w:spacing w:after="80"/>
        <w:jc w:val="both"/>
      </w:pPr>
      <w:r>
        <w:t>Ти</w:t>
      </w:r>
      <w:r>
        <w:t>п: ГИПОТЕЗА</w:t>
      </w:r>
    </w:p>
    <w:p w:rsidR="000A4F7B" w:rsidRDefault="00EB3AB9">
      <w:pPr>
        <w:spacing w:after="80"/>
        <w:jc w:val="both"/>
      </w:pPr>
      <w:r>
        <w:t>Основание: Данные о чистой прибыли (295 млн руб. за 2024 год). Любое производственное предприятие такого масштаба, закупающее сырье за рубежом, в текущих макроэкономических условиях теряет от 3% до 8% на неэффективной банковской конвертации и т</w:t>
      </w:r>
      <w:r>
        <w:t>ранзитных комиссиях.</w:t>
      </w:r>
    </w:p>
    <w:p w:rsidR="000A4F7B" w:rsidRDefault="00EB3AB9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https://www.rusprofile.ru/search?query=7720613010</w:t>
      </w:r>
    </w:p>
    <w:p w:rsidR="000A4F7B" w:rsidRDefault="00EB3AB9">
      <w:pPr>
        <w:spacing w:after="80"/>
        <w:jc w:val="both"/>
      </w:pPr>
      <w:r>
        <w:rPr>
          <w:b/>
        </w:rPr>
        <w:t>Раздел Sphere:</w:t>
      </w:r>
      <w:r>
        <w:t xml:space="preserve"> Основано на анализе основного ОКВЭД 27.12, требующего импорта ЭКБ, и финансовых показателей 2024 года (выручка 917 млн руб., прибыль 295 млн руб.). Уровень уверен</w:t>
      </w:r>
      <w:r>
        <w:t>ности: Высокий (типовые финтех-решения для производственных импортеров).</w:t>
      </w:r>
    </w:p>
    <w:p w:rsidR="000A4F7B" w:rsidRDefault="00EB3AB9">
      <w:pPr>
        <w:spacing w:after="80"/>
        <w:jc w:val="both"/>
      </w:pPr>
      <w:r>
        <w:rPr>
          <w:b/>
        </w:rPr>
        <w:t>Раздел Architecture:</w:t>
      </w:r>
      <w:r>
        <w:t xml:space="preserve"> Синтезировано из профиля деятельности (производство электроаппаратуры) и наличия действующей лицензии на монтаж средств пожарной безопасности (данные Rusprofile).</w:t>
      </w:r>
      <w:r>
        <w:t xml:space="preserve"> Уровень уверенности: Средний (гипотеза на основе отраслевой номенклатуры).</w:t>
      </w:r>
    </w:p>
    <w:p w:rsidR="000A4F7B" w:rsidRDefault="00EB3AB9">
      <w:pPr>
        <w:spacing w:after="80"/>
        <w:jc w:val="both"/>
      </w:pPr>
      <w:r>
        <w:rPr>
          <w:b/>
        </w:rPr>
        <w:t>Раздел Risks:</w:t>
      </w:r>
      <w:r>
        <w:t xml:space="preserve"> Сформировано на базе актуальной макроэкономической ситуации с платежами в Китай/Азию и подтвержденного профиля компании как активного производственного предприятия. У</w:t>
      </w:r>
      <w:r>
        <w:t>ровень уверенности: Высокий.</w:t>
      </w:r>
    </w:p>
    <w:sectPr w:rsidR="000A4F7B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AB9" w:rsidRDefault="00EB3AB9" w:rsidP="00CB1F90">
      <w:pPr>
        <w:spacing w:after="0" w:line="240" w:lineRule="auto"/>
      </w:pPr>
      <w:r>
        <w:separator/>
      </w:r>
    </w:p>
  </w:endnote>
  <w:endnote w:type="continuationSeparator" w:id="0">
    <w:p w:rsidR="00EB3AB9" w:rsidRDefault="00EB3AB9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AB9" w:rsidRDefault="00EB3AB9" w:rsidP="00CB1F90">
      <w:pPr>
        <w:spacing w:after="0" w:line="240" w:lineRule="auto"/>
      </w:pPr>
      <w:r>
        <w:separator/>
      </w:r>
    </w:p>
  </w:footnote>
  <w:footnote w:type="continuationSeparator" w:id="0">
    <w:p w:rsidR="00EB3AB9" w:rsidRDefault="00EB3AB9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A4F7B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326F90"/>
    <w:rsid w:val="00332950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820D8"/>
    <w:rsid w:val="0079286A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B3AB9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18C286-4D32-4BB3-A9A6-0A24C0AB0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1167</Words>
  <Characters>6655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2026-03-19T07:35:00Z</dcterms:created>
  <dcterms:modified xsi:type="dcterms:W3CDTF">2026-03-19T07:35:00Z</dcterms:modified>
  <cp:category/>
</cp:coreProperties>
</file>