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115F" w14:textId="77777777" w:rsidR="00263FF9" w:rsidRPr="00166F1D" w:rsidRDefault="00A678BA">
      <w:pPr>
        <w:spacing w:after="120"/>
        <w:jc w:val="center"/>
        <w:rPr>
          <w:lang w:val="ru-RU"/>
        </w:rPr>
      </w:pPr>
      <w:r w:rsidRPr="00166F1D">
        <w:rPr>
          <w:b/>
          <w:lang w:val="ru-RU"/>
        </w:rPr>
        <w:t>АНАЛИТИЧЕСКАЯ СПРАВКА ПО ОРГАНИЗАЦИИ</w:t>
      </w:r>
    </w:p>
    <w:p w14:paraId="6BFFFE74" w14:textId="3C9F7913" w:rsidR="00263FF9" w:rsidRDefault="00A678BA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1. Название компании:</w:t>
      </w:r>
      <w:r>
        <w:rPr>
          <w:rFonts w:ascii="Times New Roman" w:hAnsi="Times New Roman"/>
          <w:b w:val="0"/>
          <w:sz w:val="24"/>
        </w:rPr>
        <w:t xml:space="preserve"> АО "ГАЛА-ФОРМ"</w:t>
      </w:r>
    </w:p>
    <w:p w14:paraId="56D1A1C0" w14:textId="0E91A35B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2. ИНН:</w:t>
      </w:r>
      <w:r>
        <w:rPr>
          <w:rFonts w:ascii="Times New Roman" w:hAnsi="Times New Roman"/>
          <w:b w:val="0"/>
          <w:sz w:val="24"/>
        </w:rPr>
        <w:t xml:space="preserve"> 7703248907</w:t>
      </w:r>
    </w:p>
    <w:p w14:paraId="43371519" w14:textId="2C0C23E9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3. Дата регистрации:</w:t>
      </w:r>
      <w:r>
        <w:rPr>
          <w:rFonts w:ascii="Times New Roman" w:hAnsi="Times New Roman"/>
          <w:b w:val="0"/>
          <w:sz w:val="24"/>
        </w:rPr>
        <w:t xml:space="preserve"> 2000-07-07</w:t>
      </w:r>
    </w:p>
    <w:p w14:paraId="33312B76" w14:textId="205EF168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4. Уставный капитал:</w:t>
      </w:r>
      <w:r>
        <w:rPr>
          <w:rFonts w:ascii="Times New Roman" w:hAnsi="Times New Roman"/>
          <w:b w:val="0"/>
          <w:sz w:val="24"/>
        </w:rPr>
        <w:t xml:space="preserve"> 300 000 руб.</w:t>
      </w:r>
    </w:p>
    <w:p w14:paraId="005D1D5F" w14:textId="3C65C0AD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5. Юр. адрес:</w:t>
      </w:r>
      <w:r>
        <w:rPr>
          <w:rFonts w:ascii="Times New Roman" w:hAnsi="Times New Roman"/>
          <w:b w:val="0"/>
          <w:sz w:val="24"/>
        </w:rPr>
        <w:t xml:space="preserve"> 107031, г. Москва, Кисельный тупик, д. 3, стр. 1, эт/оф 3/1</w:t>
      </w:r>
    </w:p>
    <w:p w14:paraId="0F3C6E47" w14:textId="1EA7212F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6. Руководитель:</w:t>
      </w:r>
      <w:r>
        <w:rPr>
          <w:rFonts w:ascii="Times New Roman" w:hAnsi="Times New Roman"/>
          <w:b w:val="0"/>
          <w:sz w:val="24"/>
        </w:rPr>
        <w:t xml:space="preserve"> ГЕНЕРАЛЬНЫЙ ДИРЕКТОР Потапов Андрей Сергеевич</w:t>
      </w:r>
    </w:p>
    <w:p w14:paraId="1C5F4614" w14:textId="01AD4775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7. ОКВЭД:</w:t>
      </w:r>
      <w:r>
        <w:rPr>
          <w:rFonts w:ascii="Times New Roman" w:hAnsi="Times New Roman"/>
          <w:b w:val="0"/>
          <w:sz w:val="24"/>
        </w:rPr>
        <w:t xml:space="preserve"> Торговля оптовая моторным топливом, включая авиационный бензин (46.71.2)</w:t>
      </w:r>
    </w:p>
    <w:p w14:paraId="0E103C86" w14:textId="22549590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8. Контакты:</w:t>
      </w:r>
      <w:r>
        <w:rPr>
          <w:rFonts w:ascii="Times New Roman" w:hAnsi="Times New Roman"/>
          <w:b w:val="0"/>
          <w:sz w:val="24"/>
        </w:rPr>
        <w:t xml:space="preserve"> +74952510811 | +74952587525 | +74952587526 | +74952580811 | pavlich@galaform.ru | info@galaform.ru | l.shirshikova@galaform.ru | lubkina@bk.ru</w:t>
      </w:r>
    </w:p>
    <w:p w14:paraId="1FEEA2C5" w14:textId="74CA5603"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9. Численность сотрудников:</w:t>
      </w:r>
      <w:r>
        <w:rPr>
          <w:rFonts w:ascii="Times New Roman" w:hAnsi="Times New Roman"/>
          <w:b w:val="0"/>
          <w:sz w:val="24"/>
        </w:rPr>
        <w:t xml:space="preserve"> - данные не найдены -</w:t>
      </w:r>
    </w:p>
    <w:p w14:paraId="33006D2C" w14:textId="6BC19F7C" w:rsidR="00C10972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10. Санкции:</w:t>
      </w:r>
      <w:r>
        <w:rPr>
          <w:rFonts w:ascii="Times New Roman" w:hAnsi="Times New Roman"/>
          <w:b w:val="0"/>
          <w:sz w:val="24"/>
        </w:rPr>
        <w:t xml:space="preserve"> Не входит в санкционные списки</w:t>
      </w:r>
    </w:p>
    <w:p w14:paraId="11322F2B" w14:textId="485419FA" w:rsidR="002C7041" w:rsidRPr="00C10972" w:rsidRDefault="003A7A9E">
      <w:pPr>
        <w:spacing w:after="0"/>
        <w:rPr>
          <w:b/>
          <w:bCs/>
          <w:lang w:val="ru-RU"/>
        </w:rPr>
      </w:pPr>
      <w:r>
        <w:rPr>
          <w:rFonts w:ascii="Times New Roman" w:hAnsi="Times New Roman"/>
          <w:b/>
          <w:sz w:val="24"/>
        </w:rPr>
        <w:t>11. Финансовые показатели: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65" cy="23161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65" cy="2306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06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EAE15" w14:textId="1DE29998"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Аналитика кратко: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sz w:val="24"/>
        </w:rPr>
        <w:t>Главное о компании</w:t>
      </w:r>
    </w:p>
    <w:p>
      <w:pPr>
        <w:spacing w:before="0" w:after="120"/>
        <w:ind w:firstLine="709" w:left="0"/>
        <w:jc w:val="both"/>
      </w:pPr>
      <w:r>
        <w:rPr>
          <w:rFonts w:ascii="Times New Roman" w:hAnsi="Times New Roman"/>
          <w:sz w:val="24"/>
        </w:rPr>
        <w:t>Главное о компании за 1 минуту АО "Гала-Форм" работает с 2000 года и специализируется на оптовой торговле моторным топливом. Генеральным директором с августа 2022 года является Андрей Сергеевич Потапов. Данные о структуре собственности и численности сотрудников в открытых источниках отсутствуют. Компания не имеет филиалов или представительств, что указывает на централизованную деятельность из Москвы. Информация о наличии лицензий не представлена, однако основной вид деятельности предполагает работу на регулируемом рынке. Товарные знаки, зарегистрированные компанией, не являются активными, последний был зарегистрирован в 2012 году.</w:t>
      </w:r>
    </w:p>
    <w:p w14:paraId="153B6850" w14:textId="56ADC3C3"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14:paraId="231D74CB" w14:textId="3C3309E2" w:rsidR="00263FF9" w:rsidRDefault="00C10972">
      <w:pPr>
        <w:pStyle w:val="a0"/>
        <w:spacing w:after="0"/>
        <w:jc w:val="both"/>
      </w:pPr>
      <w:r>
        <w:rPr>
          <w:rFonts w:ascii="Times New Roman" w:hAnsi="Times New Roman"/>
          <w:b/>
          <w:sz w:val="24"/>
        </w:rPr>
        <w:t>Боль №1: Риск блокировки ВЭД-платежей из-за токсичности товарной номенклатуры (нефтепродукты)</w:t>
      </w:r>
      <w:br/>
      <w:r>
        <w:rPr>
          <w:rFonts w:ascii="Times New Roman" w:hAnsi="Times New Roman"/>
          <w:b/>
          <w:sz w:val="24"/>
        </w:rPr>
        <w:t>Ситуация:</w:t>
      </w:r>
      <w:r>
        <w:rPr>
          <w:rFonts w:ascii="Times New Roman" w:hAnsi="Times New Roman"/>
          <w:b w:val="0"/>
          <w:sz w:val="24"/>
        </w:rPr>
        <w:t xml:space="preserve"> Компания оперирует в секторе оптовой торговли моторным топливом и авиационным бензином. Российские нефтепродукты находятся под жестким международным санкционным давлением (эмбарго, потолок цен). Любые трансграничные расчеты Компании (закупка присадок, оборудования или экспортные контракты) неизбежно попадают под усиленный комплаенс иностранных банков-корреспондентов. Существует критический риск заморозки средств по подозрению в обходе санкций или из-за отказа комплаенса обрабатывать платежи, связанные с российским топливом.</w:t>
      </w:r>
      <w:br/>
      <w:r>
        <w:rPr>
          <w:rFonts w:ascii="Times New Roman" w:hAnsi="Times New Roman"/>
          <w:b/>
          <w:sz w:val="24"/>
        </w:rPr>
        <w:t>Решение:</w:t>
      </w:r>
      <w:r>
        <w:rPr>
          <w:rFonts w:ascii="Times New Roman" w:hAnsi="Times New Roman"/>
          <w:b w:val="0"/>
          <w:sz w:val="24"/>
        </w:rPr>
        <w:t xml:space="preserve"> Организация расчетов через закрытые платежные шлюзы в нейтральных юрисдикциях с использованием национальных валют и клиринговых сетей, минуя SWIFT и западных банков-корреспондентов.</w:t>
      </w:r>
    </w:p>
    <w:p w14:paraId="412B64B1" w14:textId="2BCFE287" w:rsidR="00263FF9" w:rsidRPr="008B1FDC" w:rsidRDefault="00C10972" w:rsidP="00A141C6">
      <w:pPr>
        <w:pStyle w:val="a0"/>
        <w:spacing w:after="0"/>
        <w:jc w:val="both"/>
      </w:pPr>
      <w:r>
        <w:rPr>
          <w:rFonts w:ascii="Times New Roman" w:hAnsi="Times New Roman"/>
          <w:b/>
          <w:sz w:val="24"/>
        </w:rPr>
        <w:t>Боль №2: Угроза кассовых разрывов из-за сверхнизкой маржинальности бизнеса</w:t>
      </w:r>
      <w:br/>
      <w:r>
        <w:rPr>
          <w:rFonts w:ascii="Times New Roman" w:hAnsi="Times New Roman"/>
          <w:b/>
          <w:sz w:val="24"/>
        </w:rPr>
        <w:t>Ситуация:</w:t>
      </w:r>
      <w:r>
        <w:rPr>
          <w:rFonts w:ascii="Times New Roman" w:hAnsi="Times New Roman"/>
          <w:b w:val="0"/>
          <w:sz w:val="24"/>
        </w:rPr>
        <w:t xml:space="preserve"> При колоссальной выручке в 37,5 млрд рублей за 2024 год, чистая прибыль Компании составила всего 473 млн рублей (рентабельность по чистой прибыли около 1,2%). Это классическая модель высокооборотистого транзитного трейдинга. В таких условиях любые задержки платежей на стороне иностранных контрагентов или потери на курсовых разницах при двойной конвертации способны мгновенно обнулить прибыль сделки и спровоцировать кассовый разрыв.</w:t>
      </w:r>
      <w:br/>
      <w:r>
        <w:rPr>
          <w:rFonts w:ascii="Times New Roman" w:hAnsi="Times New Roman"/>
          <w:b/>
          <w:sz w:val="24"/>
        </w:rPr>
        <w:t>Решение:</w:t>
      </w:r>
      <w:r>
        <w:rPr>
          <w:rFonts w:ascii="Times New Roman" w:hAnsi="Times New Roman"/>
          <w:b w:val="0"/>
          <w:sz w:val="24"/>
        </w:rPr>
        <w:t xml:space="preserve"> Предоставление прямого доступа к внебиржевым (OTC) валютным торгам с минимальным спредом и фиксация курса на момент инициации платежа для защиты хрупкой маржи клиента.</w:t>
      </w:r>
    </w:p>
    <w:p w14:paraId="10C05E97" w14:textId="03B6ABEB" w:rsidR="00DF1920" w:rsidRDefault="008B1FDC" w:rsidP="00675C81">
      <w:pPr>
        <w:pStyle w:val="a0"/>
        <w:spacing w:after="0"/>
        <w:jc w:val="both"/>
      </w:pPr>
      <w:r>
        <w:rPr>
          <w:rFonts w:ascii="Times New Roman" w:hAnsi="Times New Roman"/>
          <w:b/>
          <w:sz w:val="24"/>
        </w:rPr>
        <w:t>Боль №3: Непрохождение KYC/AML процедур в зарубежных банках из-за структуры компании</w:t>
      </w:r>
      <w:br/>
      <w:r>
        <w:rPr>
          <w:rFonts w:ascii="Times New Roman" w:hAnsi="Times New Roman"/>
          <w:b/>
          <w:sz w:val="24"/>
        </w:rPr>
        <w:t>Ситуация:</w:t>
      </w:r>
      <w:r>
        <w:rPr>
          <w:rFonts w:ascii="Times New Roman" w:hAnsi="Times New Roman"/>
          <w:b w:val="0"/>
          <w:sz w:val="24"/>
        </w:rPr>
        <w:t xml:space="preserve"> Клиент генерирует оборот свыше 37 млрд рублей, однако данные о штате отсутствуют, филиалов нет, а вся деятельность централизована в одном московском офисе. В глазах зарубежных финансовых институтов такая структура (огромные обороты при визуальном отсутствии физической инфраструктуры) классифицируется как "красный флаг" по стандартам AML (Anti-Money Laundering). Это гарантирует ручные проверки каждого исходящего или входящего валютного перевода и запросы дополнительных документов, тормозящие бизнес-цикл.</w:t>
      </w:r>
      <w:br/>
      <w:r>
        <w:rPr>
          <w:rFonts w:ascii="Times New Roman" w:hAnsi="Times New Roman"/>
          <w:b/>
          <w:sz w:val="24"/>
        </w:rPr>
        <w:t>Решение:</w:t>
      </w:r>
      <w:r>
        <w:rPr>
          <w:rFonts w:ascii="Times New Roman" w:hAnsi="Times New Roman"/>
          <w:b w:val="0"/>
          <w:sz w:val="24"/>
        </w:rPr>
        <w:t xml:space="preserve"> Использование агентской схемы расчетов, при которой FinTech-сервис берет на себя роль платежного агента (Merchant of Record), экранируя Клиента от прямого взаимодействия с зарубежными комплаенс-фильтрами.</w:t>
      </w:r>
    </w:p>
    <w:p w14:paraId="75DA965E" w14:textId="77777777"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14:paraId="200B4873" w14:textId="7D43DCB7" w:rsidR="00675C81" w:rsidRDefault="00675C81" w:rsidP="00675C81">
      <w:pPr>
        <w:pStyle w:val="aff8"/>
        <w:spacing w:before="0" w:beforeAutospacing="0" w:line="276" w:lineRule="auto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Структурирование расчетов за санкционные энергоносители:</w:t>
      </w:r>
      <w:r>
        <w:rPr>
          <w:rFonts w:ascii="Times New Roman" w:hAnsi="Times New Roman"/>
          <w:b w:val="0"/>
          <w:sz w:val="24"/>
        </w:rPr>
        <w:t xml:space="preserve"> Организация закрытых транзитных платежных маршрутов через финансовые хабы Ближнего Востока и Азии с использованием национальных валют для обхода долларового клиринга при торговле нефтепродуктами.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Прямой доступ к внебиржевой (OTC) ликвидности:</w:t>
      </w:r>
      <w:r>
        <w:rPr>
          <w:rFonts w:ascii="Times New Roman" w:hAnsi="Times New Roman"/>
          <w:b w:val="0"/>
          <w:sz w:val="24"/>
        </w:rPr>
        <w:t xml:space="preserve"> Предоставление индивидуальных валютных курсов с минимальным спредом для защиты сверхнизкой маржинальности клиента (1,2%) от потерь при двойной конвертации.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Агентское сопровождение ВЭД (Merchant of Record):</w:t>
      </w:r>
      <w:r>
        <w:rPr>
          <w:rFonts w:ascii="Times New Roman" w:hAnsi="Times New Roman"/>
          <w:b w:val="0"/>
          <w:sz w:val="24"/>
        </w:rPr>
        <w:t xml:space="preserve"> Экранирование клиента от зарубежных систем AML/KYC путем проведения контрактов через торговые дома ГК NOVEL, нивелирующее риск блокировок из-за отсутствия у клиента подтвержденного штата и зарубежных филиалов.</w:t>
      </w:r>
    </w:p>
    <w:p w14:paraId="6BE7154D" w14:textId="77777777"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14:paraId="6267FDAE" w14:textId="3A2374C8" w:rsidR="00675C81" w:rsidRDefault="00675C81" w:rsidP="00675C81">
      <w:pPr>
        <w:pStyle w:val="aff8"/>
        <w:spacing w:before="0" w:beforeAutospacing="0" w:line="276" w:lineRule="auto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Моторное топливо и авиационный бензин:</w:t>
      </w:r>
      <w:r>
        <w:rPr>
          <w:rFonts w:ascii="Times New Roman" w:hAnsi="Times New Roman"/>
          <w:b w:val="0"/>
          <w:sz w:val="24"/>
        </w:rPr>
        <w:t xml:space="preserve"> Оптовые партии светлых и темных нефтепродуктов. Страны происхождения/сбыта: РФ, страны СНГ, государства Азиатско-Тихоокеанского региона, Ближний Восток.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Присадки и специализированная химия:</w:t>
      </w:r>
      <w:r>
        <w:rPr>
          <w:rFonts w:ascii="Times New Roman" w:hAnsi="Times New Roman"/>
          <w:b w:val="0"/>
          <w:sz w:val="24"/>
        </w:rPr>
        <w:t xml:space="preserve"> Компоненты для улучшения октанового числа и эксплуатационных свойств топлива. Страны: Китай, Индия, Турция.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Канал сбыта:</w:t>
      </w:r>
      <w:r>
        <w:rPr>
          <w:rFonts w:ascii="Times New Roman" w:hAnsi="Times New Roman"/>
          <w:b w:val="0"/>
          <w:sz w:val="24"/>
        </w:rPr>
        <w:t xml:space="preserve"> Крупный B2B-сегмент, независимые сети АЗС, промышленные предприятия, транспортно-логистические холдинги, трейдеры-экспортеры.</w:t>
      </w:r>
    </w:p>
    <w:p w14:paraId="26A3922C" w14:textId="77777777"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14:paraId="2254057A" w14:textId="4DB52A45" w:rsidR="00675C81" w:rsidRDefault="00675C81" w:rsidP="00675C81">
      <w:pPr>
        <w:pStyle w:val="aff8"/>
        <w:spacing w:before="120" w:beforeAutospacing="0" w:line="276" w:lineRule="auto" w:after="40"/>
        <w:ind w:firstLine="0" w:left="0"/>
        <w:jc w:val="left"/>
        <w:rPr>
          <w:bCs/>
        </w:rPr>
      </w:pPr>
      <w:r>
        <w:rPr>
          <w:rFonts w:ascii="Times New Roman" w:hAnsi="Times New Roman"/>
          <w:b/>
          <w:sz w:val="24"/>
        </w:rPr>
        <w:t>Комплаенс-риск (High):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Токсичность товарной номенклатуры:</w:t>
      </w:r>
      <w:r>
        <w:rPr>
          <w:rFonts w:ascii="Times New Roman" w:hAnsi="Times New Roman"/>
          <w:b w:val="0"/>
          <w:sz w:val="24"/>
        </w:rPr>
        <w:t xml:space="preserve"> Прямое попадание базового актива (нефтепродукты) под международные эмбарго и механизм Price Cap, что влечет автоматическую блокировку транзакций западными банками-корреспондентами.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Красные флаги AML-систем:</w:t>
      </w:r>
      <w:r>
        <w:rPr>
          <w:rFonts w:ascii="Times New Roman" w:hAnsi="Times New Roman"/>
          <w:b w:val="0"/>
          <w:sz w:val="24"/>
        </w:rPr>
        <w:t xml:space="preserve"> Генерация выручки в 37,5 млрд рублей при полном визуальном отсутствии физической инфраструктуры (один офис, нет филиалов, скрыт штат) классифицируется зарубежными комплаенс-офицерами как маркер фиктивной или транзитной деятельности.</w:t>
      </w:r>
    </w:p>
    <w:p>
      <w:pPr>
        <w:spacing w:before="120" w:after="40"/>
        <w:ind w:firstLine="0" w:left="0"/>
        <w:jc w:val="left"/>
      </w:pPr>
      <w:r>
        <w:rPr>
          <w:rFonts w:ascii="Times New Roman" w:hAnsi="Times New Roman"/>
          <w:b/>
          <w:sz w:val="24"/>
        </w:rPr>
        <w:t>Риск ликвидности (High):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Критически низкая рентабельность:</w:t>
      </w:r>
      <w:r>
        <w:rPr>
          <w:rFonts w:ascii="Times New Roman" w:hAnsi="Times New Roman"/>
          <w:b w:val="0"/>
          <w:sz w:val="24"/>
        </w:rPr>
        <w:t xml:space="preserve"> Чистая прибыль 473 млн руб. при обороте 37,5 млрд руб. (маржинальность ~1,2%) делает бизнес-модель абсолютно неустойчивой к транзакционным издержкам, штрафам за простой или потерям на курсовых спредах.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Чувствительность к скорости транзакций:</w:t>
      </w:r>
      <w:r>
        <w:rPr>
          <w:rFonts w:ascii="Times New Roman" w:hAnsi="Times New Roman"/>
          <w:b w:val="0"/>
          <w:sz w:val="24"/>
        </w:rPr>
        <w:t xml:space="preserve"> Специфика высокооборотистой оптовой торговли топливом требует непрерывного реинвестирования капитала; задержка средств на транзитных счетах даже на 3-5 дней гарантированно провоцирует кассовый разрыв.</w:t>
      </w:r>
    </w:p>
    <w:p w14:paraId="4E509A42" w14:textId="286C5B8C"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14:paraId="2A7464ED" w14:textId="7AAE1A4A" w:rsidR="008E6379" w:rsidRDefault="008E6379" w:rsidP="00675C81">
      <w:pPr>
        <w:pStyle w:val="aff8"/>
        <w:spacing w:before="0" w:beforeAutospacing="0" w:line="276" w:lineRule="auto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РФ — дочерняя компания:</w:t>
      </w:r>
      <w:r>
        <w:rPr>
          <w:rFonts w:ascii="Times New Roman" w:hAnsi="Times New Roman"/>
          <w:b w:val="0"/>
          <w:sz w:val="24"/>
        </w:rPr>
        <w:t xml:space="preserve"> АО "ГАЛА-ПНГ" [ИНН 9702075660] (источник: реестр Checko)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РФ — дочерняя компания:</w:t>
      </w:r>
      <w:r>
        <w:rPr>
          <w:rFonts w:ascii="Times New Roman" w:hAnsi="Times New Roman"/>
          <w:b w:val="0"/>
          <w:sz w:val="24"/>
        </w:rPr>
        <w:t xml:space="preserve"> ООО "ИНВЕСТ-ЛИЗИНГ" [ИНН 7703523102] (источник: реестр Rusprofile, Checko)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РФ — компания с тем же руководителем:</w:t>
      </w:r>
      <w:r>
        <w:rPr>
          <w:rFonts w:ascii="Times New Roman" w:hAnsi="Times New Roman"/>
          <w:b w:val="0"/>
          <w:sz w:val="24"/>
        </w:rPr>
        <w:t xml:space="preserve"> ЗАО ТА "КОТМА-ТУР ЛТД" (источник: реестр Checko)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РФ — бывший руководитель / связанная структура:</w:t>
      </w:r>
      <w:r>
        <w:rPr>
          <w:rFonts w:ascii="Times New Roman" w:hAnsi="Times New Roman"/>
          <w:b w:val="0"/>
          <w:sz w:val="24"/>
        </w:rPr>
        <w:t xml:space="preserve"> ООО "Гала-Форм Запад" [ИНН 6732028478] (источник: система СТАР / star-pro.ru)</w:t>
      </w:r>
    </w:p>
    <w:p w14:paraId="1D5F413A" w14:textId="06AC46C9"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14:paraId="7914CAD8" w14:textId="37B44D22" w:rsidR="00073C39" w:rsidRPr="003A7A9E" w:rsidRDefault="003A7A9E" w:rsidP="00073C39">
      <w:pPr>
        <w:pStyle w:val="a0"/>
        <w:numPr>
          <w:ilvl w:val="0"/>
          <w:numId w:val="0"/>
        </w:numPr>
        <w:spacing w:after="0"/>
      </w:pP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/>
          <w:sz w:val="24"/>
        </w:rPr>
        <w:t>Боль 1: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Тип: ГИПОТЕЗА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Основание: ОКВЭД 46.71.2 (Топливо). Нефтяной сектор РФ является объектом санкций ЕС/США. Трансграничные расчеты в этой сфере автоматически маркируются как высокорисковые.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  <w:u w:val="single"/>
        </w:rPr>
        <w:t>Ссылка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https://www.rusprofile.ru/search?query=7703248907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/>
          <w:sz w:val="24"/>
        </w:rPr>
        <w:t>Боль 2: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Тип: ФАКТ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Основание: Финансовая отчетность за 2024 год. Выручка 37,55 млрд руб. при чистой прибыли 473 млн руб. подтверждает критически низкую маржинальность и чувствительность к финансовым издержкам.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  <w:u w:val="single"/>
        </w:rPr>
        <w:t>Ссылка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https://checko.ru/search?query=1027739051780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/>
          <w:sz w:val="24"/>
        </w:rPr>
        <w:t>Боль 3: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Тип: ФАКТ / ГИПОТЕЗА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Основание: Данные Rusprofile (отсутствие данных о штате, нет филиалов, 1 офис). Вывод о реакции AML-систем зарубежных банков основан на стандартных процедурах KYC для компаний с признаками транзитного бизнеса.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  <w:u w:val="single"/>
        </w:rPr>
        <w:t>Ссылка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https://www.rusprofile.ru/search?query=7703248907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Раздел Sphere: Синтезирован на основе финансовых показателей (отчетность за 2024 год) и специфики ОКВЭД 46.71.2. Уровень уверенности — высокий.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Раздел Architecture: Сформирован на основе основного кода ОКВЭД из реестра ФНС и типовых цепочек поставок в сфере торговли моторным топливом. Уровень уверенности — высокий.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Раздел Risks: Основан на данных Rusprofile и Checko (выручка 37,5 млрд руб., чистая прибыль 473 млн руб., отсутствие данных о штате, 1 офис). Оценка комплаенс-рисков базируется на текущей геополитической и санкционной конъюнктуре для нефтегазового сектора РФ. Уровень уверенности — высокий.</w:t>
      </w:r>
    </w:p>
    <w:sectPr w:rsidR="00073C39" w:rsidRPr="003A7A9E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C9438" w14:textId="77777777" w:rsidR="0079286A" w:rsidRDefault="0079286A" w:rsidP="00CB1F90">
      <w:pPr>
        <w:spacing w:after="0" w:line="240" w:lineRule="auto"/>
      </w:pPr>
      <w:r>
        <w:separator/>
      </w:r>
    </w:p>
  </w:endnote>
  <w:endnote w:type="continuationSeparator" w:id="0">
    <w:p w14:paraId="2538E8EA" w14:textId="77777777" w:rsidR="0079286A" w:rsidRDefault="0079286A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B7B0" w14:textId="77777777" w:rsidR="0079286A" w:rsidRDefault="0079286A" w:rsidP="00CB1F90">
      <w:pPr>
        <w:spacing w:after="0" w:line="240" w:lineRule="auto"/>
      </w:pPr>
      <w:r>
        <w:separator/>
      </w:r>
    </w:p>
  </w:footnote>
  <w:footnote w:type="continuationSeparator" w:id="0">
    <w:p w14:paraId="3E4574AF" w14:textId="77777777" w:rsidR="0079286A" w:rsidRDefault="0079286A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84752">
    <w:abstractNumId w:val="8"/>
  </w:num>
  <w:num w:numId="2" w16cid:durableId="1574242741">
    <w:abstractNumId w:val="6"/>
  </w:num>
  <w:num w:numId="3" w16cid:durableId="1009871435">
    <w:abstractNumId w:val="5"/>
  </w:num>
  <w:num w:numId="4" w16cid:durableId="2049911248">
    <w:abstractNumId w:val="4"/>
  </w:num>
  <w:num w:numId="5" w16cid:durableId="931008227">
    <w:abstractNumId w:val="7"/>
  </w:num>
  <w:num w:numId="6" w16cid:durableId="1535922119">
    <w:abstractNumId w:val="3"/>
  </w:num>
  <w:num w:numId="7" w16cid:durableId="228924014">
    <w:abstractNumId w:val="2"/>
  </w:num>
  <w:num w:numId="8" w16cid:durableId="1917664441">
    <w:abstractNumId w:val="1"/>
  </w:num>
  <w:num w:numId="9" w16cid:durableId="1482960494">
    <w:abstractNumId w:val="0"/>
  </w:num>
  <w:num w:numId="10" w16cid:durableId="959335641">
    <w:abstractNumId w:val="9"/>
  </w:num>
  <w:num w:numId="11" w16cid:durableId="943343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3D47B70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014C68-635B-48AE-A0D7-BAAAA0D80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Eagle</cp:lastModifiedBy>
  <cp:revision>38</cp:revision>
  <dcterms:created xsi:type="dcterms:W3CDTF">2013-12-23T23:15:00Z</dcterms:created>
  <dcterms:modified xsi:type="dcterms:W3CDTF">2026-02-25T10:21:00Z</dcterms:modified>
  <cp:category/>
</cp:coreProperties>
</file>