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color w:val="555555"/>
          <w:sz w:val="22"/>
          <w:szCs w:val="22"/>
        </w:rPr>
        <w:t xml:space="preserve">M.Tech Research Project</w:t>
      </w:r>
    </w:p>
    <w:p>
      <w:pPr>
        <w:spacing w:after="80" w:before="0"/>
        <w:jc w:val="center"/>
      </w:pPr>
      <w:r>
        <w:rPr>
          <w:rFonts w:ascii="Arial" w:cs="Arial" w:eastAsia="Arial" w:hAnsi="Arial"/>
          <w:b/>
          <w:bCs/>
          <w:color w:val="1F5C99"/>
          <w:sz w:val="44"/>
          <w:szCs w:val="44"/>
        </w:rPr>
        <w:t xml:space="preserve">When Does the Knowledge Graph Help?</w:t>
      </w:r>
    </w:p>
    <w:p>
      <w:pPr>
        <w:spacing w:after="480" w:before="0"/>
        <w:jc w:val="center"/>
      </w:pPr>
      <w:r>
        <w:rPr>
          <w:rFonts w:ascii="Arial" w:cs="Arial" w:eastAsia="Arial" w:hAnsi="Arial"/>
          <w:b w:val="false"/>
          <w:bCs w:val="false"/>
          <w:color w:val="2E75B6"/>
          <w:sz w:val="30"/>
          <w:szCs w:val="30"/>
        </w:rPr>
        <w:t xml:space="preserve">Adaptive RAG Routing for EHR-Grounded Clinical Question Answering</w:t>
      </w:r>
    </w:p>
    <w:p>
      <w:pPr>
        <w:pBdr>
          <w:bottom w:val="single" w:color="1F5C99" w:sz="8" w:space="1"/>
        </w:pBdr>
        <w:spacing w:after="480" w:before="0"/>
      </w:pPr>
      <w:r>
        <w:t xml:space="preserve"/>
      </w:r>
    </w:p>
    <w:p>
      <w:pPr>
        <w:spacing w:after="40" w:before="0"/>
        <w:jc w:val="center"/>
      </w:pPr>
      <w:r>
        <w:rPr>
          <w:rFonts w:ascii="Arial" w:cs="Arial" w:eastAsia="Arial" w:hAnsi="Arial"/>
          <w:b/>
          <w:bCs/>
          <w:color w:val="555555"/>
          <w:sz w:val="22"/>
          <w:szCs w:val="22"/>
        </w:rPr>
        <w:t xml:space="preserve">Domain</w:t>
      </w:r>
    </w:p>
    <w:p>
      <w:pPr>
        <w:spacing w:after="320" w:before="0"/>
        <w:jc w:val="center"/>
      </w:pPr>
      <w:r>
        <w:rPr>
          <w:rFonts w:ascii="Arial" w:cs="Arial" w:eastAsia="Arial" w:hAnsi="Arial"/>
          <w:color w:val="333333"/>
          <w:sz w:val="22"/>
          <w:szCs w:val="22"/>
        </w:rPr>
        <w:t xml:space="preserve">AI in Healthcare  ·  Medical NLP  ·  Retrieval-Augmented Generation  ·  Knowledge Graphs</w:t>
      </w:r>
    </w:p>
    <w:p>
      <w:pPr>
        <w:spacing w:after="40" w:before="0"/>
        <w:jc w:val="center"/>
      </w:pPr>
      <w:r>
        <w:rPr>
          <w:rFonts w:ascii="Arial" w:cs="Arial" w:eastAsia="Arial" w:hAnsi="Arial"/>
          <w:b/>
          <w:bCs/>
          <w:color w:val="555555"/>
          <w:sz w:val="22"/>
          <w:szCs w:val="22"/>
        </w:rPr>
        <w:t xml:space="preserve">Target Venues</w:t>
      </w:r>
    </w:p>
    <w:p>
      <w:pPr>
        <w:spacing w:after="800" w:before="0"/>
        <w:jc w:val="center"/>
      </w:pPr>
      <w:r>
        <w:rPr>
          <w:rFonts w:ascii="Arial" w:cs="Arial" w:eastAsia="Arial" w:hAnsi="Arial"/>
          <w:color w:val="333333"/>
          <w:sz w:val="22"/>
          <w:szCs w:val="22"/>
        </w:rPr>
        <w:t xml:space="preserve">CHIL  ·  AMIA  ·  EMNLP BioNLP  ·  IEEE EMBC / BIBM</w:t>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Publication Viability Assessment</w:t>
      </w:r>
    </w:p>
    <w:p>
      <w:pPr>
        <w:spacing w:after="80" w:before="60"/>
        <w:jc w:val="both"/>
      </w:pPr>
      <w:r>
        <w:rPr>
          <w:rFonts w:ascii="Arial" w:cs="Arial" w:eastAsia="Arial" w:hAnsi="Arial"/>
          <w:sz w:val="22"/>
          <w:szCs w:val="22"/>
        </w:rPr>
        <w:t xml:space="preserve">Before the full technical documentation, this section provides an honest evaluation of the project's novelty, rigor, and realistic chances at target venues.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Overall Verdict: Strong Submission Candidate</w:t>
      </w:r>
    </w:p>
    <w:p>
      <w:pPr>
        <w:spacing w:after="80" w:before="60"/>
        <w:jc w:val="both"/>
      </w:pPr>
      <w:r>
        <w:rPr>
          <w:rFonts w:ascii="Arial" w:cs="Arial" w:eastAsia="Arial" w:hAnsi="Arial"/>
          <w:sz w:val="22"/>
          <w:szCs w:val="22"/>
        </w:rPr>
        <w:t xml:space="preserve">This project is well-scoped, technically sound, and addresses a genuine gap in the medical RAG literature. The central research question — when does the KG actually help, and can routing be learned? — is novel, falsifiable, and practically motivated. Reviewers at CHIL and AMIA consistently reward papers that combine system design with careful empirical analysis and honest limitations.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Strengths</w:t>
      </w:r>
    </w:p>
    <w:p>
      <w:pPr>
        <w:pStyle w:val="ListParagraph"/>
        <w:numPr>
          <w:ilvl w:val="0"/>
          <w:numId w:val="2"/>
        </w:numPr>
        <w:spacing w:after="40" w:before="40"/>
      </w:pPr>
      <w:r>
        <w:rPr>
          <w:rFonts w:ascii="Arial" w:cs="Arial" w:eastAsia="Arial" w:hAnsi="Arial"/>
          <w:sz w:val="22"/>
          <w:szCs w:val="22"/>
        </w:rPr>
        <w:t xml:space="preserve">Novel framing: Most KG-RAG papers assume more context = better. This paper explicitly challenges that assumption and studies the conditions under which KG retrieval helps versus hurts, which is a meaningful intellectual contribution.</w:t>
      </w:r>
    </w:p>
    <w:p>
      <w:pPr>
        <w:pStyle w:val="ListParagraph"/>
        <w:numPr>
          <w:ilvl w:val="0"/>
          <w:numId w:val="2"/>
        </w:numPr>
        <w:spacing w:after="40" w:before="40"/>
      </w:pPr>
      <w:r>
        <w:rPr>
          <w:rFonts w:ascii="Arial" w:cs="Arial" w:eastAsia="Arial" w:hAnsi="Arial"/>
          <w:sz w:val="22"/>
          <w:szCs w:val="22"/>
        </w:rPr>
        <w:t xml:space="preserve">Concrete, measurable hypotheses (H1 and H2): The research questions are falsifiable with defined baselines (random routing, oracle routing) and clear metrics. This is unusual and appreciated for an M.Tech project.</w:t>
      </w:r>
    </w:p>
    <w:p>
      <w:pPr>
        <w:pStyle w:val="ListParagraph"/>
        <w:numPr>
          <w:ilvl w:val="0"/>
          <w:numId w:val="2"/>
        </w:numPr>
        <w:spacing w:after="40" w:before="40"/>
      </w:pPr>
      <w:r>
        <w:rPr>
          <w:rFonts w:ascii="Arial" w:cs="Arial" w:eastAsia="Arial" w:hAnsi="Arial"/>
          <w:sz w:val="22"/>
          <w:szCs w:val="22"/>
        </w:rPr>
        <w:t xml:space="preserve">Hallucination taxonomy with inter-annotator agreement: The three-class hallucination typology (EHR-contradicting, KG-contradicting, unsupported) and the annotation protocol with Cohen's kappa are exactly what medical NLP reviewers want to see.</w:t>
      </w:r>
    </w:p>
    <w:p>
      <w:pPr>
        <w:pStyle w:val="ListParagraph"/>
        <w:numPr>
          <w:ilvl w:val="0"/>
          <w:numId w:val="2"/>
        </w:numPr>
        <w:spacing w:after="40" w:before="40"/>
      </w:pPr>
      <w:r>
        <w:rPr>
          <w:rFonts w:ascii="Arial" w:cs="Arial" w:eastAsia="Arial" w:hAnsi="Arial"/>
          <w:sz w:val="22"/>
          <w:szCs w:val="22"/>
        </w:rPr>
        <w:t xml:space="preserve">Clinical face-validity check: Even a 50-case expert review adds substantial credibility for publication at JAMIA / npj Digital Medicine tier venues.</w:t>
      </w:r>
    </w:p>
    <w:p>
      <w:pPr>
        <w:pStyle w:val="ListParagraph"/>
        <w:numPr>
          <w:ilvl w:val="0"/>
          <w:numId w:val="2"/>
        </w:numPr>
        <w:spacing w:after="40" w:before="40"/>
      </w:pPr>
      <w:r>
        <w:rPr>
          <w:rFonts w:ascii="Arial" w:cs="Arial" w:eastAsia="Arial" w:hAnsi="Arial"/>
          <w:sz w:val="22"/>
          <w:szCs w:val="22"/>
        </w:rPr>
        <w:t xml:space="preserve">Efficiency evaluation: Latency and VRAM metrics make this relevant beyond academic benchmarks and directly address concerns about deploying small models in clinical settings.</w:t>
      </w:r>
    </w:p>
    <w:p>
      <w:pPr>
        <w:pStyle w:val="ListParagraph"/>
        <w:numPr>
          <w:ilvl w:val="0"/>
          <w:numId w:val="2"/>
        </w:numPr>
        <w:spacing w:after="40" w:before="40"/>
      </w:pPr>
      <w:r>
        <w:rPr>
          <w:rFonts w:ascii="Arial" w:cs="Arial" w:eastAsia="Arial" w:hAnsi="Arial"/>
          <w:sz w:val="22"/>
          <w:szCs w:val="22"/>
        </w:rPr>
        <w:t xml:space="preserve">Reproducibility commitment: Open-sourced code and labeled evaluation set (subject to MIMIC licensing) are strong positives for all target venues.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4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4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Router training data is small (~200 questions)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Classifier may underfit or overfit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confidence intervals; compare to simple heuristics; frame as a pilot study</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000000"/>
                <w:sz w:val="20"/>
                <w:szCs w:val="20"/>
              </w:rPr>
              <w:t xml:space="preserve">MKG manually validated on only 50 edges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 quality concerns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precision/recall of sampled edges; acknowledge as limitation</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hardware (RTX 4050)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Generalizability concerns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as a design choice, not constraint; consumer-GPU accessibility is a feature</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000000"/>
                <w:sz w:val="20"/>
                <w:szCs w:val="20"/>
              </w:rPr>
              <w:t xml:space="preserve">MIMIC-IV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Domain/dataset specificity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Explicitly scope claims to internal medicine EHR settings</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Venue Fit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Venue</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Chance</w:t>
            </w:r>
          </w:p>
        </w:tc>
        <w:tc>
          <w:tcPr>
            <w:tcW w:type="dxa" w:w="5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Fit Rationale</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99"/>
                <w:sz w:val="20"/>
                <w:szCs w:val="20"/>
              </w:rPr>
              <w:t xml:space="preserve">CHIL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3C"/>
                <w:sz w:val="20"/>
                <w:szCs w:val="20"/>
              </w:rPr>
              <w:t xml:space="preserve">Moderate-High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safety/hallucination focus matches CHIL priorities. Clinical face validity is a plus.</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99"/>
                <w:sz w:val="20"/>
                <w:szCs w:val="20"/>
              </w:rPr>
              <w:t xml:space="preserve">EMNLP BioNLP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3C"/>
                <w:sz w:val="20"/>
                <w:szCs w:val="20"/>
              </w:rPr>
              <w:t xml:space="preserve">Moderate-High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system + annotation study; adaptive retrieval is a timely BioNLP topic.</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99"/>
                <w:sz w:val="20"/>
                <w:szCs w:val="20"/>
              </w:rPr>
              <w:t xml:space="preserve">AMIA Annual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3C"/>
                <w:sz w:val="20"/>
                <w:szCs w:val="20"/>
              </w:rPr>
              <w:t xml:space="preserve">High (poster/paper)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EHR + clinical NLP is a core AMIA theme; applied QA evaluation fits perfectly.</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99"/>
                <w:sz w:val="20"/>
                <w:szCs w:val="20"/>
              </w:rPr>
              <w:t xml:space="preserve">IEEE EMBC/BIBM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High (backup)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backup; graph + clinical AI combination fits well as a systems paper.</w:t>
            </w:r>
          </w:p>
        </w:tc>
      </w:tr>
    </w:tbl>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7920"/>
            <w:tcBorders>
              <w:top w:val="single" w:color="1F5C99" w:sz="1"/>
              <w:left w:val="single" w:color="1F5C99" w:sz="1"/>
              <w:bottom w:val="single" w:color="1F5C99" w:sz="1"/>
              <w:right w:val="single" w:color="1F5C99" w:sz="1"/>
            </w:tcBorders>
            <w:shd w:fill="E8F1F8" w:val="clear"/>
            <w:tcMar>
              <w:top w:type="dxa" w:w="80"/>
              <w:left w:type="dxa" w:w="160"/>
              <w:bottom w:type="dxa" w:w="80"/>
              <w:right w:type="dxa" w:w="120"/>
            </w:tcMar>
          </w:tcPr>
          <w:p>
            <w:pPr>
              <w:jc w:val="both"/>
            </w:pPr>
            <w:r>
              <w:rPr>
                <w:rFonts w:ascii="Arial" w:cs="Arial" w:eastAsia="Arial" w:hAnsi="Arial"/>
                <w:sz w:val="22"/>
                <w:szCs w:val="22"/>
              </w:rPr>
              <w:t xml:space="preserve">When Does the Knowledge Graph Help? Adaptive RAG Routing for EHR-Grounded Clinical Question Answering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Domain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in Healthcare · Medical NLP · Retrieval-Augmented Generation · Knowledge Graphs · Evaluation &amp; Safety</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Research-oriented M.Tech project</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Primary Venues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CHIL, AMIA Annual Symposium, EMNLP BioNLP Workshop</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Backup Venues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IEEE EMBC, IEEE BIBM, HEALTHINF</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Hardware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NVIDIA RTX 4050 (6 GB VRAM)</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Base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Phi-3 Mini (3-8B SLM) with QLoRA fine-tuning</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Key Dataset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MIMIC-IV (structured EHR + clinical notes)</w:t>
            </w:r>
          </w:p>
        </w:tc>
      </w:tr>
    </w:tbl>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2. Motivation &amp; Problem Statement</w:t>
      </w:r>
    </w:p>
    <w:p>
      <w:pPr>
        <w:pStyle w:val="Heading2"/>
        <w:spacing w:after="80" w:before="280"/>
      </w:pPr>
      <w:r>
        <w:rPr>
          <w:rFonts w:ascii="Arial" w:cs="Arial" w:eastAsia="Arial" w:hAnsi="Arial"/>
          <w:b/>
          <w:bCs/>
          <w:color w:val="2E75B6"/>
          <w:sz w:val="26"/>
          <w:szCs w:val="26"/>
        </w:rPr>
        <w:t xml:space="preserve">2.1 The Gap This Research Fills</w:t>
      </w:r>
    </w:p>
    <w:p>
      <w:pPr>
        <w:spacing w:after="80" w:before="60"/>
        <w:jc w:val="both"/>
      </w:pPr>
      <w:r>
        <w:rPr>
          <w:rFonts w:ascii="Arial" w:cs="Arial" w:eastAsia="Arial" w:hAnsi="Arial"/>
          <w:sz w:val="22"/>
          <w:szCs w:val="22"/>
        </w:rPr>
        <w:t xml:space="preserve">Large Language Models (LLMs) exhibit strong performance on medical QA and summarization tasks, but face three critical limitations in real clinical settings: hallucinations, lack of patient-specific grounding, and weak integration with structured EHR data.</w:t>
      </w:r>
    </w:p>
    <w:p>
      <w:pPr>
        <w:spacing w:after="80" w:before="60"/>
        <w:jc w:val="both"/>
      </w:pPr>
      <w:r>
        <w:rPr>
          <w:rFonts w:ascii="Arial" w:cs="Arial" w:eastAsia="Arial" w:hAnsi="Arial"/>
          <w:sz w:val="22"/>
          <w:szCs w:val="22"/>
        </w:rPr>
        <w:t xml:space="preserve">Retrieval-Augmented Generation (RAG) partially addresses hallucinations by retrieving external documents, yet most medical RAG systems still rely predominantly on unstructured text. Structured EHR fields and explicit medical knowledge graphs remain underutilized.</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2.2 Limitations of Existing Systems</w:t>
      </w:r>
    </w:p>
    <w:p>
      <w:pPr>
        <w:spacing w:after="80" w:before="60"/>
        <w:jc w:val="both"/>
      </w:pPr>
      <w:r>
        <w:rPr>
          <w:rFonts w:ascii="Arial" w:cs="Arial" w:eastAsia="Arial" w:hAnsi="Arial"/>
          <w:sz w:val="22"/>
          <w:szCs w:val="22"/>
        </w:rPr>
        <w:t xml:space="preserve">Recent systems such as MedRAG, MedGraphRAG, and MediGRAF have begun combining EHR data with knowledge graphs — but they share a critical assumption that more KG/EHR context always helps. This project challenges that assumption directly:</w:t>
      </w:r>
    </w:p>
    <w:p>
      <w:pPr>
        <w:pStyle w:val="ListParagraph"/>
        <w:numPr>
          <w:ilvl w:val="0"/>
          <w:numId w:val="2"/>
        </w:numPr>
        <w:spacing w:after="40" w:before="40"/>
      </w:pPr>
      <w:r>
        <w:rPr>
          <w:rFonts w:ascii="Arial" w:cs="Arial" w:eastAsia="Arial" w:hAnsi="Arial"/>
          <w:sz w:val="22"/>
          <w:szCs w:val="22"/>
        </w:rPr>
        <w:t xml:space="preserve">When the patient's EHR is dense, extra KG retrieval may add noise or redundancy, increasing hallucination risk from irrelevant context.</w:t>
      </w:r>
    </w:p>
    <w:p>
      <w:pPr>
        <w:pStyle w:val="ListParagraph"/>
        <w:numPr>
          <w:ilvl w:val="0"/>
          <w:numId w:val="2"/>
        </w:numPr>
        <w:spacing w:after="40" w:before="40"/>
      </w:pPr>
      <w:r>
        <w:rPr>
          <w:rFonts w:ascii="Arial" w:cs="Arial" w:eastAsia="Arial" w:hAnsi="Arial"/>
          <w:sz w:val="22"/>
          <w:szCs w:val="22"/>
        </w:rPr>
        <w:t xml:space="preserve">When the EHR is sparse, KG retrieval may be crucial to fill knowledge gaps.</w:t>
      </w:r>
    </w:p>
    <w:p>
      <w:pPr>
        <w:pStyle w:val="ListParagraph"/>
        <w:numPr>
          <w:ilvl w:val="0"/>
          <w:numId w:val="2"/>
        </w:numPr>
        <w:spacing w:after="40" w:before="40"/>
      </w:pPr>
      <w:r>
        <w:rPr>
          <w:rFonts w:ascii="Arial" w:cs="Arial" w:eastAsia="Arial" w:hAnsi="Arial"/>
          <w:sz w:val="22"/>
          <w:szCs w:val="22"/>
        </w:rPr>
        <w:t xml:space="preserve">Different retrieval sources carry different latency and compute cost profiles — relevant for real-world deployment on consumer hardware.</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2.3 Central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H1</w:t>
            </w:r>
          </w:p>
        </w:tc>
        <w:tc>
          <w:tcPr>
            <w:tcW w:type="dxa" w:w="7920"/>
            <w:tcBorders>
              <w:top w:val="single" w:color="1F5C99" w:sz="1"/>
              <w:left w:val="single" w:color="1F5C99" w:sz="1"/>
              <w:bottom w:val="single" w:color="1F5C99" w:sz="1"/>
              <w:right w:val="single" w:color="1F5C99" w:sz="1"/>
            </w:tcBorders>
            <w:shd w:fill="FFF8E1" w:val="clear"/>
            <w:tcMar>
              <w:top w:type="dxa" w:w="80"/>
              <w:left w:type="dxa" w:w="160"/>
              <w:bottom w:type="dxa" w:w="80"/>
              <w:right w:type="dxa" w:w="120"/>
            </w:tcMar>
          </w:tcPr>
          <w:p>
            <w:pPr>
              <w:jc w:val="both"/>
            </w:pPr>
            <w:r>
              <w:rPr>
                <w:rFonts w:ascii="Arial" w:cs="Arial" w:eastAsia="Arial" w:hAnsi="Arial"/>
                <w:sz w:val="22"/>
                <w:szCs w:val="22"/>
              </w:rPr>
              <w:t xml:space="preserve">Can an adaptive retrieval router that dynamically chooses between text-only, text+EHR, and text+EHR+KG retrieval reduce clinically relevant hallucinations and latency — while preserving or improving accuracy — compared to always-on hybrid KG-RAG in EHR-grounded clinical QA with small language models?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H2</w:t>
            </w:r>
          </w:p>
        </w:tc>
        <w:tc>
          <w:tcPr>
            <w:tcW w:type="dxa" w:w="7920"/>
            <w:tcBorders>
              <w:top w:val="single" w:color="1F5C99" w:sz="1"/>
              <w:left w:val="single" w:color="1F5C99" w:sz="1"/>
              <w:bottom w:val="single" w:color="1F5C99" w:sz="1"/>
              <w:right w:val="single" w:color="1F5C99" w:sz="1"/>
            </w:tcBorders>
            <w:shd w:fill="E8F5E9" w:val="clear"/>
            <w:tcMar>
              <w:top w:type="dxa" w:w="80"/>
              <w:left w:type="dxa" w:w="160"/>
              <w:bottom w:type="dxa" w:w="80"/>
              <w:right w:type="dxa" w:w="120"/>
            </w:tcMar>
          </w:tcPr>
          <w:p>
            <w:pPr>
              <w:jc w:val="both"/>
            </w:pPr>
            <w:r>
              <w:rPr>
                <w:rFonts w:ascii="Arial" w:cs="Arial" w:eastAsia="Arial" w:hAnsi="Arial"/>
                <w:sz w:val="22"/>
                <w:szCs w:val="22"/>
              </w:rPr>
              <w:t xml:space="preserve">How does the benefit of KG augmentation depend on EHR sparsity, measured via concrete EHR sparsity metrics (labs, diagnoses, documentation density)?</w:t>
            </w:r>
          </w:p>
        </w:tc>
      </w:tr>
    </w:tbl>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3. Project Objectives</w:t>
      </w:r>
    </w:p>
    <w:p>
      <w:pPr>
        <w:pStyle w:val="Heading2"/>
        <w:spacing w:after="80" w:before="280"/>
      </w:pPr>
      <w:r>
        <w:rPr>
          <w:rFonts w:ascii="Arial" w:cs="Arial" w:eastAsia="Arial" w:hAnsi="Arial"/>
          <w:b/>
          <w:bCs/>
          <w:color w:val="2E75B6"/>
          <w:sz w:val="26"/>
          <w:szCs w:val="26"/>
        </w:rPr>
        <w:t xml:space="preserve">3.1 Primary Objectives</w:t>
      </w:r>
    </w:p>
    <w:p>
      <w:pPr>
        <w:pStyle w:val="ListParagraph"/>
        <w:numPr>
          <w:ilvl w:val="0"/>
          <w:numId w:val="3"/>
        </w:numPr>
        <w:spacing w:after="40" w:before="40"/>
      </w:pPr>
      <w:r>
        <w:rPr>
          <w:rFonts w:ascii="Arial" w:cs="Arial" w:eastAsia="Arial" w:hAnsi="Arial"/>
          <w:sz w:val="22"/>
          <w:szCs w:val="22"/>
        </w:rPr>
        <w:t xml:space="preserve">Build an EHR-grounded clinical QA system using a Small Language Model (Phi-3 Mini or comparable 3-8B SLM) running on a single consumer GPU.</w:t>
      </w:r>
    </w:p>
    <w:p>
      <w:pPr>
        <w:pStyle w:val="ListParagraph"/>
        <w:numPr>
          <w:ilvl w:val="0"/>
          <w:numId w:val="3"/>
        </w:numPr>
        <w:spacing w:after="40" w:before="40"/>
      </w:pPr>
      <w:r>
        <w:rPr>
          <w:rFonts w:ascii="Arial" w:cs="Arial" w:eastAsia="Arial" w:hAnsi="Arial"/>
          <w:sz w:val="22"/>
          <w:szCs w:val="22"/>
        </w:rPr>
        <w:t xml:space="preserve">Design a lightweight healthcare lakehouse integrating MIMIC-IV structured EHR tables, clinical notes, and QA datasets using Parquet + DuckDB.</w:t>
      </w:r>
    </w:p>
    <w:p>
      <w:pPr>
        <w:pStyle w:val="ListParagraph"/>
        <w:numPr>
          <w:ilvl w:val="0"/>
          <w:numId w:val="3"/>
        </w:numPr>
        <w:spacing w:after="40" w:before="40"/>
      </w:pPr>
      <w:r>
        <w:rPr>
          <w:rFonts w:ascii="Arial" w:cs="Arial" w:eastAsia="Arial" w:hAnsi="Arial"/>
          <w:sz w:val="22"/>
          <w:szCs w:val="22"/>
        </w:rPr>
        <w:t xml:space="preserve">Construct a Medical Knowledge Graph (MKG) for selected internal medicine conditions, with clearly specified ontology sources, construction rules, and manual validation.</w:t>
      </w:r>
    </w:p>
    <w:p>
      <w:pPr>
        <w:pStyle w:val="ListParagraph"/>
        <w:numPr>
          <w:ilvl w:val="0"/>
          <w:numId w:val="3"/>
        </w:numPr>
        <w:spacing w:after="40" w:before="40"/>
      </w:pPr>
      <w:r>
        <w:rPr>
          <w:rFonts w:ascii="Arial" w:cs="Arial" w:eastAsia="Arial" w:hAnsi="Arial"/>
          <w:sz w:val="22"/>
          <w:szCs w:val="22"/>
        </w:rPr>
        <w:t xml:space="preserve">Implement a hybrid retrieval layer supporting text (vector) retrieval, structured EHR retrieval, and knowledge graph retrieval.</w:t>
      </w:r>
    </w:p>
    <w:p>
      <w:pPr>
        <w:pStyle w:val="ListParagraph"/>
        <w:numPr>
          <w:ilvl w:val="0"/>
          <w:numId w:val="3"/>
        </w:numPr>
        <w:spacing w:after="40" w:before="40"/>
      </w:pPr>
      <w:r>
        <w:rPr>
          <w:rFonts w:ascii="Arial" w:cs="Arial" w:eastAsia="Arial" w:hAnsi="Arial"/>
          <w:sz w:val="22"/>
          <w:szCs w:val="22"/>
        </w:rPr>
        <w:t xml:space="preserve">Develop an Adaptive Retrieval Router that selects among T (text-only), T+E (text+EHR), and T+E+K (text+EHR+KG) retrieval modes per query.</w:t>
      </w:r>
    </w:p>
    <w:p>
      <w:pPr>
        <w:pStyle w:val="ListParagraph"/>
        <w:numPr>
          <w:ilvl w:val="0"/>
          <w:numId w:val="3"/>
        </w:numPr>
        <w:spacing w:after="40" w:before="40"/>
      </w:pPr>
      <w:r>
        <w:rPr>
          <w:rFonts w:ascii="Arial" w:cs="Arial" w:eastAsia="Arial" w:hAnsi="Arial"/>
          <w:sz w:val="22"/>
          <w:szCs w:val="22"/>
        </w:rPr>
        <w:t xml:space="preserve">Create a hallucination taxonomy, annotation protocol, and small classifier for EHR-grounded QA.</w:t>
      </w:r>
    </w:p>
    <w:p>
      <w:pPr>
        <w:pStyle w:val="ListParagraph"/>
        <w:numPr>
          <w:ilvl w:val="0"/>
          <w:numId w:val="3"/>
        </w:numPr>
        <w:spacing w:after="40" w:before="40"/>
      </w:pPr>
      <w:r>
        <w:rPr>
          <w:rFonts w:ascii="Arial" w:cs="Arial" w:eastAsia="Arial" w:hAnsi="Arial"/>
          <w:sz w:val="22"/>
          <w:szCs w:val="22"/>
        </w:rPr>
        <w:t xml:space="preserve">Conduct rigorous experiments with train/val/test splits, oracle and random routing baselines, ablations, and efficiency metrics.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3.2 Secondary Objectives</w:t>
      </w:r>
    </w:p>
    <w:p>
      <w:pPr>
        <w:pStyle w:val="ListParagraph"/>
        <w:numPr>
          <w:ilvl w:val="0"/>
          <w:numId w:val="2"/>
        </w:numPr>
        <w:spacing w:after="40" w:before="40"/>
      </w:pPr>
      <w:r>
        <w:rPr>
          <w:rFonts w:ascii="Arial" w:cs="Arial" w:eastAsia="Arial" w:hAnsi="Arial"/>
          <w:sz w:val="22"/>
          <w:szCs w:val="22"/>
        </w:rPr>
        <w:t xml:space="preserve">Explore EHR-constrained prompting (e.g., blocking contraindicated recommendations based on patient data).</w:t>
      </w:r>
    </w:p>
    <w:p>
      <w:pPr>
        <w:pStyle w:val="ListParagraph"/>
        <w:numPr>
          <w:ilvl w:val="0"/>
          <w:numId w:val="2"/>
        </w:numPr>
        <w:spacing w:after="40" w:before="40"/>
      </w:pPr>
      <w:r>
        <w:rPr>
          <w:rFonts w:ascii="Arial" w:cs="Arial" w:eastAsia="Arial" w:hAnsi="Arial"/>
          <w:sz w:val="22"/>
          <w:szCs w:val="22"/>
        </w:rPr>
        <w:t xml:space="preserve">Release a labeled hallucination evaluation dataset and open-sourced code where MIMIC-IV licensing permits.</w:t>
      </w:r>
    </w:p>
    <w:p>
      <w:pPr>
        <w:pStyle w:val="ListParagraph"/>
        <w:numPr>
          <w:ilvl w:val="0"/>
          <w:numId w:val="2"/>
        </w:numPr>
        <w:spacing w:after="40" w:before="40"/>
      </w:pPr>
      <w:r>
        <w:rPr>
          <w:rFonts w:ascii="Arial" w:cs="Arial" w:eastAsia="Arial" w:hAnsi="Arial"/>
          <w:sz w:val="22"/>
          <w:szCs w:val="22"/>
        </w:rPr>
        <w:t xml:space="preserve">Include clinical face-validity check via expert review of 50 randomly sampled QA outputs.</w:t>
      </w:r>
    </w:p>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4. Datasets</w:t>
      </w:r>
    </w:p>
    <w:p>
      <w:pPr>
        <w:pStyle w:val="Heading2"/>
        <w:spacing w:after="80" w:before="280"/>
      </w:pPr>
      <w:r>
        <w:rPr>
          <w:rFonts w:ascii="Arial" w:cs="Arial" w:eastAsia="Arial" w:hAnsi="Arial"/>
          <w:b/>
          <w:bCs/>
          <w:color w:val="2E75B6"/>
          <w:sz w:val="26"/>
          <w:szCs w:val="26"/>
        </w:rPr>
        <w:t xml:space="preserve">4.1 MIMIC-IV</w:t>
      </w:r>
    </w:p>
    <w:p>
      <w:pPr>
        <w:spacing w:after="80" w:before="60"/>
        <w:jc w:val="both"/>
      </w:pPr>
      <w:r>
        <w:rPr>
          <w:rFonts w:ascii="Arial" w:cs="Arial" w:eastAsia="Arial" w:hAnsi="Arial"/>
          <w:sz w:val="22"/>
          <w:szCs w:val="22"/>
        </w:rPr>
        <w:t xml:space="preserve">MIMIC-IV (Medical Information Mart for Intensive Care) is the core dataset, providing both structured and unstructured patient data from a tertiary care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99"/>
                <w:sz w:val="20"/>
                <w:szCs w:val="20"/>
              </w:rPr>
              <w:t xml:space="preserve">Structured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ICD diagnoses, lab events, vital signs, procedure orders, medication orders, admission and ICU information</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99"/>
                <w:sz w:val="20"/>
                <w:szCs w:val="20"/>
              </w:rPr>
              <w:t xml:space="preserve">Unstructured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Discharge summaries and clinical free-text notes</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4.2 QA Data for Fine-Tuning and Evaluation</w:t>
      </w:r>
    </w:p>
    <w:p>
      <w:pPr>
        <w:pStyle w:val="Heading3"/>
        <w:spacing w:after="60" w:before="200"/>
      </w:pPr>
      <w:r>
        <w:rPr>
          <w:rFonts w:ascii="Arial" w:cs="Arial" w:eastAsia="Arial" w:hAnsi="Arial"/>
          <w:b/>
          <w:bCs/>
          <w:color w:val="1F5C99"/>
          <w:sz w:val="22"/>
          <w:szCs w:val="22"/>
        </w:rPr>
        <w:t xml:space="preserve">Fine-Tuning Data (QLoRA)</w:t>
      </w:r>
    </w:p>
    <w:p>
      <w:pPr>
        <w:pStyle w:val="ListParagraph"/>
        <w:numPr>
          <w:ilvl w:val="0"/>
          <w:numId w:val="2"/>
        </w:numPr>
        <w:spacing w:after="40" w:before="40"/>
      </w:pPr>
      <w:r>
        <w:rPr>
          <w:rFonts w:ascii="Arial" w:cs="Arial" w:eastAsia="Arial" w:hAnsi="Arial"/>
          <w:sz w:val="22"/>
          <w:szCs w:val="22"/>
        </w:rPr>
        <w:t xml:space="preserve">MedQA (USMLE) — train split only</w:t>
      </w:r>
    </w:p>
    <w:p>
      <w:pPr>
        <w:pStyle w:val="ListParagraph"/>
        <w:numPr>
          <w:ilvl w:val="0"/>
          <w:numId w:val="2"/>
        </w:numPr>
        <w:spacing w:after="40" w:before="40"/>
      </w:pPr>
      <w:r>
        <w:rPr>
          <w:rFonts w:ascii="Arial" w:cs="Arial" w:eastAsia="Arial" w:hAnsi="Arial"/>
          <w:sz w:val="22"/>
          <w:szCs w:val="22"/>
        </w:rPr>
        <w:t xml:space="preserve">MedQuAD — medical QA pairs from authoritative medical websites</w:t>
      </w:r>
    </w:p>
    <w:p>
      <w:pPr>
        <w:pStyle w:val="ListParagraph"/>
        <w:numPr>
          <w:ilvl w:val="0"/>
          <w:numId w:val="2"/>
        </w:numPr>
        <w:spacing w:after="40" w:before="40"/>
      </w:pPr>
      <w:r>
        <w:rPr>
          <w:rFonts w:ascii="Arial" w:cs="Arial" w:eastAsia="Arial" w:hAnsi="Arial"/>
          <w:sz w:val="22"/>
          <w:szCs w:val="22"/>
        </w:rPr>
        <w:t xml:space="preserve">Synthetic EHR-QA set derived from MIMIC-IV training partition via templates (e.g., 'What is the primary diagnosis?', 'Which lab abnormality suggests X?')</w:t>
      </w:r>
    </w:p>
    <w:p>
      <w:pPr>
        <w:spacing w:after="60" w:before="60"/>
      </w:pPr>
      <w:r>
        <w:t xml:space="preserve"/>
      </w:r>
    </w:p>
    <w:p>
      <w:pPr>
        <w:pStyle w:val="Heading3"/>
        <w:spacing w:after="60" w:before="200"/>
      </w:pPr>
      <w:r>
        <w:rPr>
          <w:rFonts w:ascii="Arial" w:cs="Arial" w:eastAsia="Arial" w:hAnsi="Arial"/>
          <w:b/>
          <w:bCs/>
          <w:color w:val="1F5C99"/>
          <w:sz w:val="22"/>
          <w:szCs w:val="22"/>
        </w:rPr>
        <w:t xml:space="preserve">Evaluation Data</w:t>
      </w:r>
    </w:p>
    <w:p>
      <w:pPr>
        <w:pStyle w:val="ListParagraph"/>
        <w:numPr>
          <w:ilvl w:val="0"/>
          <w:numId w:val="2"/>
        </w:numPr>
        <w:spacing w:after="40" w:before="40"/>
      </w:pPr>
      <w:r>
        <w:rPr>
          <w:rFonts w:ascii="Arial" w:cs="Arial" w:eastAsia="Arial" w:hAnsi="Arial"/>
          <w:sz w:val="22"/>
          <w:szCs w:val="22"/>
        </w:rPr>
        <w:t xml:space="preserve">Held-out EHR-QA set from a disjoint MIMIC-IV patient split with manually curated QA pairs</w:t>
      </w:r>
    </w:p>
    <w:p>
      <w:pPr>
        <w:pStyle w:val="ListParagraph"/>
        <w:numPr>
          <w:ilvl w:val="0"/>
          <w:numId w:val="2"/>
        </w:numPr>
        <w:spacing w:after="40" w:before="40"/>
      </w:pPr>
      <w:r>
        <w:rPr>
          <w:rFonts w:ascii="Arial" w:cs="Arial" w:eastAsia="Arial" w:hAnsi="Arial"/>
          <w:sz w:val="22"/>
          <w:szCs w:val="22"/>
        </w:rPr>
        <w:t xml:space="preserve">Optional: MedQA dev/test split for general medical reasoning benchmarking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Separation Rule</w:t>
            </w:r>
          </w:p>
        </w:tc>
        <w:tc>
          <w:tcPr>
            <w:tcW w:type="dxa" w:w="7920"/>
            <w:tcBorders>
              <w:top w:val="single" w:color="1F5C99" w:sz="1"/>
              <w:left w:val="single" w:color="1F5C99" w:sz="1"/>
              <w:bottom w:val="single" w:color="1F5C99" w:sz="1"/>
              <w:right w:val="single" w:color="1F5C99" w:sz="1"/>
            </w:tcBorders>
            <w:shd w:fill="E8F1F8" w:val="clear"/>
            <w:tcMar>
              <w:top w:type="dxa" w:w="80"/>
              <w:left w:type="dxa" w:w="160"/>
              <w:bottom w:type="dxa" w:w="80"/>
              <w:right w:type="dxa" w:w="120"/>
            </w:tcMar>
          </w:tcPr>
          <w:p>
            <w:pPr>
              <w:jc w:val="both"/>
            </w:pPr>
            <w:r>
              <w:rPr>
                <w:rFonts w:ascii="Arial" w:cs="Arial" w:eastAsia="Arial" w:hAnsi="Arial"/>
                <w:sz w:val="22"/>
                <w:szCs w:val="22"/>
              </w:rPr>
              <w:t xml:space="preserve">Fine-tuning, router training, and final evaluation use strictly non-overlapping patient IDs and question sets. This is enforced at the patient level to prevent any form of data leakage.</w:t>
            </w:r>
          </w:p>
        </w:tc>
      </w:tr>
    </w:tbl>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5. System Architecture</w:t>
      </w:r>
    </w:p>
    <w:p>
      <w:pPr>
        <w:pStyle w:val="Heading2"/>
        <w:spacing w:after="80" w:before="280"/>
      </w:pPr>
      <w:r>
        <w:rPr>
          <w:rFonts w:ascii="Arial" w:cs="Arial" w:eastAsia="Arial" w:hAnsi="Arial"/>
          <w:b/>
          <w:bCs/>
          <w:color w:val="2E75B6"/>
          <w:sz w:val="26"/>
          <w:szCs w:val="26"/>
        </w:rPr>
        <w:t xml:space="preserve">5.1 Healthcare Lakehouse</w:t>
      </w:r>
    </w:p>
    <w:p>
      <w:pPr>
        <w:spacing w:after="80" w:before="60"/>
        <w:jc w:val="both"/>
      </w:pPr>
      <w:r>
        <w:rPr>
          <w:rFonts w:ascii="Arial" w:cs="Arial" w:eastAsia="Arial" w:hAnsi="Arial"/>
          <w:sz w:val="22"/>
          <w:szCs w:val="22"/>
        </w:rPr>
        <w:t xml:space="preserve">A lightweight healthcare lakehouse provides unified storage and querying for all structured and unstructured data, enabling fast patient-centric data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Storage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Parquet tables partitioned by domain: patients, admissions, labs, vitals, diagnoses, medications, notes, QA pairs</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Query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DuckDB for local analytical queries and joins over Parquet files</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Primary 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Patient-centric joins for EHR snapshots (e.g., last 48h labs + discharge note)</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Secondary Uses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generation, MKG construction (disease-lab co-occurrence), retrieval pipelines, sparsity computation</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5.2 Small Language Model (SLM)</w:t>
      </w:r>
    </w:p>
    <w:p>
      <w:pPr>
        <w:pStyle w:val="ListParagraph"/>
        <w:numPr>
          <w:ilvl w:val="0"/>
          <w:numId w:val="2"/>
        </w:numPr>
        <w:spacing w:after="40" w:before="40"/>
      </w:pPr>
      <w:r>
        <w:rPr>
          <w:rFonts w:ascii="Arial" w:cs="Arial" w:eastAsia="Arial" w:hAnsi="Arial"/>
          <w:sz w:val="22"/>
          <w:szCs w:val="22"/>
        </w:rPr>
        <w:t xml:space="preserve">Base model: Phi-3 Mini or comparable 3-8B parameter SLM</w:t>
      </w:r>
    </w:p>
    <w:p>
      <w:pPr>
        <w:pStyle w:val="ListParagraph"/>
        <w:numPr>
          <w:ilvl w:val="0"/>
          <w:numId w:val="2"/>
        </w:numPr>
        <w:spacing w:after="40" w:before="40"/>
      </w:pPr>
      <w:r>
        <w:rPr>
          <w:rFonts w:ascii="Arial" w:cs="Arial" w:eastAsia="Arial" w:hAnsi="Arial"/>
          <w:sz w:val="22"/>
          <w:szCs w:val="22"/>
        </w:rPr>
        <w:t xml:space="preserve">Fine-tuning: QLoRA on MedQA train split, MedQuAD, and synthetic EHR-QA (training partition only)</w:t>
      </w:r>
    </w:p>
    <w:p>
      <w:pPr>
        <w:pStyle w:val="ListParagraph"/>
        <w:numPr>
          <w:ilvl w:val="0"/>
          <w:numId w:val="2"/>
        </w:numPr>
        <w:spacing w:after="40" w:before="40"/>
      </w:pPr>
      <w:r>
        <w:rPr>
          <w:rFonts w:ascii="Arial" w:cs="Arial" w:eastAsia="Arial" w:hAnsi="Arial"/>
          <w:sz w:val="22"/>
          <w:szCs w:val="22"/>
        </w:rPr>
        <w:t xml:space="preserve">Strict separation: no overlap between fine-tuning data and held-out evaluation questions/patients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5.3 Embedding and Vector Retrieval</w:t>
      </w:r>
    </w:p>
    <w:p>
      <w:pPr>
        <w:pStyle w:val="ListParagraph"/>
        <w:numPr>
          <w:ilvl w:val="0"/>
          <w:numId w:val="2"/>
        </w:numPr>
        <w:spacing w:after="40" w:before="40"/>
      </w:pPr>
      <w:r>
        <w:rPr>
          <w:rFonts w:ascii="Arial" w:cs="Arial" w:eastAsia="Arial" w:hAnsi="Arial"/>
          <w:sz w:val="22"/>
          <w:szCs w:val="22"/>
        </w:rPr>
        <w:t xml:space="preserve">Embeddings: BGE-Small and all-MiniLM-L6-v2 for sentence-level representations</w:t>
      </w:r>
    </w:p>
    <w:p>
      <w:pPr>
        <w:pStyle w:val="ListParagraph"/>
        <w:numPr>
          <w:ilvl w:val="0"/>
          <w:numId w:val="2"/>
        </w:numPr>
        <w:spacing w:after="40" w:before="40"/>
      </w:pPr>
      <w:r>
        <w:rPr>
          <w:rFonts w:ascii="Arial" w:cs="Arial" w:eastAsia="Arial" w:hAnsi="Arial"/>
          <w:sz w:val="22"/>
          <w:szCs w:val="22"/>
        </w:rPr>
        <w:t xml:space="preserve">Index: FAISS for fast approximate nearest-neighbor search</w:t>
      </w:r>
    </w:p>
    <w:p>
      <w:pPr>
        <w:pStyle w:val="ListParagraph"/>
        <w:numPr>
          <w:ilvl w:val="0"/>
          <w:numId w:val="2"/>
        </w:numPr>
        <w:spacing w:after="40" w:before="40"/>
      </w:pPr>
      <w:r>
        <w:rPr>
          <w:rFonts w:ascii="Arial" w:cs="Arial" w:eastAsia="Arial" w:hAnsi="Arial"/>
          <w:sz w:val="22"/>
          <w:szCs w:val="22"/>
        </w:rPr>
        <w:t xml:space="preserve">Text retrieval: question -&gt; query encoder -&gt; top-k chunks from clinical notes, MKG textual descriptions, and guideline snippets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5.4 Structured EHR Retrieval</w:t>
      </w:r>
    </w:p>
    <w:p>
      <w:pPr>
        <w:spacing w:after="80" w:before="60"/>
        <w:jc w:val="both"/>
      </w:pPr>
      <w:r>
        <w:rPr>
          <w:rFonts w:ascii="Arial" w:cs="Arial" w:eastAsia="Arial" w:hAnsi="Arial"/>
          <w:sz w:val="22"/>
          <w:szCs w:val="22"/>
        </w:rPr>
        <w:t xml:space="preserve">Per-patient EHR snapshots are assembled from the lakehouse, formatted as natural language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EHR Context</w:t>
            </w:r>
          </w:p>
        </w:tc>
        <w:tc>
          <w:tcPr>
            <w:tcW w:type="dxa" w:w="7920"/>
            <w:tcBorders>
              <w:top w:val="single" w:color="1F5C99" w:sz="1"/>
              <w:left w:val="single" w:color="1F5C99" w:sz="1"/>
              <w:bottom w:val="single" w:color="1F5C99" w:sz="1"/>
              <w:right w:val="single" w:color="1F5C99" w:sz="1"/>
            </w:tcBorders>
            <w:shd w:fill="F3F8F3" w:val="clear"/>
            <w:tcMar>
              <w:top w:type="dxa" w:w="80"/>
              <w:left w:type="dxa" w:w="160"/>
              <w:bottom w:type="dxa" w:w="80"/>
              <w:right w:type="dxa" w:w="120"/>
            </w:tcMar>
          </w:tcPr>
          <w:p>
            <w:pPr>
              <w:jc w:val="both"/>
            </w:pPr>
            <w:r>
              <w:rPr>
                <w:rFonts w:ascii="Arial" w:cs="Arial" w:eastAsia="Arial" w:hAnsi="Arial"/>
                <w:sz w:val="22"/>
                <w:szCs w:val="22"/>
              </w:rPr>
              <w:t xml:space="preserve">Patient: 65-year-old male. Diagnoses: Type 2 Diabetes, CKD Stage 3. Labs: HbA1c 9.1% (high), Creatinine 2.3 mg/dL (high), eGFR 35 ml/min (reduced). Medications: Metformin 1000 mg BID.</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5.5 Knowledge Graph Retrieval</w:t>
      </w:r>
    </w:p>
    <w:p>
      <w:pPr>
        <w:pStyle w:val="ListParagraph"/>
        <w:numPr>
          <w:ilvl w:val="0"/>
          <w:numId w:val="2"/>
        </w:numPr>
        <w:spacing w:after="40" w:before="40"/>
      </w:pPr>
      <w:r>
        <w:rPr>
          <w:rFonts w:ascii="Arial" w:cs="Arial" w:eastAsia="Arial" w:hAnsi="Arial"/>
          <w:sz w:val="22"/>
          <w:szCs w:val="22"/>
        </w:rPr>
        <w:t xml:space="preserve">Entity identification: extract disease codes, drug names, and lab values from question and EHR snapshot</w:t>
      </w:r>
    </w:p>
    <w:p>
      <w:pPr>
        <w:pStyle w:val="ListParagraph"/>
        <w:numPr>
          <w:ilvl w:val="0"/>
          <w:numId w:val="2"/>
        </w:numPr>
        <w:spacing w:after="40" w:before="40"/>
      </w:pPr>
      <w:r>
        <w:rPr>
          <w:rFonts w:ascii="Arial" w:cs="Arial" w:eastAsia="Arial" w:hAnsi="Arial"/>
          <w:sz w:val="22"/>
          <w:szCs w:val="22"/>
        </w:rPr>
        <w:t xml:space="preserve">Subgraph retrieval: 1-2 hop neighborhood around identified entities in Neo4j</w:t>
      </w:r>
    </w:p>
    <w:p>
      <w:pPr>
        <w:pStyle w:val="ListParagraph"/>
        <w:numPr>
          <w:ilvl w:val="0"/>
          <w:numId w:val="2"/>
        </w:numPr>
        <w:spacing w:after="40" w:before="40"/>
      </w:pPr>
      <w:r>
        <w:rPr>
          <w:rFonts w:ascii="Arial" w:cs="Arial" w:eastAsia="Arial" w:hAnsi="Arial"/>
          <w:sz w:val="22"/>
          <w:szCs w:val="22"/>
        </w:rPr>
        <w:t xml:space="preserve">Linearization: subgraph facts converted to natural language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KG Fact</w:t>
            </w:r>
          </w:p>
        </w:tc>
        <w:tc>
          <w:tcPr>
            <w:tcW w:type="dxa" w:w="7920"/>
            <w:tcBorders>
              <w:top w:val="single" w:color="1F5C99" w:sz="1"/>
              <w:left w:val="single" w:color="1F5C99" w:sz="1"/>
              <w:bottom w:val="single" w:color="1F5C99" w:sz="1"/>
              <w:right w:val="single" w:color="1F5C99" w:sz="1"/>
            </w:tcBorders>
            <w:shd w:fill="FFF8E1" w:val="clear"/>
            <w:tcMar>
              <w:top w:type="dxa" w:w="80"/>
              <w:left w:type="dxa" w:w="160"/>
              <w:bottom w:type="dxa" w:w="80"/>
              <w:right w:type="dxa" w:w="120"/>
            </w:tcMar>
          </w:tcPr>
          <w:p>
            <w:pPr>
              <w:jc w:val="both"/>
            </w:pPr>
            <w:r>
              <w:rPr>
                <w:rFonts w:ascii="Arial" w:cs="Arial" w:eastAsia="Arial" w:hAnsi="Arial"/>
                <w:sz w:val="22"/>
                <w:szCs w:val="22"/>
              </w:rPr>
              <w:t xml:space="preserve">For CKD Stage 3, ACE inhibitors are recommended as first-line for hypertension unless hyperkalemia is present.</w:t>
            </w:r>
          </w:p>
        </w:tc>
      </w:tr>
    </w:tbl>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6. Adaptive Retrieval Router</w:t>
      </w:r>
    </w:p>
    <w:p>
      <w:pPr>
        <w:pStyle w:val="Heading2"/>
        <w:spacing w:after="80" w:before="280"/>
      </w:pPr>
      <w:r>
        <w:rPr>
          <w:rFonts w:ascii="Arial" w:cs="Arial" w:eastAsia="Arial" w:hAnsi="Arial"/>
          <w:b/>
          <w:bCs/>
          <w:color w:val="2E75B6"/>
          <w:sz w:val="26"/>
          <w:szCs w:val="26"/>
        </w:rPr>
        <w:t xml:space="preserve">6.1 Routing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Sources Used</w:t>
            </w:r>
          </w:p>
        </w:tc>
        <w:tc>
          <w:tcPr>
            <w:tcW w:type="dxa" w:w="55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Expected Use Case</w:t>
            </w:r>
          </w:p>
        </w:tc>
      </w:tr>
      <w:tr>
        <w:tc>
          <w:tcPr>
            <w:tcW w:type="dxa" w:w="14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99"/>
                <w:sz w:val="22"/>
                <w:szCs w:val="22"/>
              </w:rPr>
              <w:t xml:space="preserv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Text/notes only</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medical definitions, low EHR dependency, dense EHR contexts</w:t>
            </w:r>
          </w:p>
        </w:tc>
      </w:tr>
      <w:tr>
        <w:tc>
          <w:tcPr>
            <w:tcW w:type="dxa" w:w="14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99"/>
                <w:sz w:val="22"/>
                <w:szCs w:val="22"/>
              </w:rPr>
              <w:t xml:space="preserv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 EHR snapshot</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Patient-specific questions with available structured records</w:t>
            </w:r>
          </w:p>
        </w:tc>
      </w:tr>
      <w:tr>
        <w:tc>
          <w:tcPr>
            <w:tcW w:type="dxa" w:w="14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99"/>
                <w:sz w:val="22"/>
                <w:szCs w:val="22"/>
              </w:rPr>
              <w:t xml:space="preserve">T+E+K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 EHR + KG facts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Sparse EHR, treatment/contraindication questions, comorbid conditions</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6.2 Router Input Features</w:t>
      </w:r>
    </w:p>
    <w:p>
      <w:pPr>
        <w:spacing w:after="80" w:before="60"/>
        <w:jc w:val="both"/>
      </w:pPr>
      <w:r>
        <w:rPr>
          <w:rFonts w:ascii="Arial" w:cs="Arial" w:eastAsia="Arial" w:hAnsi="Arial"/>
          <w:sz w:val="22"/>
          <w:szCs w:val="22"/>
        </w:rPr>
        <w:t xml:space="preserve">Each question-patient pair is featurized with the following signals:</w:t>
      </w:r>
    </w:p>
    <w:p>
      <w:pPr>
        <w:pStyle w:val="ListParagraph"/>
        <w:numPr>
          <w:ilvl w:val="0"/>
          <w:numId w:val="2"/>
        </w:numPr>
        <w:spacing w:after="40" w:before="40"/>
      </w:pPr>
      <w:r>
        <w:rPr>
          <w:rFonts w:ascii="Arial" w:cs="Arial" w:eastAsia="Arial" w:hAnsi="Arial"/>
          <w:sz w:val="22"/>
          <w:szCs w:val="22"/>
        </w:rPr>
        <w:t xml:space="preserve">Question type (diagnosis / test / treatment / explanation / definition) from a small classifier</w:t>
      </w:r>
    </w:p>
    <w:p>
      <w:pPr>
        <w:pStyle w:val="ListParagraph"/>
        <w:numPr>
          <w:ilvl w:val="0"/>
          <w:numId w:val="2"/>
        </w:numPr>
        <w:spacing w:after="40" w:before="40"/>
      </w:pPr>
      <w:r>
        <w:rPr>
          <w:rFonts w:ascii="Arial" w:cs="Arial" w:eastAsia="Arial" w:hAnsi="Arial"/>
          <w:sz w:val="22"/>
          <w:szCs w:val="22"/>
        </w:rPr>
        <w:t xml:space="preserve">Presence of lab or medication keywords in the question</w:t>
      </w:r>
    </w:p>
    <w:p>
      <w:pPr>
        <w:pStyle w:val="ListParagraph"/>
        <w:numPr>
          <w:ilvl w:val="0"/>
          <w:numId w:val="2"/>
        </w:numPr>
        <w:spacing w:after="40" w:before="40"/>
      </w:pPr>
      <w:r>
        <w:rPr>
          <w:rFonts w:ascii="Arial" w:cs="Arial" w:eastAsia="Arial" w:hAnsi="Arial"/>
          <w:sz w:val="22"/>
          <w:szCs w:val="22"/>
        </w:rPr>
        <w:t xml:space="preserve">EHR sparsity bucket (low / medium / high) derived from the sparsity formula</w:t>
      </w:r>
    </w:p>
    <w:p>
      <w:pPr>
        <w:pStyle w:val="ListParagraph"/>
        <w:numPr>
          <w:ilvl w:val="0"/>
          <w:numId w:val="2"/>
        </w:numPr>
        <w:spacing w:after="40" w:before="40"/>
      </w:pPr>
      <w:r>
        <w:rPr>
          <w:rFonts w:ascii="Arial" w:cs="Arial" w:eastAsia="Arial" w:hAnsi="Arial"/>
          <w:sz w:val="22"/>
          <w:szCs w:val="22"/>
        </w:rPr>
        <w:t xml:space="preserve">KG coverage score: number of relevant MKG nodes/edges found for this encounter</w:t>
      </w:r>
    </w:p>
    <w:p>
      <w:pPr>
        <w:pStyle w:val="ListParagraph"/>
        <w:numPr>
          <w:ilvl w:val="0"/>
          <w:numId w:val="2"/>
        </w:numPr>
        <w:spacing w:after="40" w:before="40"/>
      </w:pPr>
      <w:r>
        <w:rPr>
          <w:rFonts w:ascii="Arial" w:cs="Arial" w:eastAsia="Arial" w:hAnsi="Arial"/>
          <w:sz w:val="22"/>
          <w:szCs w:val="22"/>
        </w:rPr>
        <w:t xml:space="preserve">Retrieval statistics: max similarity score and entropy across top-k retrieved chunks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6.3 Training Protocol (Leakage-Safe)</w:t>
      </w:r>
    </w:p>
    <w:p>
      <w:pPr>
        <w:spacing w:after="80" w:before="60"/>
        <w:jc w:val="both"/>
      </w:pPr>
      <w:r>
        <w:rPr>
          <w:rFonts w:ascii="Arial" w:cs="Arial" w:eastAsia="Arial" w:hAnsi="Arial"/>
          <w:sz w:val="22"/>
          <w:szCs w:val="22"/>
        </w:rPr>
        <w:t xml:space="preserve">Three strictly disjoint data splits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2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43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Router Training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questions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pseudo-labels; train router classifier</w:t>
            </w:r>
          </w:p>
        </w:tc>
      </w:tr>
      <w:tr>
        <w:tc>
          <w:tcPr>
            <w:tcW w:type="dxa" w:w="28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Router Validation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questions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 router hyperparameters</w:t>
            </w:r>
          </w:p>
        </w:tc>
      </w:tr>
      <w:tr>
        <w:tc>
          <w:tcPr>
            <w:tcW w:type="dxa" w:w="28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Held-Out Evaluation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200-300 questions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Final performance comparison ONLY. Never used for router training or label generation.</w:t>
            </w:r>
          </w:p>
        </w:tc>
      </w:tr>
    </w:tbl>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7. Medical Knowledge Graph (MKG)</w:t>
      </w:r>
    </w:p>
    <w:p>
      <w:pPr>
        <w:pStyle w:val="Heading2"/>
        <w:spacing w:after="80" w:before="280"/>
      </w:pPr>
      <w:r>
        <w:rPr>
          <w:rFonts w:ascii="Arial" w:cs="Arial" w:eastAsia="Arial" w:hAnsi="Arial"/>
          <w:b/>
          <w:bCs/>
          <w:color w:val="2E75B6"/>
          <w:sz w:val="26"/>
          <w:szCs w:val="26"/>
        </w:rPr>
        <w:t xml:space="preserve">7.1 Scope and Ontology Sources</w:t>
      </w:r>
    </w:p>
    <w:p>
      <w:pPr>
        <w:pStyle w:val="ListParagraph"/>
        <w:numPr>
          <w:ilvl w:val="0"/>
          <w:numId w:val="2"/>
        </w:numPr>
        <w:spacing w:after="40" w:before="40"/>
      </w:pPr>
      <w:r>
        <w:rPr>
          <w:rFonts w:ascii="Arial" w:cs="Arial" w:eastAsia="Arial" w:hAnsi="Arial"/>
          <w:sz w:val="22"/>
          <w:szCs w:val="22"/>
        </w:rPr>
        <w:t xml:space="preserve">Ontology: Subset of UMLS or SNOMED-CT / Disease Ontology, focused on internal medicine</w:t>
      </w:r>
    </w:p>
    <w:p>
      <w:pPr>
        <w:pStyle w:val="ListParagraph"/>
        <w:numPr>
          <w:ilvl w:val="0"/>
          <w:numId w:val="2"/>
        </w:numPr>
        <w:spacing w:after="40" w:before="40"/>
      </w:pPr>
      <w:r>
        <w:rPr>
          <w:rFonts w:ascii="Arial" w:cs="Arial" w:eastAsia="Arial" w:hAnsi="Arial"/>
          <w:sz w:val="22"/>
          <w:szCs w:val="22"/>
        </w:rPr>
        <w:t xml:space="preserve">Seed diseases: 20-50 common MIMIC-IV conditions (diabetes mellitus type 2, hypertension, CKD stages 3-5, heart failure, etc.)</w:t>
      </w:r>
    </w:p>
    <w:p>
      <w:pPr>
        <w:pStyle w:val="ListParagraph"/>
        <w:numPr>
          <w:ilvl w:val="0"/>
          <w:numId w:val="2"/>
        </w:numPr>
        <w:spacing w:after="40" w:before="40"/>
      </w:pPr>
      <w:r>
        <w:rPr>
          <w:rFonts w:ascii="Arial" w:cs="Arial" w:eastAsia="Arial" w:hAnsi="Arial"/>
          <w:sz w:val="22"/>
          <w:szCs w:val="22"/>
        </w:rPr>
        <w:t xml:space="preserve">Seed entities: diseases, symptoms, lab tests, procedures, and drugs relevant to seed conditions</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7.2 Edge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Edge Type</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disease → symptom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Diabetes mellitus → polyuria</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disease → lab_test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CKD → serum creatinine</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disease → first_line_treatment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Hypertension + CKD → ACE inhibitor</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disease → contraindicated_treatment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CKD + hyperkalemia → ACE inhibitor (contraindicated)</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7.3 Construction Process</w:t>
      </w:r>
    </w:p>
    <w:p>
      <w:pPr>
        <w:pStyle w:val="Heading3"/>
        <w:spacing w:after="60" w:before="200"/>
      </w:pPr>
      <w:r>
        <w:rPr>
          <w:rFonts w:ascii="Arial" w:cs="Arial" w:eastAsia="Arial" w:hAnsi="Arial"/>
          <w:b/>
          <w:bCs/>
          <w:color w:val="1F5C99"/>
          <w:sz w:val="22"/>
          <w:szCs w:val="22"/>
        </w:rPr>
        <w:t xml:space="preserve">Ontology-Based Edges</w:t>
      </w:r>
    </w:p>
    <w:p>
      <w:pPr>
        <w:spacing w:after="80" w:before="60"/>
        <w:jc w:val="both"/>
      </w:pPr>
      <w:r>
        <w:rPr>
          <w:rFonts w:ascii="Arial" w:cs="Arial" w:eastAsia="Arial" w:hAnsi="Arial"/>
          <w:sz w:val="22"/>
          <w:szCs w:val="22"/>
        </w:rPr>
        <w:t xml:space="preserve">Extract disease-symptom, disease-test, and disease-drug relationships from the chosen ontology (UMLS/SNOMED-CT) or curated clinical guidelines.</w:t>
      </w:r>
    </w:p>
    <w:p>
      <w:pPr>
        <w:pStyle w:val="Heading3"/>
        <w:spacing w:after="60" w:before="200"/>
      </w:pPr>
      <w:r>
        <w:rPr>
          <w:rFonts w:ascii="Arial" w:cs="Arial" w:eastAsia="Arial" w:hAnsi="Arial"/>
          <w:b/>
          <w:bCs/>
          <w:color w:val="1F5C99"/>
          <w:sz w:val="22"/>
          <w:szCs w:val="22"/>
        </w:rPr>
        <w:t xml:space="preserve">EHR Co-occurrence Edges</w:t>
      </w:r>
    </w:p>
    <w:p>
      <w:pPr>
        <w:spacing w:after="80" w:before="60"/>
        <w:jc w:val="both"/>
      </w:pPr>
      <w:r>
        <w:rPr>
          <w:rFonts w:ascii="Arial" w:cs="Arial" w:eastAsia="Arial" w:hAnsi="Arial"/>
          <w:sz w:val="22"/>
          <w:szCs w:val="22"/>
        </w:rPr>
        <w:t xml:space="preserve">From MIMIC-IV, compute disease-lab/test co-occurrence frequencies. Add an edge if co-occurrence appears in &gt;5% of admissions for that disease, or exceeds a defined odds ratio threshold.</w:t>
      </w:r>
    </w:p>
    <w:p>
      <w:pPr>
        <w:pStyle w:val="Heading3"/>
        <w:spacing w:after="60" w:before="200"/>
      </w:pPr>
      <w:r>
        <w:rPr>
          <w:rFonts w:ascii="Arial" w:cs="Arial" w:eastAsia="Arial" w:hAnsi="Arial"/>
          <w:b/>
          <w:bCs/>
          <w:color w:val="1F5C99"/>
          <w:sz w:val="22"/>
          <w:szCs w:val="22"/>
        </w:rPr>
        <w:t xml:space="preserve">Manual Validation</w:t>
      </w:r>
    </w:p>
    <w:p>
      <w:pPr>
        <w:spacing w:after="80" w:before="60"/>
        <w:jc w:val="both"/>
      </w:pPr>
      <w:r>
        <w:rPr>
          <w:rFonts w:ascii="Arial" w:cs="Arial" w:eastAsia="Arial" w:hAnsi="Arial"/>
          <w:sz w:val="22"/>
          <w:szCs w:val="22"/>
        </w:rPr>
        <w:t xml:space="preserve">Randomly sample 50 edges; validate each against a trusted medical reference. Spurious or incorrect edges are removed or corrected. The validation rate is reported in the paper.</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7.4 Implementation and Expected Scale</w:t>
      </w:r>
    </w:p>
    <w:p>
      <w:pPr>
        <w:pStyle w:val="ListParagraph"/>
        <w:numPr>
          <w:ilvl w:val="0"/>
          <w:numId w:val="2"/>
        </w:numPr>
        <w:spacing w:after="40" w:before="40"/>
      </w:pPr>
      <w:r>
        <w:rPr>
          <w:rFonts w:ascii="Arial" w:cs="Arial" w:eastAsia="Arial" w:hAnsi="Arial"/>
          <w:sz w:val="22"/>
          <w:szCs w:val="22"/>
        </w:rPr>
        <w:t xml:space="preserve">Graph database: Neo4j with Cypher queries for subgraph retrieval</w:t>
      </w:r>
    </w:p>
    <w:p>
      <w:pPr>
        <w:pStyle w:val="ListParagraph"/>
        <w:numPr>
          <w:ilvl w:val="0"/>
          <w:numId w:val="2"/>
        </w:numPr>
        <w:spacing w:after="40" w:before="40"/>
      </w:pPr>
      <w:r>
        <w:rPr>
          <w:rFonts w:ascii="Arial" w:cs="Arial" w:eastAsia="Arial" w:hAnsi="Arial"/>
          <w:sz w:val="22"/>
          <w:szCs w:val="22"/>
        </w:rPr>
        <w:t xml:space="preserve">Expected nodes: 1,000 - 3,000 (diseases, symptoms, labs, drugs)</w:t>
      </w:r>
    </w:p>
    <w:p>
      <w:pPr>
        <w:pStyle w:val="ListParagraph"/>
        <w:numPr>
          <w:ilvl w:val="0"/>
          <w:numId w:val="2"/>
        </w:numPr>
        <w:spacing w:after="40" w:before="40"/>
      </w:pPr>
      <w:r>
        <w:rPr>
          <w:rFonts w:ascii="Arial" w:cs="Arial" w:eastAsia="Arial" w:hAnsi="Arial"/>
          <w:sz w:val="22"/>
          <w:szCs w:val="22"/>
        </w:rPr>
        <w:t xml:space="preserve">Expected edges: 5,000 - 10,000</w:t>
      </w:r>
    </w:p>
    <w:p>
      <w:pPr>
        <w:pStyle w:val="ListParagraph"/>
        <w:numPr>
          <w:ilvl w:val="0"/>
          <w:numId w:val="2"/>
        </w:numPr>
        <w:spacing w:after="40" w:before="40"/>
      </w:pPr>
      <w:r>
        <w:rPr>
          <w:rFonts w:ascii="Arial" w:cs="Arial" w:eastAsia="Arial" w:hAnsi="Arial"/>
          <w:sz w:val="22"/>
          <w:szCs w:val="22"/>
        </w:rPr>
        <w:t xml:space="preserve">Reporting: node/edge distribution per disease family</w:t>
      </w:r>
    </w:p>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8. EHR Sparsity Definition (H2 Operationalization)</w:t>
      </w:r>
    </w:p>
    <w:p>
      <w:pPr>
        <w:spacing w:after="80" w:before="60"/>
        <w:jc w:val="both"/>
      </w:pPr>
      <w:r>
        <w:rPr>
          <w:rFonts w:ascii="Arial" w:cs="Arial" w:eastAsia="Arial" w:hAnsi="Arial"/>
          <w:sz w:val="22"/>
          <w:szCs w:val="22"/>
        </w:rPr>
        <w:t xml:space="preserve">To study H2, EHR sparsity is defined via three quantifiable metrics per patient-encounter: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120"/>
        <w:gridCol w:w="4080"/>
      </w:tblGrid>
      <w:tr>
        <w:tc>
          <w:tcPr>
            <w:tcW w:type="dxa" w:w="2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0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High Sparsity Threshold</w:t>
            </w:r>
          </w:p>
        </w:tc>
      </w:tr>
      <w:tr>
        <w:tc>
          <w:tcPr>
            <w:tcW w:type="dxa" w:w="2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n_labs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distinct lab tests recorded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n_labs &lt; 5</w:t>
            </w:r>
          </w:p>
        </w:tc>
      </w:tr>
      <w:tr>
        <w:tc>
          <w:tcPr>
            <w:tcW w:type="dxa" w:w="2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n_diag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distinct ICD diagnosis codes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n_diag &lt; 3</w:t>
            </w:r>
          </w:p>
        </w:tc>
      </w:tr>
      <w:tr>
        <w:tc>
          <w:tcPr>
            <w:tcW w:type="dxa" w:w="2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d_note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since last clinical note before question time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d_note &gt; 7 days</w:t>
            </w:r>
          </w:p>
        </w:tc>
      </w:tr>
    </w:tbl>
    <w:p>
      <w:pPr>
        <w:spacing w:after="60" w:before="60"/>
      </w:pPr>
      <w:r>
        <w:t xml:space="preserve"/>
      </w:r>
    </w:p>
    <w:p>
      <w:pPr>
        <w:spacing w:after="80" w:before="60"/>
        <w:jc w:val="both"/>
      </w:pPr>
      <w:r>
        <w:rPr>
          <w:rFonts w:ascii="Arial" w:cs="Arial" w:eastAsia="Arial" w:hAnsi="Arial"/>
          <w:sz w:val="22"/>
          <w:szCs w:val="22"/>
        </w:rPr>
        <w:t xml:space="preserve">A composite sparsity score S = alpha_1 * 1(n_labs &lt; tau_labs) + alpha_2 * 1(n_diag &lt; tau_diag) + alpha_3 * 1(d_note &gt; tau_days) is computed per encounter. Thresholds and weights are calibrated empirically. Encounters are bucketed into High, Medium, and Low sparsity categories.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H2 Test</w:t>
            </w:r>
          </w:p>
        </w:tc>
        <w:tc>
          <w:tcPr>
            <w:tcW w:type="dxa" w:w="7920"/>
            <w:tcBorders>
              <w:top w:val="single" w:color="1F5C99" w:sz="1"/>
              <w:left w:val="single" w:color="1F5C99" w:sz="1"/>
              <w:bottom w:val="single" w:color="1F5C99" w:sz="1"/>
              <w:right w:val="single" w:color="1F5C99" w:sz="1"/>
            </w:tcBorders>
            <w:shd w:fill="E8F1F8" w:val="clear"/>
            <w:tcMar>
              <w:top w:type="dxa" w:w="80"/>
              <w:left w:type="dxa" w:w="160"/>
              <w:bottom w:type="dxa" w:w="80"/>
              <w:right w:type="dxa" w:w="120"/>
            </w:tcMar>
          </w:tcPr>
          <w:p>
            <w:pPr>
              <w:jc w:val="both"/>
            </w:pPr>
            <w:r>
              <w:rPr>
                <w:rFonts w:ascii="Arial" w:cs="Arial" w:eastAsia="Arial" w:hAnsi="Arial"/>
                <w:sz w:val="22"/>
                <w:szCs w:val="22"/>
              </w:rPr>
              <w:t xml:space="preserve">Plots will show accuracy and hallucination rate per system (T, T+E, T+E+K, Router) stratified by sparsity bucket. H2 is confirmed if T+E+K (or Router) shows its largest advantage over T/T+E in the high-sparsity bucket.</w:t>
            </w:r>
          </w:p>
        </w:tc>
      </w:tr>
    </w:tbl>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9. Hallucination Taxonomy, Annotation &amp; Evaluation</w:t>
      </w:r>
    </w:p>
    <w:p>
      <w:pPr>
        <w:pStyle w:val="Heading2"/>
        <w:spacing w:after="80" w:before="280"/>
      </w:pPr>
      <w:r>
        <w:rPr>
          <w:rFonts w:ascii="Arial" w:cs="Arial" w:eastAsia="Arial" w:hAnsi="Arial"/>
          <w:b/>
          <w:bCs/>
          <w:color w:val="2E75B6"/>
          <w:sz w:val="26"/>
          <w:szCs w:val="26"/>
        </w:rPr>
        <w:t xml:space="preserve">9.1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Faithful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fully supported by EHR, MKG, and retrieved text; no clinically relevant errors</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Partially Hallucinated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Mixture of correct and hallucinated statements; some clinically relevant errors</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Hallucinated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Contains at least one serious hallucination of clinical significance</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9.2 Hallucination Categories</w:t>
      </w:r>
    </w:p>
    <w:p>
      <w:pPr>
        <w:pStyle w:val="ListParagraph"/>
        <w:numPr>
          <w:ilvl w:val="0"/>
          <w:numId w:val="2"/>
        </w:numPr>
        <w:spacing w:after="40" w:before="40"/>
      </w:pPr>
      <w:r>
        <w:rPr>
          <w:rFonts w:ascii="Arial" w:cs="Arial" w:eastAsia="Arial" w:hAnsi="Arial"/>
          <w:sz w:val="22"/>
          <w:szCs w:val="22"/>
        </w:rPr>
        <w:t xml:space="preserve">EHR-contradicting: conflicts with structured patient data (e.g., states 'no kidney disease' when labs show elevated creatinine)</w:t>
      </w:r>
    </w:p>
    <w:p>
      <w:pPr>
        <w:pStyle w:val="ListParagraph"/>
        <w:numPr>
          <w:ilvl w:val="0"/>
          <w:numId w:val="2"/>
        </w:numPr>
        <w:spacing w:after="40" w:before="40"/>
      </w:pPr>
      <w:r>
        <w:rPr>
          <w:rFonts w:ascii="Arial" w:cs="Arial" w:eastAsia="Arial" w:hAnsi="Arial"/>
          <w:sz w:val="22"/>
          <w:szCs w:val="22"/>
        </w:rPr>
        <w:t xml:space="preserve">KG-contradicting / Guideline-violating: conflicts with MKG or clinical guideline relationships (e.g., recommends a clearly contraindicated drug)</w:t>
      </w:r>
    </w:p>
    <w:p>
      <w:pPr>
        <w:pStyle w:val="ListParagraph"/>
        <w:numPr>
          <w:ilvl w:val="0"/>
          <w:numId w:val="2"/>
        </w:numPr>
        <w:spacing w:after="40" w:before="40"/>
      </w:pPr>
      <w:r>
        <w:rPr>
          <w:rFonts w:ascii="Arial" w:cs="Arial" w:eastAsia="Arial" w:hAnsi="Arial"/>
          <w:sz w:val="22"/>
          <w:szCs w:val="22"/>
        </w:rPr>
        <w:t xml:space="preserve">Unsupported: specific medical claims not derivable from EHR, MKG, or retrieved context</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9.3 Annotation Protocol</w:t>
      </w:r>
    </w:p>
    <w:p>
      <w:pPr>
        <w:pStyle w:val="ListParagraph"/>
        <w:numPr>
          <w:ilvl w:val="0"/>
          <w:numId w:val="3"/>
        </w:numPr>
        <w:spacing w:after="40" w:before="40"/>
      </w:pPr>
      <w:r>
        <w:rPr>
          <w:rFonts w:ascii="Arial" w:cs="Arial" w:eastAsia="Arial" w:hAnsi="Arial"/>
          <w:sz w:val="22"/>
          <w:szCs w:val="22"/>
        </w:rPr>
        <w:t xml:space="preserve">Sample 300-500 questions from the held-out evaluation set, stratified by sparsity bucket and question type</w:t>
      </w:r>
    </w:p>
    <w:p>
      <w:pPr>
        <w:pStyle w:val="ListParagraph"/>
        <w:numPr>
          <w:ilvl w:val="0"/>
          <w:numId w:val="3"/>
        </w:numPr>
        <w:spacing w:after="40" w:before="40"/>
      </w:pPr>
      <w:r>
        <w:rPr>
          <w:rFonts w:ascii="Arial" w:cs="Arial" w:eastAsia="Arial" w:hAnsi="Arial"/>
          <w:sz w:val="22"/>
          <w:szCs w:val="22"/>
        </w:rPr>
        <w:t xml:space="preserve">For each system output (T, T+E, T+E+K, Router): assign Faithful/Partial/Hallucinated label; if hallucinated, assign a category</w:t>
      </w:r>
    </w:p>
    <w:p>
      <w:pPr>
        <w:pStyle w:val="ListParagraph"/>
        <w:numPr>
          <w:ilvl w:val="0"/>
          <w:numId w:val="3"/>
        </w:numPr>
        <w:spacing w:after="40" w:before="40"/>
      </w:pPr>
      <w:r>
        <w:rPr>
          <w:rFonts w:ascii="Arial" w:cs="Arial" w:eastAsia="Arial" w:hAnsi="Arial"/>
          <w:sz w:val="22"/>
          <w:szCs w:val="22"/>
        </w:rPr>
        <w:t xml:space="preserve">Use at least two independent annotators; compute Cohen's kappa for inter-annotator agreement on hallucination detection and type</w:t>
      </w:r>
    </w:p>
    <w:p>
      <w:pPr>
        <w:pStyle w:val="ListParagraph"/>
        <w:numPr>
          <w:ilvl w:val="0"/>
          <w:numId w:val="3"/>
        </w:numPr>
        <w:spacing w:after="40" w:before="40"/>
      </w:pPr>
      <w:r>
        <w:rPr>
          <w:rFonts w:ascii="Arial" w:cs="Arial" w:eastAsia="Arial" w:hAnsi="Arial"/>
          <w:sz w:val="22"/>
          <w:szCs w:val="22"/>
        </w:rPr>
        <w:t xml:space="preserve">Resolve disagreements via structured discussion or adjudication by a third annotator</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9.4 Clinical Face-Validity Check</w:t>
      </w:r>
    </w:p>
    <w:p>
      <w:pPr>
        <w:spacing w:after="80" w:before="60"/>
        <w:jc w:val="both"/>
      </w:pPr>
      <w:r>
        <w:rPr>
          <w:rFonts w:ascii="Arial" w:cs="Arial" w:eastAsia="Arial" w:hAnsi="Arial"/>
          <w:sz w:val="22"/>
          <w:szCs w:val="22"/>
        </w:rPr>
        <w:t xml:space="preserve">A medically trained reviewer (doctor, resident, or senior medical student) independently evaluates 50 randomly selected QA pairs across all four systems using a 3-point scale: Correct, Partially Correct, or Incorrect/Unsafe. These ratings are reported as clinical face-validity metrics alongside automated evaluation results.</w:t>
      </w:r>
    </w:p>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10. Experimental Setup</w:t>
      </w:r>
    </w:p>
    <w:p>
      <w:pPr>
        <w:pStyle w:val="Heading2"/>
        <w:spacing w:after="80" w:before="280"/>
      </w:pPr>
      <w:r>
        <w:rPr>
          <w:rFonts w:ascii="Arial" w:cs="Arial" w:eastAsia="Arial" w:hAnsi="Arial"/>
          <w:b/>
          <w:bCs/>
          <w:color w:val="2E75B6"/>
          <w:sz w:val="26"/>
          <w:szCs w:val="26"/>
        </w:rPr>
        <w:t xml:space="preserve">10.1 Systems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Text-only RAG (notes and guidelines only)</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 structured EHR snapshot</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T+E+K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Always-on hybrid: Text + EHR + MKG (baseline for comparison)</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Router (proposed)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Adaptive RAG — learned routing among T, T+E, T+E+K per query</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Random Routing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choice among the three modes (lower bound)</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Oracle Routing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Retrospective best mode per question (non-deployable upper bound)</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10.2 Evaluation Metrics</w:t>
      </w:r>
    </w:p>
    <w:p>
      <w:pPr>
        <w:pStyle w:val="Heading3"/>
        <w:spacing w:after="60" w:before="200"/>
      </w:pPr>
      <w:r>
        <w:rPr>
          <w:rFonts w:ascii="Arial" w:cs="Arial" w:eastAsia="Arial" w:hAnsi="Arial"/>
          <w:b/>
          <w:bCs/>
          <w:color w:val="1F5C99"/>
          <w:sz w:val="22"/>
          <w:szCs w:val="22"/>
        </w:rPr>
        <w:t xml:space="preserve">Text Quality and Accuracy</w:t>
      </w:r>
    </w:p>
    <w:p>
      <w:pPr>
        <w:pStyle w:val="ListParagraph"/>
        <w:numPr>
          <w:ilvl w:val="0"/>
          <w:numId w:val="2"/>
        </w:numPr>
        <w:spacing w:after="40" w:before="40"/>
      </w:pPr>
      <w:r>
        <w:rPr>
          <w:rFonts w:ascii="Arial" w:cs="Arial" w:eastAsia="Arial" w:hAnsi="Arial"/>
          <w:sz w:val="22"/>
          <w:szCs w:val="22"/>
        </w:rPr>
        <w:t xml:space="preserve">BLEU, ROUGE-L, METEOR against reference answers</w:t>
      </w:r>
    </w:p>
    <w:p>
      <w:pPr>
        <w:pStyle w:val="ListParagraph"/>
        <w:numPr>
          <w:ilvl w:val="0"/>
          <w:numId w:val="2"/>
        </w:numPr>
        <w:spacing w:after="40" w:before="40"/>
      </w:pPr>
      <w:r>
        <w:rPr>
          <w:rFonts w:ascii="Arial" w:cs="Arial" w:eastAsia="Arial" w:hAnsi="Arial"/>
          <w:sz w:val="22"/>
          <w:szCs w:val="22"/>
        </w:rPr>
        <w:t xml:space="preserve">BERTScore (semantic similarity to reference)</w:t>
      </w:r>
    </w:p>
    <w:p>
      <w:pPr>
        <w:pStyle w:val="Heading3"/>
        <w:spacing w:after="60" w:before="200"/>
      </w:pPr>
      <w:r>
        <w:rPr>
          <w:rFonts w:ascii="Arial" w:cs="Arial" w:eastAsia="Arial" w:hAnsi="Arial"/>
          <w:b/>
          <w:bCs/>
          <w:color w:val="1F5C99"/>
          <w:sz w:val="22"/>
          <w:szCs w:val="22"/>
        </w:rPr>
        <w:t xml:space="preserve">Hallucination</w:t>
      </w:r>
    </w:p>
    <w:p>
      <w:pPr>
        <w:pStyle w:val="ListParagraph"/>
        <w:numPr>
          <w:ilvl w:val="0"/>
          <w:numId w:val="2"/>
        </w:numPr>
        <w:spacing w:after="40" w:before="40"/>
      </w:pPr>
      <w:r>
        <w:rPr>
          <w:rFonts w:ascii="Arial" w:cs="Arial" w:eastAsia="Arial" w:hAnsi="Arial"/>
          <w:sz w:val="22"/>
          <w:szCs w:val="22"/>
        </w:rPr>
        <w:t xml:space="preserve">Overall hallucination rate per system</w:t>
      </w:r>
    </w:p>
    <w:p>
      <w:pPr>
        <w:pStyle w:val="ListParagraph"/>
        <w:numPr>
          <w:ilvl w:val="0"/>
          <w:numId w:val="2"/>
        </w:numPr>
        <w:spacing w:after="40" w:before="40"/>
      </w:pPr>
      <w:r>
        <w:rPr>
          <w:rFonts w:ascii="Arial" w:cs="Arial" w:eastAsia="Arial" w:hAnsi="Arial"/>
          <w:sz w:val="22"/>
          <w:szCs w:val="22"/>
        </w:rPr>
        <w:t xml:space="preserve">Per-category rates: EHR-contradicting, KG-contradicting, unsupported</w:t>
      </w:r>
    </w:p>
    <w:p>
      <w:pPr>
        <w:pStyle w:val="ListParagraph"/>
        <w:numPr>
          <w:ilvl w:val="0"/>
          <w:numId w:val="2"/>
        </w:numPr>
        <w:spacing w:after="40" w:before="40"/>
      </w:pPr>
      <w:r>
        <w:rPr>
          <w:rFonts w:ascii="Arial" w:cs="Arial" w:eastAsia="Arial" w:hAnsi="Arial"/>
          <w:sz w:val="22"/>
          <w:szCs w:val="22"/>
        </w:rPr>
        <w:t xml:space="preserve">Refusal/abstention rate</w:t>
      </w:r>
    </w:p>
    <w:p>
      <w:pPr>
        <w:pStyle w:val="Heading3"/>
        <w:spacing w:after="60" w:before="200"/>
      </w:pPr>
      <w:r>
        <w:rPr>
          <w:rFonts w:ascii="Arial" w:cs="Arial" w:eastAsia="Arial" w:hAnsi="Arial"/>
          <w:b/>
          <w:bCs/>
          <w:color w:val="1F5C99"/>
          <w:sz w:val="22"/>
          <w:szCs w:val="22"/>
        </w:rPr>
        <w:t xml:space="preserve">Efficiency</w:t>
      </w:r>
    </w:p>
    <w:p>
      <w:pPr>
        <w:pStyle w:val="ListParagraph"/>
        <w:numPr>
          <w:ilvl w:val="0"/>
          <w:numId w:val="2"/>
        </w:numPr>
        <w:spacing w:after="40" w:before="40"/>
      </w:pPr>
      <w:r>
        <w:rPr>
          <w:rFonts w:ascii="Arial" w:cs="Arial" w:eastAsia="Arial" w:hAnsi="Arial"/>
          <w:sz w:val="22"/>
          <w:szCs w:val="22"/>
        </w:rPr>
        <w:t xml:space="preserve">Average latency per query (milliseconds)</w:t>
      </w:r>
    </w:p>
    <w:p>
      <w:pPr>
        <w:pStyle w:val="ListParagraph"/>
        <w:numPr>
          <w:ilvl w:val="0"/>
          <w:numId w:val="2"/>
        </w:numPr>
        <w:spacing w:after="40" w:before="40"/>
      </w:pPr>
      <w:r>
        <w:rPr>
          <w:rFonts w:ascii="Arial" w:cs="Arial" w:eastAsia="Arial" w:hAnsi="Arial"/>
          <w:sz w:val="22"/>
          <w:szCs w:val="22"/>
        </w:rPr>
        <w:t xml:space="preserve">VRAM usage per query</w:t>
      </w:r>
    </w:p>
    <w:p>
      <w:pPr>
        <w:pStyle w:val="ListParagraph"/>
        <w:numPr>
          <w:ilvl w:val="0"/>
          <w:numId w:val="2"/>
        </w:numPr>
        <w:spacing w:after="40" w:before="40"/>
      </w:pPr>
      <w:r>
        <w:rPr>
          <w:rFonts w:ascii="Arial" w:cs="Arial" w:eastAsia="Arial" w:hAnsi="Arial"/>
          <w:sz w:val="22"/>
          <w:szCs w:val="22"/>
        </w:rPr>
        <w:t xml:space="preserve">Average number of retrieved tokens per mode</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10.3 Ablation Studies</w:t>
      </w:r>
    </w:p>
    <w:p>
      <w:pPr>
        <w:pStyle w:val="ListParagraph"/>
        <w:numPr>
          <w:ilvl w:val="0"/>
          <w:numId w:val="2"/>
        </w:numPr>
        <w:spacing w:after="40" w:before="40"/>
      </w:pPr>
      <w:r>
        <w:rPr>
          <w:rFonts w:ascii="Arial" w:cs="Arial" w:eastAsia="Arial" w:hAnsi="Arial"/>
          <w:sz w:val="22"/>
          <w:szCs w:val="22"/>
        </w:rPr>
        <w:t xml:space="preserve">Remove EHR from T+E+K to isolate KG contribution</w:t>
      </w:r>
    </w:p>
    <w:p>
      <w:pPr>
        <w:pStyle w:val="ListParagraph"/>
        <w:numPr>
          <w:ilvl w:val="0"/>
          <w:numId w:val="2"/>
        </w:numPr>
        <w:spacing w:after="40" w:before="40"/>
      </w:pPr>
      <w:r>
        <w:rPr>
          <w:rFonts w:ascii="Arial" w:cs="Arial" w:eastAsia="Arial" w:hAnsi="Arial"/>
          <w:sz w:val="22"/>
          <w:szCs w:val="22"/>
        </w:rPr>
        <w:t xml:space="preserve">Remove KG from T+E+K to isolate EHR contribution</w:t>
      </w:r>
    </w:p>
    <w:p>
      <w:pPr>
        <w:pStyle w:val="ListParagraph"/>
        <w:numPr>
          <w:ilvl w:val="0"/>
          <w:numId w:val="2"/>
        </w:numPr>
        <w:spacing w:after="40" w:before="40"/>
      </w:pPr>
      <w:r>
        <w:rPr>
          <w:rFonts w:ascii="Arial" w:cs="Arial" w:eastAsia="Arial" w:hAnsi="Arial"/>
          <w:sz w:val="22"/>
          <w:szCs w:val="22"/>
        </w:rPr>
        <w:t xml:space="preserve">Analyze performance vs sparsity bucket (H2)</w:t>
      </w:r>
    </w:p>
    <w:p>
      <w:pPr>
        <w:pStyle w:val="ListParagraph"/>
        <w:numPr>
          <w:ilvl w:val="0"/>
          <w:numId w:val="2"/>
        </w:numPr>
        <w:spacing w:after="40" w:before="40"/>
      </w:pPr>
      <w:r>
        <w:rPr>
          <w:rFonts w:ascii="Arial" w:cs="Arial" w:eastAsia="Arial" w:hAnsi="Arial"/>
          <w:sz w:val="22"/>
          <w:szCs w:val="22"/>
        </w:rPr>
        <w:t xml:space="preserve">Analyze router decisions by question type</w:t>
      </w:r>
    </w:p>
    <w:p>
      <w:pPr>
        <w:pStyle w:val="ListParagraph"/>
        <w:numPr>
          <w:ilvl w:val="0"/>
          <w:numId w:val="2"/>
        </w:numPr>
        <w:spacing w:after="40" w:before="40"/>
      </w:pPr>
      <w:r>
        <w:rPr>
          <w:rFonts w:ascii="Arial" w:cs="Arial" w:eastAsia="Arial" w:hAnsi="Arial"/>
          <w:sz w:val="22"/>
          <w:szCs w:val="22"/>
        </w:rPr>
        <w:t xml:space="preserve">Latency vs accuracy trade-off curve (Router vs Always-Hybrid)</w:t>
      </w:r>
    </w:p>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Language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Phi-3 Mini (3-8B) with QLoRA (PEFT library)</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Embeddings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BGE-Small, all-MiniLM-L6-v2 (HuggingFace)</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Vector Index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FAISS</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Knowledge Graph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Neo4j (Cypher queries)</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Lakehouse Storage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Parquet</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Query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DuckDB</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ML 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PyTorch, HuggingFace Transformers</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Orchestration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LangChain / LlamaIndex</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val="false"/>
                <w:bCs w:val="false"/>
                <w:color w:val="1F5C99"/>
                <w:sz w:val="20"/>
                <w:szCs w:val="20"/>
              </w:rPr>
              <w:t xml:space="preserve">Hardware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NVIDIA RTX 4050 laptop GPU (~6 GB VRAM)</w:t>
            </w:r>
          </w:p>
        </w:tc>
      </w:tr>
    </w:tbl>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12. Expected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80"/>
        <w:gridCol w:w="6120"/>
      </w:tblGrid>
      <w:tr>
        <w:tc>
          <w:tcPr>
            <w:tcW w:type="dxa" w:w="360"/>
            <w:tcBorders>
              <w:top w:val="single" w:color="1F5C99" w:sz="1"/>
              <w:left w:val="single" w:color="1F5C99" w:sz="1"/>
              <w:bottom w:val="single" w:color="1F5C99" w:sz="1"/>
              <w:right w:val="single" w:color="1F5C99" w:sz="1"/>
            </w:tcBorders>
            <w:shd w:fill="1F5C99"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28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6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
            <w:tcBorders>
              <w:top w:val="single" w:color="CCCCCC" w:sz="1"/>
              <w:left w:val="single" w:color="CCCCCC" w:sz="1"/>
              <w:bottom w:val="single" w:color="CCCCCC" w:sz="1"/>
              <w:right w:val="single" w:color="CCCCCC" w:sz="1"/>
            </w:tcBorders>
            <w:shd w:fill="E8F1F8" w:val="clear"/>
            <w:tcMar>
              <w:top w:type="dxa" w:w="80"/>
              <w:left w:type="dxa" w:w="80"/>
              <w:bottom w:type="dxa" w:w="80"/>
              <w:right w:type="dxa" w:w="80"/>
            </w:tcMar>
          </w:tcPr>
          <w:p>
            <w:r>
              <w:rPr>
                <w:rFonts w:ascii="Arial" w:cs="Arial" w:eastAsia="Arial" w:hAnsi="Arial"/>
                <w:b/>
                <w:bCs/>
                <w:color w:val="1F5C99"/>
                <w:sz w:val="20"/>
                <w:szCs w:val="20"/>
              </w:rPr>
              <w:t xml:space="preserve">1</w:t>
            </w:r>
          </w:p>
        </w:tc>
        <w:tc>
          <w:tcPr>
            <w:tcW w:type="dxa" w:w="28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Adaptive RAG Router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Learned routing mechanism among T, T+E, T+E+K modes for EHR-grounded QA with small LMs; evaluated against random and oracle baselines</w:t>
            </w:r>
          </w:p>
        </w:tc>
      </w:tr>
      <w:tr>
        <w:tc>
          <w:tcPr>
            <w:tcW w:type="dxa" w:w="360"/>
            <w:tcBorders>
              <w:top w:val="single" w:color="CCCCCC" w:sz="1"/>
              <w:left w:val="single" w:color="CCCCCC" w:sz="1"/>
              <w:bottom w:val="single" w:color="CCCCCC" w:sz="1"/>
              <w:right w:val="single" w:color="CCCCCC" w:sz="1"/>
            </w:tcBorders>
            <w:shd w:fill="E8F1F8" w:val="clear"/>
            <w:tcMar>
              <w:top w:type="dxa" w:w="80"/>
              <w:left w:type="dxa" w:w="80"/>
              <w:bottom w:type="dxa" w:w="80"/>
              <w:right w:type="dxa" w:w="80"/>
            </w:tcMar>
          </w:tcPr>
          <w:p>
            <w:r>
              <w:rPr>
                <w:rFonts w:ascii="Arial" w:cs="Arial" w:eastAsia="Arial" w:hAnsi="Arial"/>
                <w:b/>
                <w:bCs/>
                <w:color w:val="1F5C99"/>
                <w:sz w:val="20"/>
                <w:szCs w:val="20"/>
              </w:rPr>
              <w:t xml:space="preserve">2</w:t>
            </w:r>
          </w:p>
        </w:tc>
        <w:tc>
          <w:tcPr>
            <w:tcW w:type="dxa" w:w="28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Empirical Analysis of KG Benefit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Quantitative answer to 'when does KG help?' across EHR sparsity levels and question types</w:t>
            </w:r>
          </w:p>
        </w:tc>
      </w:tr>
      <w:tr>
        <w:tc>
          <w:tcPr>
            <w:tcW w:type="dxa" w:w="360"/>
            <w:tcBorders>
              <w:top w:val="single" w:color="CCCCCC" w:sz="1"/>
              <w:left w:val="single" w:color="CCCCCC" w:sz="1"/>
              <w:bottom w:val="single" w:color="CCCCCC" w:sz="1"/>
              <w:right w:val="single" w:color="CCCCCC" w:sz="1"/>
            </w:tcBorders>
            <w:shd w:fill="E8F1F8" w:val="clear"/>
            <w:tcMar>
              <w:top w:type="dxa" w:w="80"/>
              <w:left w:type="dxa" w:w="80"/>
              <w:bottom w:type="dxa" w:w="80"/>
              <w:right w:type="dxa" w:w="80"/>
            </w:tcMar>
          </w:tcPr>
          <w:p>
            <w:r>
              <w:rPr>
                <w:rFonts w:ascii="Arial" w:cs="Arial" w:eastAsia="Arial" w:hAnsi="Arial"/>
                <w:b/>
                <w:bCs/>
                <w:color w:val="1F5C99"/>
                <w:sz w:val="20"/>
                <w:szCs w:val="20"/>
              </w:rPr>
              <w:t xml:space="preserve">3</w:t>
            </w:r>
          </w:p>
        </w:tc>
        <w:tc>
          <w:tcPr>
            <w:tcW w:type="dxa" w:w="28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Lightweight Lakehouse + MKG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Clearly specified ontology sources, construction rules, and manual validation; reproducible on consumer hardware</w:t>
            </w:r>
          </w:p>
        </w:tc>
      </w:tr>
      <w:tr>
        <w:tc>
          <w:tcPr>
            <w:tcW w:type="dxa" w:w="360"/>
            <w:tcBorders>
              <w:top w:val="single" w:color="CCCCCC" w:sz="1"/>
              <w:left w:val="single" w:color="CCCCCC" w:sz="1"/>
              <w:bottom w:val="single" w:color="CCCCCC" w:sz="1"/>
              <w:right w:val="single" w:color="CCCCCC" w:sz="1"/>
            </w:tcBorders>
            <w:shd w:fill="E8F1F8" w:val="clear"/>
            <w:tcMar>
              <w:top w:type="dxa" w:w="80"/>
              <w:left w:type="dxa" w:w="80"/>
              <w:bottom w:type="dxa" w:w="80"/>
              <w:right w:type="dxa" w:w="80"/>
            </w:tcMar>
          </w:tcPr>
          <w:p>
            <w:r>
              <w:rPr>
                <w:rFonts w:ascii="Arial" w:cs="Arial" w:eastAsia="Arial" w:hAnsi="Arial"/>
                <w:b/>
                <w:bCs/>
                <w:color w:val="1F5C99"/>
                <w:sz w:val="20"/>
                <w:szCs w:val="20"/>
              </w:rPr>
              <w:t xml:space="preserve">4</w:t>
            </w:r>
          </w:p>
        </w:tc>
        <w:tc>
          <w:tcPr>
            <w:tcW w:type="dxa" w:w="28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Hallucination Taxonomy &amp; Protocol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Three-class hallucination taxonomy specific to EHR+KG QA, with annotation protocol, inter-annotator agreement, and small classifier</w:t>
            </w:r>
          </w:p>
        </w:tc>
      </w:tr>
      <w:tr>
        <w:tc>
          <w:tcPr>
            <w:tcW w:type="dxa" w:w="360"/>
            <w:tcBorders>
              <w:top w:val="single" w:color="CCCCCC" w:sz="1"/>
              <w:left w:val="single" w:color="CCCCCC" w:sz="1"/>
              <w:bottom w:val="single" w:color="CCCCCC" w:sz="1"/>
              <w:right w:val="single" w:color="CCCCCC" w:sz="1"/>
            </w:tcBorders>
            <w:shd w:fill="E8F1F8" w:val="clear"/>
            <w:tcMar>
              <w:top w:type="dxa" w:w="80"/>
              <w:left w:type="dxa" w:w="80"/>
              <w:bottom w:type="dxa" w:w="80"/>
              <w:right w:type="dxa" w:w="80"/>
            </w:tcMar>
          </w:tcPr>
          <w:p>
            <w:r>
              <w:rPr>
                <w:rFonts w:ascii="Arial" w:cs="Arial" w:eastAsia="Arial" w:hAnsi="Arial"/>
                <w:b/>
                <w:bCs/>
                <w:color w:val="1F5C99"/>
                <w:sz w:val="20"/>
                <w:szCs w:val="20"/>
              </w:rPr>
              <w:t xml:space="preserve">5</w:t>
            </w:r>
          </w:p>
        </w:tc>
        <w:tc>
          <w:tcPr>
            <w:tcW w:type="dxa" w:w="28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Open Evaluation Set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Labeled hallucination dataset and open-sourced code for future research on safe medical RAG with small language models</w:t>
            </w:r>
          </w:p>
        </w:tc>
      </w:tr>
    </w:tbl>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13. Safety, Ethics, and Limitations</w:t>
      </w:r>
    </w:p>
    <w:p>
      <w:pPr>
        <w:pStyle w:val="Heading2"/>
        <w:spacing w:after="80" w:before="280"/>
      </w:pPr>
      <w:r>
        <w:rPr>
          <w:rFonts w:ascii="Arial" w:cs="Arial" w:eastAsia="Arial" w:hAnsi="Arial"/>
          <w:b/>
          <w:bCs/>
          <w:color w:val="2E75B6"/>
          <w:sz w:val="26"/>
          <w:szCs w:val="26"/>
        </w:rPr>
        <w:t xml:space="preserve">13.1 Ethical Safeguards</w:t>
      </w:r>
    </w:p>
    <w:p>
      <w:pPr>
        <w:pStyle w:val="ListParagraph"/>
        <w:numPr>
          <w:ilvl w:val="0"/>
          <w:numId w:val="2"/>
        </w:numPr>
        <w:spacing w:after="40" w:before="40"/>
      </w:pPr>
      <w:r>
        <w:rPr>
          <w:rFonts w:ascii="Arial" w:cs="Arial" w:eastAsia="Arial" w:hAnsi="Arial"/>
          <w:sz w:val="22"/>
          <w:szCs w:val="22"/>
        </w:rPr>
        <w:t xml:space="preserve">Research prototype only: system is not intended for, and must not be used in, live clinical decision-making</w:t>
      </w:r>
    </w:p>
    <w:p>
      <w:pPr>
        <w:pStyle w:val="ListParagraph"/>
        <w:numPr>
          <w:ilvl w:val="0"/>
          <w:numId w:val="2"/>
        </w:numPr>
        <w:spacing w:after="40" w:before="40"/>
      </w:pPr>
      <w:r>
        <w:rPr>
          <w:rFonts w:ascii="Arial" w:cs="Arial" w:eastAsia="Arial" w:hAnsi="Arial"/>
          <w:sz w:val="22"/>
          <w:szCs w:val="22"/>
        </w:rPr>
        <w:t xml:space="preserve">All experiments use de-identified MIMIC-IV data under appropriate PhysioNet Data Use Agreements</w:t>
      </w:r>
    </w:p>
    <w:p>
      <w:pPr>
        <w:pStyle w:val="ListParagraph"/>
        <w:numPr>
          <w:ilvl w:val="0"/>
          <w:numId w:val="2"/>
        </w:numPr>
        <w:spacing w:after="40" w:before="40"/>
      </w:pPr>
      <w:r>
        <w:rPr>
          <w:rFonts w:ascii="Arial" w:cs="Arial" w:eastAsia="Arial" w:hAnsi="Arial"/>
          <w:sz w:val="22"/>
          <w:szCs w:val="22"/>
        </w:rPr>
        <w:t xml:space="preserve">Hallucination annotations and classifier provide structured research evaluation and are not a substitute for clinical judgment</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13.2 Known Limitations (to be documented in paper)</w:t>
      </w:r>
    </w:p>
    <w:p>
      <w:pPr>
        <w:pStyle w:val="ListParagraph"/>
        <w:numPr>
          <w:ilvl w:val="0"/>
          <w:numId w:val="2"/>
        </w:numPr>
        <w:spacing w:after="40" w:before="40"/>
      </w:pPr>
      <w:r>
        <w:rPr>
          <w:rFonts w:ascii="Arial" w:cs="Arial" w:eastAsia="Arial" w:hAnsi="Arial"/>
          <w:sz w:val="22"/>
          <w:szCs w:val="22"/>
        </w:rPr>
        <w:t xml:space="preserve">MKG scope limited to ~20-50 internal medicine conditions; results may not generalize to other specialties</w:t>
      </w:r>
    </w:p>
    <w:p>
      <w:pPr>
        <w:pStyle w:val="ListParagraph"/>
        <w:numPr>
          <w:ilvl w:val="0"/>
          <w:numId w:val="2"/>
        </w:numPr>
        <w:spacing w:after="40" w:before="40"/>
      </w:pPr>
      <w:r>
        <w:rPr>
          <w:rFonts w:ascii="Arial" w:cs="Arial" w:eastAsia="Arial" w:hAnsi="Arial"/>
          <w:sz w:val="22"/>
          <w:szCs w:val="22"/>
        </w:rPr>
        <w:t xml:space="preserve">Router trained on ~200 questions; performance on rare question types may be limited</w:t>
      </w:r>
    </w:p>
    <w:p>
      <w:pPr>
        <w:pStyle w:val="ListParagraph"/>
        <w:numPr>
          <w:ilvl w:val="0"/>
          <w:numId w:val="2"/>
        </w:numPr>
        <w:spacing w:after="40" w:before="40"/>
      </w:pPr>
      <w:r>
        <w:rPr>
          <w:rFonts w:ascii="Arial" w:cs="Arial" w:eastAsia="Arial" w:hAnsi="Arial"/>
          <w:sz w:val="22"/>
          <w:szCs w:val="22"/>
        </w:rPr>
        <w:t xml:space="preserve">Single hardware platform (RTX 4050); scaling behavior on other GPUs not characterized</w:t>
      </w:r>
    </w:p>
    <w:p>
      <w:pPr>
        <w:pStyle w:val="ListParagraph"/>
        <w:numPr>
          <w:ilvl w:val="0"/>
          <w:numId w:val="2"/>
        </w:numPr>
        <w:spacing w:after="40" w:before="40"/>
      </w:pPr>
      <w:r>
        <w:rPr>
          <w:rFonts w:ascii="Arial" w:cs="Arial" w:eastAsia="Arial" w:hAnsi="Arial"/>
          <w:sz w:val="22"/>
          <w:szCs w:val="22"/>
        </w:rPr>
        <w:t xml:space="preserve">MIMIC-IV reflects one hospital system; demographic and institutional biases may affect generalizability</w:t>
      </w:r>
    </w:p>
    <w:p>
      <w:pPr>
        <w:spacing w:after="60" w:before="60"/>
      </w:pPr>
      <w:r>
        <w:t xml:space="preserve"/>
      </w:r>
    </w:p>
    <w:p>
      <w:r>
        <w:br w:type="page"/>
      </w:r>
    </w:p>
    <w:p>
      <w:pPr>
        <w:pStyle w:val="Heading1"/>
        <w:pBdr>
          <w:bottom w:val="single" w:color="1F5C99" w:sz="6" w:space="1"/>
        </w:pBdr>
        <w:spacing w:after="120" w:before="360"/>
      </w:pPr>
      <w:r>
        <w:rPr>
          <w:rFonts w:ascii="Arial" w:cs="Arial" w:eastAsia="Arial" w:hAnsi="Arial"/>
          <w:b/>
          <w:bCs/>
          <w:color w:val="1F5C99"/>
          <w:sz w:val="32"/>
          <w:szCs w:val="32"/>
        </w:rPr>
        <w:t xml:space="preserve">14. Suggested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access, lakehouse setup, EHR snapshot pipeline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Parquet lakehouse; patient snapshot queries via DuckDB</w:t>
            </w:r>
          </w:p>
        </w:tc>
      </w:tr>
      <w:tr>
        <w:tc>
          <w:tcPr>
            <w:tcW w:type="dxa" w:w="14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MKG construction and validation; SLM fine-tuning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graph with validated edges; fine-tuned Phi-3 Mini checkpoint</w:t>
            </w:r>
          </w:p>
        </w:tc>
      </w:tr>
      <w:tr>
        <w:tc>
          <w:tcPr>
            <w:tcW w:type="dxa" w:w="14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retrieval pipeline; synthetic QA generation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T+E, T+E+K pipelines running end-to-end; QA datasets ready</w:t>
            </w:r>
          </w:p>
        </w:tc>
      </w:tr>
      <w:tr>
        <w:tc>
          <w:tcPr>
            <w:tcW w:type="dxa" w:w="14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 training; hallucination annotation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Trained router; annotated evaluation set with kappa scores</w:t>
            </w:r>
          </w:p>
        </w:tc>
      </w:tr>
      <w:tr>
        <w:tc>
          <w:tcPr>
            <w:tcW w:type="dxa" w:w="14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sz w:val="20"/>
                <w:szCs w:val="20"/>
              </w:rPr>
              <w:t xml:space="preserve">Phase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experiments, ablations, clinical face-validity check, paper writing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results; conference-ready paper draft</w:t>
            </w:r>
          </w:p>
        </w:tc>
      </w:tr>
    </w:tbl>
    <w:p>
      <w:pPr>
        <w:spacing w:after="60" w:before="60"/>
      </w:pPr>
      <w:r>
        <w:t xml:space="preserve"/>
      </w:r>
    </w:p>
    <w:p>
      <w:pPr>
        <w:pBdr>
          <w:top w:val="single" w:color="1F5C99" w:sz="4" w:space="1"/>
        </w:pBdr>
        <w:spacing w:after="0" w:before="240"/>
        <w:jc w:val="center"/>
      </w:pPr>
      <w:r>
        <w:rPr>
          <w:rFonts w:ascii="Arial" w:cs="Arial" w:eastAsia="Arial" w:hAnsi="Arial"/>
          <w:color w:val="777777"/>
          <w:sz w:val="18"/>
          <w:szCs w:val="18"/>
        </w:rPr>
        <w:t xml:space="preserve">Research Documentation  |  Adaptive RAG Routing for Clinical QA  |  M.Tech Project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5C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2026-06-10T11:58:17.278Z</dcterms:created>
  <dcterms:modified xsi:type="dcterms:W3CDTF">2026-06-10T11:58:17.278Z</dcterms:modified>
</cp:coreProperties>
</file>

<file path=docProps/custom.xml><?xml version="1.0" encoding="utf-8"?>
<Properties xmlns="http://schemas.openxmlformats.org/officeDocument/2006/custom-properties" xmlns:vt="http://schemas.openxmlformats.org/officeDocument/2006/docPropsVTypes"/>
</file>