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5.png" ContentType="image/png"/>
  <Override PartName="/word/media/rId99.png" ContentType="image/png"/>
  <Override PartName="/word/media/rId27.png" ContentType="image/png"/>
  <Override PartName="/word/media/rId10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Мазурский Александр 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pStyle w:val="Compact"/>
        <w:numPr>
          <w:ilvl w:val="0"/>
          <w:numId w:val="1001"/>
        </w:numPr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94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1).</w:t>
      </w:r>
    </w:p>
    <w:bookmarkStart w:id="26" w:name="fig:001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1: 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bookmarkEnd w:id="26"/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2).</w:t>
      </w:r>
    </w:p>
    <w:bookmarkStart w:id="30" w:name="fig:002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2: Запуск программы из листинг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bookmarkEnd w:id="30"/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3).</w:t>
      </w:r>
    </w:p>
    <w:bookmarkStart w:id="34" w:name="fig:003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3: Изменение программы первого листин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bookmarkEnd w:id="34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55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4).</w:t>
      </w:r>
    </w:p>
    <w:bookmarkStart w:id="38" w:name="fig:004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4: Запуск программы в отладчик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bookmarkEnd w:id="38"/>
    <w:p>
      <w:pPr>
        <w:pStyle w:val="BodyText"/>
      </w:pPr>
      <w:r>
        <w:t xml:space="preserve">Запустив программу командой run, я убедился в том, что она работает исправно (рис. 5).</w:t>
      </w:r>
    </w:p>
    <w:bookmarkStart w:id="42" w:name="fig:005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5: Проверка программы отладчиком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bookmarkEnd w:id="42"/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6).</w:t>
      </w:r>
    </w:p>
    <w:bookmarkStart w:id="46" w:name="fig:006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6: Запуск отладичка с брейкпоинтом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bookmarkEnd w:id="46"/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</w:t>
      </w:r>
      <w:r>
        <w:t xml:space="preserve"> </w:t>
      </w:r>
      <w:r>
        <w:rPr>
          <w:i/>
          <w:iCs/>
        </w:rPr>
        <w:t xml:space="preserve">амд топчик</w:t>
      </w:r>
      <w:r>
        <w:t xml:space="preserve"> </w:t>
      </w:r>
      <w:r>
        <w:t xml:space="preserve">(рис. 7).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bookmarkStart w:id="50" w:name="fig:007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7: Дисассимилирование программ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bookmarkEnd w:id="50"/>
    <w:p>
      <w:pPr>
        <w:pStyle w:val="BodyText"/>
      </w:pPr>
      <w:r>
        <w:t xml:space="preserve">Включаю режим псевдографики для более удобного анализа программы (рис. 8).</w:t>
      </w:r>
    </w:p>
    <w:bookmarkStart w:id="54" w:name="fig:008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8: Режим псевдографики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54"/>
    <w:bookmarkEnd w:id="55"/>
    <w:bookmarkStart w:id="63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9).</w:t>
      </w:r>
    </w:p>
    <w:bookmarkStart w:id="59" w:name="fig:009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9: Список брейкпоинтов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bookmarkEnd w:id="59"/>
    <w:p>
      <w:pPr>
        <w:pStyle w:val="BodyText"/>
      </w:pPr>
      <w:r>
        <w:t xml:space="preserve">Устаналиваю еще одну точку останова по адресу инструкции (рис. 10).</w:t>
      </w:r>
    </w:p>
    <w:bookmarkStart w:id="62" w:name="fig:010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10: Добавление второй точки останов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62"/>
    <w:bookmarkEnd w:id="63"/>
    <w:bookmarkStart w:id="84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11).</w:t>
      </w:r>
    </w:p>
    <w:bookmarkStart w:id="67" w:name="fig:011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11: Просмотр содержимого регистр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bookmarkEnd w:id="67"/>
    <w:p>
      <w:pPr>
        <w:pStyle w:val="BodyText"/>
      </w:pPr>
      <w:r>
        <w:t xml:space="preserve">Смотрю содержимое переменных по имени и по адресу (рис. 12).</w:t>
      </w:r>
    </w:p>
    <w:bookmarkStart w:id="71" w:name="fig:012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12: Просмотр содержимого переменных двумя способами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bookmarkEnd w:id="71"/>
    <w:p>
      <w:pPr>
        <w:pStyle w:val="BodyText"/>
      </w:pPr>
      <w:r>
        <w:t xml:space="preserve">Меняю содержимое переменных по имени и по адресу (рис. 13).</w:t>
      </w:r>
    </w:p>
    <w:bookmarkStart w:id="75" w:name="fig:013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13: Изменение содержимого переменных двумя способами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bookmarkEnd w:id="75"/>
    <w:p>
      <w:pPr>
        <w:pStyle w:val="BodyText"/>
      </w:pPr>
      <w:r>
        <w:t xml:space="preserve">Вывожу в различных форматах значение регистра edx (рис. 14).</w:t>
      </w:r>
    </w:p>
    <w:bookmarkStart w:id="79" w:name="fig:014"/>
    <w:p>
      <w:pPr>
        <w:pStyle w:val="CaptionedFigure"/>
      </w:pPr>
      <w:r>
        <w:drawing>
          <wp:inline>
            <wp:extent cx="3733800" cy="2862006"/>
            <wp:effectExtent b="0" l="0" r="0" t="0"/>
            <wp:docPr descr="Рис. 14: Просмотр значения регистра разными представлениями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bookmarkEnd w:id="79"/>
    <w:p>
      <w:pPr>
        <w:pStyle w:val="BodyText"/>
      </w:pPr>
      <w:r>
        <w:t xml:space="preserve">С помощью команды set меняю содержимое регистра ebx (рис. 15).</w:t>
      </w:r>
    </w:p>
    <w:bookmarkStart w:id="83" w:name="fig:015"/>
    <w:p>
      <w:pPr>
        <w:pStyle w:val="CaptionedFigure"/>
      </w:pPr>
      <w:r>
        <w:drawing>
          <wp:inline>
            <wp:extent cx="3733800" cy="2862006"/>
            <wp:effectExtent b="0" l="0" r="0" t="0"/>
            <wp:docPr descr="Рис. 15: Примеры использования команды set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83"/>
    <w:bookmarkEnd w:id="84"/>
    <w:bookmarkStart w:id="93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16).</w:t>
      </w:r>
    </w:p>
    <w:bookmarkStart w:id="88" w:name="fig:016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16: Подготовка новой программы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bookmarkEnd w:id="88"/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17).</w:t>
      </w:r>
    </w:p>
    <w:bookmarkStart w:id="92" w:name="fig:017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17: Проверка работы стек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92"/>
    <w:bookmarkEnd w:id="93"/>
    <w:bookmarkEnd w:id="94"/>
    <w:bookmarkStart w:id="10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Меняю программу самостоятельной части предыдущей лабораторной работы с использованием подпрограммы (рис. 18).</w:t>
      </w:r>
    </w:p>
    <w:bookmarkStart w:id="98" w:name="fig:018"/>
    <w:p>
      <w:pPr>
        <w:pStyle w:val="CaptionedFigure"/>
      </w:pPr>
      <w:r>
        <w:drawing>
          <wp:inline>
            <wp:extent cx="3733800" cy="2806026"/>
            <wp:effectExtent b="0" l="0" r="0" t="0"/>
            <wp:docPr descr="Рис. 18: Измененная программа предыдущей лабораторной работы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Измененная программа предыдущей лабораторной работы</w:t>
      </w:r>
    </w:p>
    <w:bookmarkEnd w:id="98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- 4"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Compact"/>
        <w:numPr>
          <w:ilvl w:val="0"/>
          <w:numId w:val="1003"/>
        </w:numPr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19).</w:t>
      </w:r>
    </w:p>
    <w:bookmarkStart w:id="102" w:name="fig:019"/>
    <w:p>
      <w:pPr>
        <w:pStyle w:val="CaptionedFigure"/>
      </w:pPr>
      <w:r>
        <w:drawing>
          <wp:inline>
            <wp:extent cx="3733800" cy="2813927"/>
            <wp:effectExtent b="0" l="0" r="0" t="0"/>
            <wp:docPr descr="Рис. 19: Поиск ошибки в программе через пошаговую отладку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ошибки в программе через пошаговую отладку</w:t>
      </w:r>
    </w:p>
    <w:bookmarkEnd w:id="102"/>
    <w:p>
      <w:pPr>
        <w:pStyle w:val="BodyText"/>
      </w:pPr>
      <w:r>
        <w:t xml:space="preserve">Исправляю найденную ошибку, теперь программа верно считает значение функции (рис. 20).</w:t>
      </w:r>
    </w:p>
    <w:bookmarkStart w:id="106" w:name="fig:020"/>
    <w:p>
      <w:pPr>
        <w:pStyle w:val="CaptionedFigure"/>
      </w:pPr>
      <w:r>
        <w:drawing>
          <wp:inline>
            <wp:extent cx="3733800" cy="2786772"/>
            <wp:effectExtent b="0" l="0" r="0" t="0"/>
            <wp:docPr descr="Рис. 20: Проверка корректировок в программме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корректировок в программме</w:t>
      </w:r>
    </w:p>
    <w:bookmarkEnd w:id="106"/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109"/>
    <w:bookmarkStart w:id="11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110">
        <w:r>
          <w:rPr>
            <w:rStyle w:val="Hyperlink"/>
          </w:rPr>
          <w:t xml:space="preserve">Курс на ТУИС</w:t>
        </w:r>
      </w:hyperlink>
    </w:p>
    <w:p>
      <w:pPr>
        <w:pStyle w:val="Compact"/>
        <w:numPr>
          <w:ilvl w:val="0"/>
          <w:numId w:val="1004"/>
        </w:numPr>
      </w:pPr>
      <w:hyperlink r:id="rId111">
        <w:r>
          <w:rPr>
            <w:rStyle w:val="Hyperlink"/>
          </w:rPr>
          <w:t xml:space="preserve">Лабораторная работа №9</w:t>
        </w:r>
      </w:hyperlink>
    </w:p>
    <w:p>
      <w:pPr>
        <w:pStyle w:val="Compact"/>
        <w:numPr>
          <w:ilvl w:val="0"/>
          <w:numId w:val="1004"/>
        </w:numPr>
      </w:pPr>
      <w:hyperlink r:id="rId112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hyperlink" Id="rId110" Target="https://esystem.rudn.ru/course/view.php?id=112" TargetMode="External" /><Relationship Type="http://schemas.openxmlformats.org/officeDocument/2006/relationships/hyperlink" Id="rId11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11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esystem.rudn.ru/course/view.php?id=112" TargetMode="External" /><Relationship Type="http://schemas.openxmlformats.org/officeDocument/2006/relationships/hyperlink" Id="rId11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11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Мазурский Александр Дмитриевич</dc:creator>
  <dc:language>ru-RU</dc:language>
  <cp:keywords/>
  <dcterms:created xsi:type="dcterms:W3CDTF">2024-11-19T22:01:42Z</dcterms:created>
  <dcterms:modified xsi:type="dcterms:W3CDTF">2024-11-19T22:01:42Z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