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Reference-Shaped Memory-Augmented Reinforcement Learning for Buck Converter Control: A Simulation Case Study Against a Tuned PI Baseline</w:t>
      </w:r>
    </w:p>
    <w:p>
      <w:pPr/>
      <w:r>
        <w:t xml:space="preserve">[Author names] · [Affiliation] · [Contact e-mail]</w:t>
      </w:r>
    </w:p>
    <w:p>
      <w:pPr/>
      <w:r>
        <w:rPr>
          <w:i/>
        </w:rPr>
        <w:t xml:space="preserve">Draft status: every item marked </w:t>
      </w:r>
      <w:r>
        <w:rPr>
          <w:b/>
          <w:i/>
        </w:rPr>
        <w:t xml:space="preserve">[TBD: …]</w:t>
      </w:r>
      <w:r>
        <w:rPr>
          <w:i/>
        </w:rPr>
        <w:t xml:space="preserve"> must be replaced by a measured value before submission. None of these values has been estimated or filled in.</w:t>
      </w:r>
    </w:p>
    <w:p>
      <w:pPr>
        <w:pStyle w:val="Heading2"/>
      </w:pPr>
      <w:r>
        <w:t xml:space="preserve">Abstract</w:t>
      </w:r>
    </w:p>
    <w:p>
      <w:pPr/>
      <w:r>
        <w:t xml:space="preserve">Reinforcement learning (RL) is increasingly proposed for power-converter control, but deployment is hindered by lightly damped LC resonance, stiff simulation models and the cost of neural-network inference on microcontrollers. This paper studies a three-layer architecture for output-voltage regulation of a DC–DC buck converter: (i) a critically damped reference shaper, (ii) a twin delayed DDPG (TD3) policy that outputs the duty cycle directly, and (iii) a habit memory that serves the duty cycle from a cache of previously verified decisions, using a trust-ellipse neighbor test and local linear regression, and bypasses the network on a hit. The architecture is evaluated on an averaged, linear buck-converter model against a tuned PI controller. The measurements favor the PI controller: for a 5 V reference it reaches 0.04 % overshoot, 0.0 % steady-state error and a 1.6 ms settling time, whereas the RL pipeline shows 9.4 % overshoot, a 5.8 % steady-state offset and does not settle within a 2 % band. The shaper, which bounds the 2 % settling time of the shaped trajectory at about 11.6 ms, is needed by the RL policy (without it the policy overshoots by </w:t>
      </w:r>
      <w:r>
        <w:rPr>
          <w:b/>
        </w:rPr>
        <w:t xml:space="preserve">[TBD: shaper-ablation overshoot, %]</w:t>
      </w:r>
      <w:r>
        <w:t xml:space="preserve">) but not by the PI controller. Under 1 % observation noise the habit memory served </w:t>
      </w:r>
      <w:r>
        <w:rPr>
          <w:b/>
        </w:rPr>
        <w:t xml:space="preserve">[TBD: hit rate, %]</w:t>
      </w:r>
      <w:r>
        <w:t xml:space="preserve"> of control steps, which is the fraction of steps on which the network is not evaluated. Analytical microcontroller estimates show where this does and does not meet a 10 kHz deadline. We conclude that on this plant the value of the architecture lies in a lower-cost route to deploying a learned controller and in a platform for more demanding plants, not in tracking performance.</w:t>
      </w:r>
    </w:p>
    <w:p>
      <w:pPr/>
      <w:r>
        <w:rPr>
          <w:b/>
        </w:rPr>
        <w:t xml:space="preserve">Index Terms</w:t>
      </w:r>
      <w:r>
        <w:t xml:space="preserve">—buck converter, reinforcement learning, TD3, reference shaping, memory-augmented control, PI control, FMI co-simulation.</w:t>
      </w:r>
    </w:p>
    <w:p>
      <w:pPr>
        <w:pStyle w:val="Heading2"/>
      </w:pPr>
      <w:r>
        <w:t xml:space="preserve">I. Introduction</w:t>
      </w:r>
    </w:p>
    <w:p>
      <w:pPr/>
      <w:r>
        <w:t xml:space="preserve">DC–DC buck converters regulate the supply rails of most electronic systems, and their output voltage is usually controlled by a PI or PID compensator tuned at a nominal operating point [1], [2]. Fixed-gain compensation degrades when the operating point moves, for example under line and load variation or a change between continuous and discontinuous conduction. This motivates adaptive, fuzzy and learning-based controllers [3]–[6]. RL has been applied to converter control in simulation [4] and promises controllers synthesized from interaction with a plant model rather than from an analytical design.</w:t>
      </w:r>
    </w:p>
    <w:p>
      <w:pPr/>
      <w:r>
        <w:t xml:space="preserve">Three obstacles recur. First, the LC output filter is a resonant system whose damping depends strongly on parasitics, and a policy trained on raw step references must learn not to excite that resonance (Section V-B quantifies this for our policy). Second, converter models with switching dynamics are numerically stiff, which makes RL training slow. Third, evaluating a neural network on a microcontroller can take longer than the 10–100 µs control period of a converter.</w:t>
      </w:r>
    </w:p>
    <w:p>
      <w:pPr/>
      <w:r>
        <w:t xml:space="preserve">We study an architecture that addresses these obstacles in turn: a reference shaper that removes reference energy near the resonance, an RL policy that tracks the shaped reference, and a habit memory that caches verified policy decisions so that the network is evaluated only when the cache cannot be trusted. We compare it with a PI controller tuned for the same plant and report every metric, including those that do not favor RL. The contributions are:</w:t>
      </w:r>
    </w:p>
    <w:p>
      <w:pPr>
        <w:pStyle w:val="ListParagraph"/>
        <w:numPr>
          <w:ilvl w:val="0"/>
          <w:numId w:val="2"/>
        </w:numPr>
      </w:pPr>
      <w:r>
        <w:t xml:space="preserve">A three-layer architecture (reference shaper, TD3 duty-cycle policy, habit memory) for buck-converter voltage regulation, implemented through FMI co-simulation of a Modelica plant.</w:t>
      </w:r>
    </w:p>
    <w:p>
      <w:pPr>
        <w:pStyle w:val="ListParagraph"/>
        <w:numPr>
          <w:ilvl w:val="0"/>
          <w:numId w:val="2"/>
        </w:numPr>
      </w:pPr>
      <w:r>
        <w:t xml:space="preserve">A controlled comparison with a tuned PI controller showing that, on a linear averaged plant, the PI controller is faster and exact in steady state, with an analysis of why the memoryless policy shows an offset.</w:t>
      </w:r>
    </w:p>
    <w:p>
      <w:pPr>
        <w:pStyle w:val="ListParagraph"/>
        <w:numPr>
          <w:ilvl w:val="0"/>
          <w:numId w:val="2"/>
        </w:numPr>
      </w:pPr>
      <w:r>
        <w:t xml:space="preserve">A characterization of the habit memory as a local surrogate of the trained policy, with its hit rate under observation noise and the relation between hit rate and inference cost.</w:t>
      </w:r>
    </w:p>
    <w:p>
      <w:pPr>
        <w:pStyle w:val="ListParagraph"/>
        <w:numPr>
          <w:ilvl w:val="0"/>
          <w:numId w:val="2"/>
        </w:numPr>
      </w:pPr>
      <w:r>
        <w:t xml:space="preserve">Analytical deployment estimates (parameter count, multiply-accumulate count, mean and worst-case timing) that identify the conditions under which a 10 kHz deadline can be met.</w:t>
      </w:r>
    </w:p>
    <w:p>
      <w:pPr/>
      <w:r>
        <w:t xml:space="preserve">This paper does not claim that RL outperforms PI control on a linear averaged buck converter. Our measurements show the opposite. Section II describes the plant, Section III the architecture, Section IV the protocol and Section V the results; Sections VI and VII discuss limitations and conclude.</w:t>
      </w:r>
    </w:p>
    <w:p>
      <w:pPr>
        <w:pStyle w:val="Heading2"/>
      </w:pPr>
      <w:r>
        <w:t xml:space="preserve">II. System Modeling</w:t>
      </w:r>
    </w:p>
    <w:p>
      <w:pPr>
        <w:pStyle w:val="Heading3"/>
      </w:pPr>
      <w:r>
        <w:t xml:space="preserve">A. Averaged Power Stage</w:t>
      </w:r>
    </w:p>
    <w:p>
      <w:pPr/>
      <w:r>
        <w:t xml:space="preserve">The plant is a continuous-conduction-mode averaged model written in Modelica and exported as an FMI 2.0 co-simulation FMU [10], [11]. The switching bridge is replaced by an ideal controlled voltage source d·Vin feeding an inductor L with series resistance R_esr and an output capacitor C in parallel with the load R. With inductor current iL and output voltage Vout = vC:</w:t>
      </w:r>
    </w:p>
    <w:p>
      <w:pPr/>
      <w:r>
        <w:t xml:space="preserve">L · diL/dt = d · Vin − R_esr · iL − vC     (1)</w:t>
      </w:r>
    </w:p>
    <w:p>
      <w:pPr/>
      <w:r>
        <w:t xml:space="preserve">C · dvC/dt = iL − vC / R     (2)</w:t>
      </w:r>
    </w:p>
    <w:p>
      <w:pPr/>
      <w:r>
        <w:t xml:space="preserve">The duty cycle d is limited to [0, 0.95]. Switching ripple, discontinuous conduction, diode drops, capacitor ESR and current limits are not modeled. The control update period is Ts = 100 µs (10 kHz); the FMU is advanced by ten 10 µs sub-steps per control step with the duty cycle held constant. Table I lists the parameters.</w:t>
      </w:r>
    </w:p>
    <w:p>
      <w:pPr/>
      <w:r>
        <w:rPr>
          <w:b/>
        </w:rPr>
        <w:t xml:space="preserve">Table I. Plant and simulation parameters</w:t>
      </w:r>
    </w:p>
    <w:tbl>
      <w:tblPr>
        <w:tblStyle w:val="TableGrid"/>
        <w:tblW w:w="0" w:type="auto"/>
        <w:tblLayout w:type="fixed"/>
        <w:tblLook w:val="04A0" w:firstRow="1" w:lastRow="0" w:firstColumn="0" w:lastColumn="0" w:noHBand="0" w:noVBand="1"/>
      </w:tblPr>
      <w:tblGrid>
        <w:gridCol w:w="3955"/>
        <w:gridCol w:w="5404"/>
      </w:tblGrid>
      <w:tr>
        <w:trPr>
          <w:tblHeader/>
        </w:trPr>
        <w:tc>
          <w:tcPr>
            <w:tcW w:w="3955" w:type="dxa"/>
            <w:shd w:val="clear" w:color="auto" w:fill="F2F2F2"/>
          </w:tcPr>
          <w:p>
            <w:pPr/>
            <w:r>
              <w:t xml:space="preserve">Parameter</w:t>
            </w:r>
          </w:p>
        </w:tc>
        <w:tc>
          <w:tcPr>
            <w:tcW w:w="5404" w:type="dxa"/>
            <w:shd w:val="clear" w:color="auto" w:fill="F2F2F2"/>
          </w:tcPr>
          <w:p>
            <w:pPr/>
            <w:r>
              <w:t xml:space="preserve">Value</w:t>
            </w:r>
          </w:p>
        </w:tc>
      </w:tr>
      <w:tr>
        <w:tc>
          <w:tcPr>
            <w:tcW w:w="3955" w:type="dxa"/>
          </w:tcPr>
          <w:p>
            <w:pPr/>
            <w:r>
              <w:t xml:space="preserve">Input voltage Vin</w:t>
            </w:r>
          </w:p>
        </w:tc>
        <w:tc>
          <w:tcPr>
            <w:tcW w:w="5404" w:type="dxa"/>
          </w:tcPr>
          <w:p>
            <w:pPr/>
            <w:r>
              <w:t xml:space="preserve">12 V</w:t>
            </w:r>
          </w:p>
        </w:tc>
      </w:tr>
      <w:tr>
        <w:tc>
          <w:tcPr>
            <w:tcW w:w="3955" w:type="dxa"/>
          </w:tcPr>
          <w:p>
            <w:pPr/>
            <w:r>
              <w:t xml:space="preserve">Inductance L</w:t>
            </w:r>
          </w:p>
        </w:tc>
        <w:tc>
          <w:tcPr>
            <w:tcW w:w="5404" w:type="dxa"/>
          </w:tcPr>
          <w:p>
            <w:pPr/>
            <w:r>
              <w:t xml:space="preserve">100 µH</w:t>
            </w:r>
          </w:p>
        </w:tc>
      </w:tr>
      <w:tr>
        <w:tc>
          <w:tcPr>
            <w:tcW w:w="3955" w:type="dxa"/>
          </w:tcPr>
          <w:p>
            <w:pPr/>
            <w:r>
              <w:t xml:space="preserve">Capacitance C</w:t>
            </w:r>
          </w:p>
        </w:tc>
        <w:tc>
          <w:tcPr>
            <w:tcW w:w="5404" w:type="dxa"/>
          </w:tcPr>
          <w:p>
            <w:pPr/>
            <w:r>
              <w:t xml:space="preserve">100 µF</w:t>
            </w:r>
          </w:p>
        </w:tc>
      </w:tr>
      <w:tr>
        <w:tc>
          <w:tcPr>
            <w:tcW w:w="3955" w:type="dxa"/>
          </w:tcPr>
          <w:p>
            <w:pPr/>
            <w:r>
              <w:t xml:space="preserve">Load resistance R</w:t>
            </w:r>
          </w:p>
        </w:tc>
        <w:tc>
          <w:tcPr>
            <w:tcW w:w="5404" w:type="dxa"/>
          </w:tcPr>
          <w:p>
            <w:pPr/>
            <w:r>
              <w:t xml:space="preserve">10 Ω</w:t>
            </w:r>
          </w:p>
        </w:tc>
      </w:tr>
      <w:tr>
        <w:tc>
          <w:tcPr>
            <w:tcW w:w="3955" w:type="dxa"/>
          </w:tcPr>
          <w:p>
            <w:pPr/>
            <w:r>
              <w:t xml:space="preserve">Inductor series resistance R_esr</w:t>
            </w:r>
          </w:p>
        </w:tc>
        <w:tc>
          <w:tcPr>
            <w:tcW w:w="5404" w:type="dxa"/>
          </w:tcPr>
          <w:p>
            <w:pPr/>
            <w:r>
              <w:t xml:space="preserve">1 Ω</w:t>
            </w:r>
          </w:p>
        </w:tc>
      </w:tr>
      <w:tr>
        <w:tc>
          <w:tcPr>
            <w:tcW w:w="3955" w:type="dxa"/>
          </w:tcPr>
          <w:p>
            <w:pPr/>
            <w:r>
              <w:t xml:space="preserve">Duty-cycle limits</w:t>
            </w:r>
          </w:p>
        </w:tc>
        <w:tc>
          <w:tcPr>
            <w:tcW w:w="5404" w:type="dxa"/>
          </w:tcPr>
          <w:p>
            <w:pPr/>
            <w:r>
              <w:t xml:space="preserve">0 – 0.95</w:t>
            </w:r>
          </w:p>
        </w:tc>
      </w:tr>
      <w:tr>
        <w:tc>
          <w:tcPr>
            <w:tcW w:w="3955" w:type="dxa"/>
          </w:tcPr>
          <w:p>
            <w:pPr/>
            <w:r>
              <w:t xml:space="preserve">Nominal reference Vref</w:t>
            </w:r>
          </w:p>
        </w:tc>
        <w:tc>
          <w:tcPr>
            <w:tcW w:w="5404" w:type="dxa"/>
          </w:tcPr>
          <w:p>
            <w:pPr/>
            <w:r>
              <w:t xml:space="preserve">5 V</w:t>
            </w:r>
          </w:p>
        </w:tc>
      </w:tr>
      <w:tr>
        <w:tc>
          <w:tcPr>
            <w:tcW w:w="3955" w:type="dxa"/>
          </w:tcPr>
          <w:p>
            <w:pPr/>
            <w:r>
              <w:t xml:space="preserve">Control period Ts</w:t>
            </w:r>
          </w:p>
        </w:tc>
        <w:tc>
          <w:tcPr>
            <w:tcW w:w="5404" w:type="dxa"/>
          </w:tcPr>
          <w:p>
            <w:pPr/>
            <w:r>
              <w:t xml:space="preserve">100 µs</w:t>
            </w:r>
          </w:p>
        </w:tc>
      </w:tr>
      <w:tr>
        <w:tc>
          <w:tcPr>
            <w:tcW w:w="3955" w:type="dxa"/>
          </w:tcPr>
          <w:p>
            <w:pPr/>
            <w:r>
              <w:t xml:space="preserve">Episode length</w:t>
            </w:r>
          </w:p>
        </w:tc>
        <w:tc>
          <w:tcPr>
            <w:tcW w:w="5404" w:type="dxa"/>
          </w:tcPr>
          <w:p>
            <w:pPr/>
            <w:r>
              <w:t xml:space="preserve">30 ms, 300 control steps </w:t>
            </w:r>
            <w:r>
              <w:rPr>
                <w:b/>
              </w:rPr>
              <w:t xml:space="preserve">[TBD: confirm for final evaluation]</w:t>
            </w:r>
          </w:p>
        </w:tc>
      </w:tr>
    </w:tbl>
    <w:p>
      <w:pPr>
        <w:pStyle w:val="Heading3"/>
      </w:pPr>
      <w:r>
        <w:t xml:space="preserve">B. Damping and the Role of Inductor Resistance</w:t>
      </w:r>
    </w:p>
    <w:p>
      <w:pPr/>
      <w:r>
        <w:t xml:space="preserve">From (1) and (2) the duty-to-output transfer function is</w:t>
      </w:r>
    </w:p>
    <w:p>
      <w:pPr/>
      <w:r>
        <w:t xml:space="preserve">Vout(s) / d(s) = Vin · R / [ L·R·C · s² + (L + R_esr·R·C) · s + (R + R_esr) ]     (3)</w:t>
      </w:r>
    </w:p>
    <w:p>
      <w:pPr/>
      <w:r>
        <w:t xml:space="preserve">Its DC gain is Vin·R/(R + R_esr) = 10.9 V per unit duty, so a 5 V output needs a steady-state duty of about 0.458. The natural frequency is ωn = √((R + R_esr)/(L·R·C)) = 1.05 × 10⁴ rad/s (1.67 kHz) and the damping ratio is ζ = 0.52. The ideal LC resonance without parasitics is 1.59 kHz. Without R_esr the damping ratio drops to ζ = 1/(2RC·ωn) ≈ 0.05. The standard second-order formula exp(−πζ/√(1−ζ²)) gives an open-loop duty-step overshoot of about 14.5 % for ζ = 0.52 and about 85 % for ζ = 0.05.</w:t>
      </w:r>
    </w:p>
    <w:p>
      <w:pPr/>
      <w:r>
        <w:t xml:space="preserve">A 1 Ω inductor resistance is large for a power inductor: at 5 V it dissipates about 0.25 W against 2.5 W delivered and lowers the DC gain by 9 %. It is used here as a modeling device to obtain a well-damped plant. Results for lightly damped plants (ζ ≈ 0.05) are not claimed.</w:t>
      </w:r>
    </w:p>
    <w:p>
      <w:pPr>
        <w:pStyle w:val="Heading2"/>
      </w:pPr>
      <w:r>
        <w:t xml:space="preserve">III. Proposed Methodology</w:t>
      </w:r>
    </w:p>
    <w:p>
      <w:pPr/>
      <w:r>
        <w:rPr>
          <w:b/>
        </w:rPr>
        <w:t xml:space="preserve">[Insert Fig. 1: architecture_diagram.png — Block diagram of the proposed three-layer architecture.]</w:t>
      </w:r>
    </w:p>
    <w:p>
      <w:pPr>
        <w:pStyle w:val="Heading3"/>
      </w:pPr>
      <w:r>
        <w:t xml:space="preserve">A. Layer 1: Reference Shaper</w:t>
      </w:r>
    </w:p>
    <w:p>
      <w:pPr/>
      <w:r>
        <w:t xml:space="preserve">The raw reference is passed through a second-order critically damped filter</w:t>
      </w:r>
    </w:p>
    <w:p>
      <w:pPr/>
      <w:r>
        <w:t xml:space="preserve">Vref_shaped(s) / Vref(s) = ωs² / (s + ωs)²,   ωs = 2π · 80 rad/s     (4)</w:t>
      </w:r>
    </w:p>
    <w:p>
      <w:pPr/>
      <w:r>
        <w:t xml:space="preserve">where ωs is the natural frequency of the filter (its −3 dB frequency is about 51 Hz). The 2 % settling time of its step response is 5.83/ωs ≈ 11.6 ms, and its bandwidth is about 21 times below the plant resonance. It is implemented in discrete time with explicit Euler integration at Ts, and its output is clamped at Vref so that discretization cannot produce overshoot. The shaper follows the idea of command pre-shaping [8], [9], as a smooth low-pass filter rather than an impulse sequence matched to the resonance. Its cost is a lower bound of about 11.6 ms on the settling time of any controller that tracks the shaped trajectory.</w:t>
      </w:r>
    </w:p>
    <w:p>
      <w:pPr>
        <w:pStyle w:val="Heading3"/>
      </w:pPr>
      <w:r>
        <w:t xml:space="preserve">B. Layer 2: TD3 Policy</w:t>
      </w:r>
    </w:p>
    <w:p>
      <w:pPr/>
      <w:r>
        <w:t xml:space="preserve">The controller is a deterministic actor trained with TD3 [6], an extension of DDPG [5], [15] with twin critics, delayed actor updates and target-policy smoothing. The environment follows the Gymnasium interface [12] and advances the FMU through FMPy.</w:t>
      </w:r>
    </w:p>
    <w:p>
      <w:pPr/>
      <w:r>
        <w:rPr>
          <w:b/>
        </w:rPr>
        <w:t xml:space="preserve">Observation (4-dimensional):</w:t>
      </w:r>
      <w:r>
        <w:t xml:space="preserve"> [Vref_shaped, e, Δe, Vout] / Vin, with e = Vref_shaped − Vout and Δe the change of e over one control step, clipped to [−2, 2]. </w:t>
      </w:r>
      <w:r>
        <w:rPr>
          <w:b/>
        </w:rPr>
        <w:t xml:space="preserve">Action (1-dimensional):</w:t>
      </w:r>
      <w:r>
        <w:t xml:space="preserve"> the duty cycle d ∈ [0, 0.95]. </w:t>
      </w:r>
      <w:r>
        <w:rPr>
          <w:b/>
        </w:rPr>
        <w:t xml:space="preserve">Network:</w:t>
      </w:r>
      <w:r>
        <w:t xml:space="preserve"> a 4→128→128→1 multilayer perceptron with 17,281 parameters and 17,024 multiply-accumulate operations per evaluation.</w:t>
      </w:r>
    </w:p>
    <w:p>
      <w:pPr/>
      <w:r>
        <w:rPr>
          <w:b/>
        </w:rPr>
        <w:t xml:space="preserve">Reward.</w:t>
      </w:r>
      <w:r>
        <w:t xml:space="preserve"> With e_rel = e / max(|Vref|, 1), the per-step reward combines a tracking cost, an overshoot cost, an oscillation cost and a settling bonus:</w:t>
      </w:r>
    </w:p>
    <w:p>
      <w:pPr/>
      <w:r>
        <w:t xml:space="preserve">r = −3·min(|e_rel|, 1)² − 2·min(o_rel, 1)² − 5·min(Δe_rel², 1) + 1[|e_rel| &lt; 0.05]     (5)</w:t>
      </w:r>
    </w:p>
    <w:p>
      <w:pPr/>
      <w:r>
        <w:t xml:space="preserve">where o_rel = max(0, Vout − Vref_shaped)/max(|Vref|, 1) and Δe_rel = Δe / max(|Vref|, 1). Over a 300-step episode the reward is bounded above by 300. Because the settling bonus covers a 5 % band, a policy with an offset just below 5 % earns almost the same reward as a perfect one, so the reward cannot rank controllers inside that band and is not used as a performance metric in this paper.</w:t>
      </w:r>
    </w:p>
    <w:p>
      <w:pPr/>
      <w:r>
        <w:rPr>
          <w:b/>
        </w:rPr>
        <w:t xml:space="preserve">Training.</w:t>
      </w:r>
      <w:r>
        <w:t xml:space="preserve"> Each episode draws Vref uniformly from [4.8, 5.2] V. Training steps, hyper-parameters and number of seeds: </w:t>
      </w:r>
      <w:r>
        <w:rPr>
          <w:b/>
        </w:rPr>
        <w:t xml:space="preserve">[TBD: from the training script]</w:t>
      </w:r>
      <w:r>
        <w:t xml:space="preserve">.</w:t>
      </w:r>
    </w:p>
    <w:p>
      <w:pPr/>
      <w:r>
        <w:t xml:space="preserve">Two structural properties matter for the results. The policy is memoryless: its output is a static function of the four observations, with no integral state. And it is trained on a narrow reference range, so any behavior outside [4.8, 5.2] V is extrapolation.</w:t>
      </w:r>
    </w:p>
    <w:p>
      <w:pPr>
        <w:pStyle w:val="Heading3"/>
      </w:pPr>
      <w:r>
        <w:t xml:space="preserve">C. Layer 3: Habit Memory</w:t>
      </w:r>
    </w:p>
    <w:p>
      <w:pPr/>
      <w:r>
        <w:t xml:space="preserve">The habit memory is a non-parametric, locally linear surrogate of the trained policy. It stores records (Vin, Vref_shaped, e, Δe) → d taken from policy decisions that passed a verification criterion (</w:t>
      </w:r>
      <w:r>
        <w:rPr>
          <w:b/>
        </w:rPr>
        <w:t xml:space="preserve">[TBD: verification criterion and data-collection protocol: Vref and Vin values, number of rollouts, seeds]</w:t>
      </w:r>
      <w:r>
        <w:t xml:space="preserve">). The full bank holds 15,546 records; a reduced bank of 500 records is used for the microcontroller estimates in Section VI. For a query x = (Vin, Vref_shaped, e, Δe) the memory proceeds as follows.</w:t>
      </w:r>
    </w:p>
    <w:p>
      <w:pPr>
        <w:pStyle w:val="ListParagraph"/>
        <w:numPr>
          <w:ilvl w:val="0"/>
          <w:numId w:val="3"/>
        </w:numPr>
      </w:pPr>
      <w:r>
        <w:rPr>
          <w:b/>
        </w:rPr>
        <w:t xml:space="preserve">Neighbor selection.</w:t>
      </w:r>
      <w:r>
        <w:t xml:space="preserve"> Record i is a neighbor of x if x lies inside its trust ellipse, Σk w(i,k) · (x_k − x(i,k))² ≤ 1, with coordinates normalized as in the observation. In the intended design the weights are inverse squared safe radii, w(i,k) = 1/δ(i,k)², where δ(i,k) is the largest perturbation of coordinate k around record i that still satisfies the verification criterion </w:t>
      </w:r>
      <w:r>
        <w:rPr>
          <w:b/>
        </w:rPr>
        <w:t xml:space="preserve">[TBD: confirm that the implementation uses per-record weights]</w:t>
      </w:r>
      <w:r>
        <w:t xml:space="preserve">.</w:t>
      </w:r>
    </w:p>
    <w:p>
      <w:pPr>
        <w:pStyle w:val="ListParagraph"/>
        <w:numPr>
          <w:ilvl w:val="0"/>
          <w:numId w:val="3"/>
        </w:numPr>
      </w:pPr>
      <w:r>
        <w:rPr>
          <w:b/>
        </w:rPr>
        <w:t xml:space="preserve">Local regression.</w:t>
      </w:r>
      <w:r>
        <w:t xml:space="preserve"> If at least n_min neighbors exist (n_min = </w:t>
      </w:r>
      <w:r>
        <w:rPr>
          <w:b/>
        </w:rPr>
        <w:t xml:space="preserve">[TBD]</w:t>
      </w:r>
      <w:r>
        <w:t xml:space="preserve">), a linear model d = a0 + Σk a_k·x_k is fitted to them by least squares and evaluated at x.</w:t>
      </w:r>
    </w:p>
    <w:p>
      <w:pPr>
        <w:pStyle w:val="ListParagraph"/>
        <w:numPr>
          <w:ilvl w:val="0"/>
          <w:numId w:val="3"/>
        </w:numPr>
      </w:pPr>
      <w:r>
        <w:rPr>
          <w:b/>
        </w:rPr>
        <w:t xml:space="preserve">Safety gates.</w:t>
      </w:r>
      <w:r>
        <w:t xml:space="preserve"> The prediction is served only if all five gates pass: </w:t>
      </w:r>
      <w:r>
        <w:rPr>
          <w:b/>
        </w:rPr>
        <w:t xml:space="preserve">[TBD: list the five gates and their thresholds as implemented]</w:t>
      </w:r>
      <w:r>
        <w:t xml:space="preserve">. Three follow directly from the design above: trust-ellipse membership, minimum neighbor count, and a regression residual below a threshold ε = </w:t>
      </w:r>
      <w:r>
        <w:rPr>
          <w:b/>
        </w:rPr>
        <w:t xml:space="preserve">[TBD]</w:t>
      </w:r>
      <w:r>
        <w:t xml:space="preserve">. The prediction is clipped to [0, 0.95].</w:t>
      </w:r>
    </w:p>
    <w:p>
      <w:pPr>
        <w:pStyle w:val="ListParagraph"/>
        <w:numPr>
          <w:ilvl w:val="0"/>
          <w:numId w:val="3"/>
        </w:numPr>
      </w:pPr>
      <w:r>
        <w:rPr>
          <w:b/>
        </w:rPr>
        <w:t xml:space="preserve">Fallback.</w:t>
      </w:r>
      <w:r>
        <w:t xml:space="preserve"> If any gate fails, the TD3 actor is evaluated and its output is applied.</w:t>
      </w:r>
    </w:p>
    <w:p>
      <w:pPr/>
      <w:r>
        <w:t xml:space="preserve">A hit therefore costs one lookup and no network evaluation; a miss costs the lookup plus one network evaluation. Because the records are generated by the policy itself, the memory can reproduce the policy, including its errors, but cannot improve on it. Memory quality is a fidelity measure relative to the policy, not a control-performance measure.</w:t>
      </w:r>
    </w:p>
    <w:p>
      <w:pPr>
        <w:pStyle w:val="Heading2"/>
      </w:pPr>
      <w:r>
        <w:t xml:space="preserve">IV. Experimental Protocol</w:t>
      </w:r>
    </w:p>
    <w:p>
      <w:pPr/>
      <w:r>
        <w:rPr>
          <w:b/>
        </w:rPr>
        <w:t xml:space="preserve">Platform.</w:t>
      </w:r>
      <w:r>
        <w:t xml:space="preserve"> The plant FMU is built with OpenModelica and driven from Python with FMPy. The evaluation scripts write all reported metrics to one file (final_metrics.json), so no number in this paper is entered by hand.</w:t>
      </w:r>
    </w:p>
    <w:p>
      <w:pPr/>
      <w:r>
        <w:rPr>
          <w:b/>
        </w:rPr>
        <w:t xml:space="preserve">Controllers.</w:t>
      </w:r>
      <w:r>
        <w:t xml:space="preserve"> (a) </w:t>
      </w:r>
      <w:r>
        <w:rPr>
          <w:i/>
        </w:rPr>
        <w:t xml:space="preserve">Tuned PI</w:t>
      </w:r>
      <w:r>
        <w:t xml:space="preserve">: d = Kp·e + Ki·∫e dt with Kp = 0.05 and Ki = 300 (duty per volt and per volt-second), driven by the raw step reference </w:t>
      </w:r>
      <w:r>
        <w:rPr>
          <w:b/>
        </w:rPr>
        <w:t xml:space="preserve">[TBD: anti-windup scheme and discretization]</w:t>
      </w:r>
      <w:r>
        <w:t xml:space="preserve">. (b) </w:t>
      </w:r>
      <w:r>
        <w:rPr>
          <w:i/>
        </w:rPr>
        <w:t xml:space="preserve">RL + shaper + memory</w:t>
      </w:r>
      <w:r>
        <w:t xml:space="preserve">: the architecture of Section III at the nominal reference </w:t>
      </w:r>
      <w:r>
        <w:rPr>
          <w:b/>
        </w:rPr>
        <w:t xml:space="preserve">[TBD: confirm that the memory is in the control loop for this row]</w:t>
      </w:r>
      <w:r>
        <w:t xml:space="preserve">. (c) </w:t>
      </w:r>
      <w:r>
        <w:rPr>
          <w:i/>
        </w:rPr>
        <w:t xml:space="preserve">PI + shaper</w:t>
      </w:r>
      <w:r>
        <w:t xml:space="preserve">: the same PI behind the shaper of Section III-A, which isolates the effect of the reference trajectory </w:t>
      </w:r>
      <w:r>
        <w:rPr>
          <w:b/>
        </w:rPr>
        <w:t xml:space="preserve">[TBD: not yet measured]</w:t>
      </w:r>
      <w:r>
        <w:t xml:space="preserve">.</w:t>
      </w:r>
    </w:p>
    <w:p>
      <w:pPr/>
      <w:r>
        <w:rPr>
          <w:b/>
        </w:rPr>
        <w:t xml:space="preserve">Metrics.</w:t>
      </w:r>
      <w:r>
        <w:t xml:space="preserve"> Overshoot is (max Vout − Vref)/Vref in percent. Steady-state error is the signed deviation of the final output from Vref in percent, averaged over the last </w:t>
      </w:r>
      <w:r>
        <w:rPr>
          <w:b/>
        </w:rPr>
        <w:t xml:space="preserve">[TBD: window]</w:t>
      </w:r>
      <w:r>
        <w:t xml:space="preserve"> of the episode. Settling time is the last instant at which |Vout − Vref| exceeds 2 % of Vref; if the output is outside the band at the end of the episode, the controller is reported as not settled (encoded as −1 in the metrics file).</w:t>
      </w:r>
    </w:p>
    <w:p>
      <w:pPr/>
      <w:r>
        <w:rPr>
          <w:b/>
        </w:rPr>
        <w:t xml:space="preserve">Scenarios.</w:t>
      </w:r>
      <w:r>
        <w:t xml:space="preserve"> Nominal step to Vref = 5.0 V (V-A); shaper ablation (V-B); references from 3 V to 7 V (V-C); habit memory under 1 % observation noise (V-D). Noise model: </w:t>
      </w:r>
      <w:r>
        <w:rPr>
          <w:b/>
        </w:rPr>
        <w:t xml:space="preserve">[TBD: additive or multiplicative; per-coordinate standard deviation]</w:t>
      </w:r>
      <w:r>
        <w:t xml:space="preserve">. Number of seeds and evaluation episodes: </w:t>
      </w:r>
      <w:r>
        <w:rPr>
          <w:b/>
        </w:rPr>
        <w:t xml:space="preserve">[TBD]</w:t>
      </w:r>
      <w:r>
        <w:t xml:space="preserve">.</w:t>
      </w:r>
    </w:p>
    <w:p>
      <w:pPr>
        <w:pStyle w:val="Heading2"/>
      </w:pPr>
      <w:r>
        <w:t xml:space="preserve">V. Results and Analysis</w:t>
      </w:r>
    </w:p>
    <w:p>
      <w:pPr>
        <w:pStyle w:val="Heading3"/>
      </w:pPr>
      <w:r>
        <w:t xml:space="preserve">A. Nominal Tracking Against a Tuned PI Controller</w:t>
      </w:r>
    </w:p>
    <w:p>
      <w:pPr/>
      <w:r>
        <w:rPr>
          <w:b/>
        </w:rPr>
        <w:t xml:space="preserve">Table II. Nominal step response, Vref = 5.0 V</w:t>
      </w:r>
    </w:p>
    <w:tbl>
      <w:tblPr>
        <w:tblStyle w:val="TableGrid"/>
        <w:tblW w:w="0" w:type="auto"/>
        <w:tblLayout w:type="fixed"/>
        <w:tblLook w:val="04A0" w:firstRow="1" w:lastRow="0" w:firstColumn="0" w:lastColumn="0" w:noHBand="0" w:noVBand="1"/>
      </w:tblPr>
      <w:tblGrid>
        <w:gridCol w:w="2623"/>
        <w:gridCol w:w="1707"/>
        <w:gridCol w:w="1490"/>
        <w:gridCol w:w="1801"/>
        <w:gridCol w:w="1738"/>
      </w:tblGrid>
      <w:tr>
        <w:trPr>
          <w:tblHeader/>
        </w:trPr>
        <w:tc>
          <w:tcPr>
            <w:tcW w:w="2623" w:type="dxa"/>
            <w:shd w:val="clear" w:color="auto" w:fill="F2F2F2"/>
          </w:tcPr>
          <w:p>
            <w:pPr/>
            <w:r>
              <w:t xml:space="preserve">Controller</w:t>
            </w:r>
          </w:p>
        </w:tc>
        <w:tc>
          <w:tcPr>
            <w:tcW w:w="1707" w:type="dxa"/>
            <w:shd w:val="clear" w:color="auto" w:fill="F2F2F2"/>
          </w:tcPr>
          <w:p>
            <w:pPr/>
            <w:r>
              <w:t xml:space="preserve">Overshoot (%)</w:t>
            </w:r>
          </w:p>
        </w:tc>
        <w:tc>
          <w:tcPr>
            <w:tcW w:w="1490" w:type="dxa"/>
            <w:shd w:val="clear" w:color="auto" w:fill="F2F2F2"/>
          </w:tcPr>
          <w:p>
            <w:pPr/>
            <w:r>
              <w:t xml:space="preserve">Steady-state error (%)</w:t>
            </w:r>
          </w:p>
        </w:tc>
        <w:tc>
          <w:tcPr>
            <w:tcW w:w="1801" w:type="dxa"/>
            <w:shd w:val="clear" w:color="auto" w:fill="F2F2F2"/>
          </w:tcPr>
          <w:p>
            <w:pPr/>
            <w:r>
              <w:t xml:space="preserve">2 % settling time (ms)</w:t>
            </w:r>
          </w:p>
        </w:tc>
        <w:tc>
          <w:tcPr>
            <w:tcW w:w="1738" w:type="dxa"/>
            <w:shd w:val="clear" w:color="auto" w:fill="F2F2F2"/>
          </w:tcPr>
          <w:p>
            <w:pPr/>
            <w:r>
              <w:t xml:space="preserve">Final Vout (V)</w:t>
            </w:r>
          </w:p>
        </w:tc>
      </w:tr>
      <w:tr>
        <w:tc>
          <w:tcPr>
            <w:tcW w:w="2623" w:type="dxa"/>
          </w:tcPr>
          <w:p>
            <w:pPr/>
            <w:r>
              <w:t xml:space="preserve">Tuned PI, raw step</w:t>
            </w:r>
          </w:p>
        </w:tc>
        <w:tc>
          <w:tcPr>
            <w:tcW w:w="1707" w:type="dxa"/>
          </w:tcPr>
          <w:p>
            <w:pPr/>
            <w:r>
              <w:t xml:space="preserve">0.04</w:t>
            </w:r>
          </w:p>
        </w:tc>
        <w:tc>
          <w:tcPr>
            <w:tcW w:w="1490" w:type="dxa"/>
          </w:tcPr>
          <w:p>
            <w:pPr/>
            <w:r>
              <w:t xml:space="preserve">0.0</w:t>
            </w:r>
          </w:p>
        </w:tc>
        <w:tc>
          <w:tcPr>
            <w:tcW w:w="1801" w:type="dxa"/>
          </w:tcPr>
          <w:p>
            <w:pPr/>
            <w:r>
              <w:t xml:space="preserve">1.6</w:t>
            </w:r>
          </w:p>
        </w:tc>
        <w:tc>
          <w:tcPr>
            <w:tcW w:w="1738" w:type="dxa"/>
          </w:tcPr>
          <w:p>
            <w:pPr/>
            <w:r>
              <w:t xml:space="preserve">5.00</w:t>
            </w:r>
          </w:p>
        </w:tc>
      </w:tr>
      <w:tr>
        <w:tc>
          <w:tcPr>
            <w:tcW w:w="2623" w:type="dxa"/>
          </w:tcPr>
          <w:p>
            <w:pPr/>
            <w:r>
              <w:t xml:space="preserve">RL + shaper + memory</w:t>
            </w:r>
          </w:p>
        </w:tc>
        <w:tc>
          <w:tcPr>
            <w:tcW w:w="1707" w:type="dxa"/>
          </w:tcPr>
          <w:p>
            <w:pPr/>
            <w:r>
              <w:t xml:space="preserve">9.4</w:t>
            </w:r>
          </w:p>
        </w:tc>
        <w:tc>
          <w:tcPr>
            <w:tcW w:w="1490" w:type="dxa"/>
          </w:tcPr>
          <w:p>
            <w:pPr/>
            <w:r>
              <w:t xml:space="preserve">5.8</w:t>
            </w:r>
          </w:p>
        </w:tc>
        <w:tc>
          <w:tcPr>
            <w:tcW w:w="1801" w:type="dxa"/>
          </w:tcPr>
          <w:p>
            <w:pPr/>
            <w:r>
              <w:t xml:space="preserve">not settled</w:t>
            </w:r>
          </w:p>
        </w:tc>
        <w:tc>
          <w:tcPr>
            <w:tcW w:w="1738" w:type="dxa"/>
          </w:tcPr>
          <w:p>
            <w:pPr/>
            <w:r>
              <w:t xml:space="preserve">5.29</w:t>
            </w:r>
          </w:p>
        </w:tc>
      </w:tr>
      <w:tr>
        <w:tc>
          <w:tcPr>
            <w:tcW w:w="2623" w:type="dxa"/>
          </w:tcPr>
          <w:p>
            <w:pPr/>
            <w:r>
              <w:t xml:space="preserve">Tuned PI + shaper</w:t>
            </w:r>
          </w:p>
        </w:tc>
        <w:tc>
          <w:tcPr>
            <w:tcW w:w="1707" w:type="dxa"/>
          </w:tcPr>
          <w:p>
            <w:pPr/>
            <w:r>
              <w:rPr>
                <w:b/>
              </w:rPr>
              <w:t xml:space="preserve">[TBD]</w:t>
            </w:r>
          </w:p>
        </w:tc>
        <w:tc>
          <w:tcPr>
            <w:tcW w:w="1490" w:type="dxa"/>
          </w:tcPr>
          <w:p>
            <w:pPr/>
            <w:r>
              <w:rPr>
                <w:b/>
              </w:rPr>
              <w:t xml:space="preserve">[TBD]</w:t>
            </w:r>
          </w:p>
        </w:tc>
        <w:tc>
          <w:tcPr>
            <w:tcW w:w="1801" w:type="dxa"/>
          </w:tcPr>
          <w:p>
            <w:pPr/>
            <w:r>
              <w:rPr>
                <w:b/>
              </w:rPr>
              <w:t xml:space="preserve">[TBD]</w:t>
            </w:r>
          </w:p>
        </w:tc>
        <w:tc>
          <w:tcPr>
            <w:tcW w:w="1738" w:type="dxa"/>
          </w:tcPr>
          <w:p>
            <w:pPr/>
            <w:r>
              <w:rPr>
                <w:b/>
              </w:rPr>
              <w:t xml:space="preserve">[TBD]</w:t>
            </w:r>
          </w:p>
        </w:tc>
      </w:tr>
    </w:tbl>
    <w:p>
      <w:pPr/>
      <w:r>
        <w:rPr>
          <w:b/>
        </w:rPr>
        <w:t xml:space="preserve">[Insert Fig. 2: policy tracking response at nominal Vref, regenerated from the final checkpoint.]</w:t>
      </w:r>
    </w:p>
    <w:p>
      <w:pPr/>
      <w:r>
        <w:t xml:space="preserve">The PI controller meets every criterion: 0.04 % overshoot, zero steady-state error and a 1.6 ms settling time, about seven times faster than the 11.6 ms bound set by the shaper alone. The RL pipeline peaks at 5.47 V (9.4 % overshoot) and ends at 5.29 V, 5.8 % above the reference. Since this is outside the 2 % band, it cannot settle by definition. Of the 9.4 % overshoot, 5.8 percentage points are the steady-state offset; the transient excursion beyond the final value is about 3.6 percentage points.</w:t>
      </w:r>
    </w:p>
    <w:p>
      <w:pPr/>
      <w:r>
        <w:t xml:space="preserve">The offset follows from the policy structure. A memoryless policy d = π(x) removes steady-state error only if it encodes the exact DC map of the plant, here d = Vref/10.9 for Vin = 12 V. Any approximation error of the network, or any mismatch between training and test plant, appears directly as an offset in Vout. An integral state removes this class of error automatically, which is why the PI controller has zero error. An integral term that had previously been appended to the policy output was removed for the reported results in order to expose the intrinsic behavior of the policy; the preliminary integrator results are not reported.</w:t>
      </w:r>
    </w:p>
    <w:p>
      <w:pPr>
        <w:pStyle w:val="Heading3"/>
      </w:pPr>
      <w:r>
        <w:t xml:space="preserve">B. Role of the Design Choices</w:t>
      </w:r>
    </w:p>
    <w:p>
      <w:pPr/>
      <w:r>
        <w:rPr>
          <w:b/>
        </w:rPr>
        <w:t xml:space="preserve">Table III. Ablation of design choices (Vref = 5.0 V)</w:t>
      </w:r>
    </w:p>
    <w:tbl>
      <w:tblPr>
        <w:tblStyle w:val="TableGrid"/>
        <w:tblW w:w="0" w:type="auto"/>
        <w:tblLayout w:type="fixed"/>
        <w:tblLook w:val="04A0" w:firstRow="1" w:lastRow="0" w:firstColumn="0" w:lastColumn="0" w:noHBand="0" w:noVBand="1"/>
      </w:tblPr>
      <w:tblGrid>
        <w:gridCol w:w="3873"/>
        <w:gridCol w:w="2474"/>
        <w:gridCol w:w="1385"/>
        <w:gridCol w:w="1628"/>
      </w:tblGrid>
      <w:tr>
        <w:trPr>
          <w:tblHeader/>
        </w:trPr>
        <w:tc>
          <w:tcPr>
            <w:tcW w:w="3873" w:type="dxa"/>
            <w:shd w:val="clear" w:color="auto" w:fill="F2F2F2"/>
          </w:tcPr>
          <w:p>
            <w:pPr/>
            <w:r>
              <w:t xml:space="preserve">Configuration</w:t>
            </w:r>
          </w:p>
        </w:tc>
        <w:tc>
          <w:tcPr>
            <w:tcW w:w="2474" w:type="dxa"/>
            <w:shd w:val="clear" w:color="auto" w:fill="F2F2F2"/>
          </w:tcPr>
          <w:p>
            <w:pPr/>
            <w:r>
              <w:t xml:space="preserve">Overshoot (%)</w:t>
            </w:r>
          </w:p>
        </w:tc>
        <w:tc>
          <w:tcPr>
            <w:tcW w:w="1385" w:type="dxa"/>
            <w:shd w:val="clear" w:color="auto" w:fill="F2F2F2"/>
          </w:tcPr>
          <w:p>
            <w:pPr/>
            <w:r>
              <w:t xml:space="preserve">Steady-state error (%)</w:t>
            </w:r>
          </w:p>
        </w:tc>
        <w:tc>
          <w:tcPr>
            <w:tcW w:w="1628" w:type="dxa"/>
            <w:shd w:val="clear" w:color="auto" w:fill="F2F2F2"/>
          </w:tcPr>
          <w:p>
            <w:pPr/>
            <w:r>
              <w:t xml:space="preserve">Settling (ms)</w:t>
            </w:r>
          </w:p>
        </w:tc>
      </w:tr>
      <w:tr>
        <w:tc>
          <w:tcPr>
            <w:tcW w:w="3873" w:type="dxa"/>
          </w:tcPr>
          <w:p>
            <w:pPr/>
            <w:r>
              <w:t xml:space="preserve">Full system</w:t>
            </w:r>
          </w:p>
        </w:tc>
        <w:tc>
          <w:tcPr>
            <w:tcW w:w="2474" w:type="dxa"/>
          </w:tcPr>
          <w:p>
            <w:pPr/>
            <w:r>
              <w:t xml:space="preserve">9.4</w:t>
            </w:r>
          </w:p>
        </w:tc>
        <w:tc>
          <w:tcPr>
            <w:tcW w:w="1385" w:type="dxa"/>
          </w:tcPr>
          <w:p>
            <w:pPr/>
            <w:r>
              <w:t xml:space="preserve">5.8</w:t>
            </w:r>
          </w:p>
        </w:tc>
        <w:tc>
          <w:tcPr>
            <w:tcW w:w="1628" w:type="dxa"/>
          </w:tcPr>
          <w:p>
            <w:pPr/>
            <w:r>
              <w:t xml:space="preserve">not settled</w:t>
            </w:r>
          </w:p>
        </w:tc>
      </w:tr>
      <w:tr>
        <w:tc>
          <w:tcPr>
            <w:tcW w:w="3873" w:type="dxa"/>
          </w:tcPr>
          <w:p>
            <w:pPr/>
            <w:r>
              <w:t xml:space="preserve">Shaper removed (raw step to the policy)</w:t>
            </w:r>
          </w:p>
        </w:tc>
        <w:tc>
          <w:tcPr>
            <w:tcW w:w="2474" w:type="dxa"/>
          </w:tcPr>
          <w:p>
            <w:pPr/>
            <w:r>
              <w:rPr>
                <w:b/>
              </w:rPr>
              <w:t xml:space="preserve">[TBD: shaper-ablation overshoot]</w:t>
            </w:r>
          </w:p>
        </w:tc>
        <w:tc>
          <w:tcPr>
            <w:tcW w:w="1385" w:type="dxa"/>
          </w:tcPr>
          <w:p>
            <w:pPr/>
            <w:r>
              <w:rPr>
                <w:b/>
              </w:rPr>
              <w:t xml:space="preserve">[TBD]</w:t>
            </w:r>
          </w:p>
        </w:tc>
        <w:tc>
          <w:tcPr>
            <w:tcW w:w="1628" w:type="dxa"/>
          </w:tcPr>
          <w:p>
            <w:pPr/>
            <w:r>
              <w:rPr>
                <w:b/>
              </w:rPr>
              <w:t xml:space="preserve">[TBD]</w:t>
            </w:r>
          </w:p>
        </w:tc>
      </w:tr>
      <w:tr>
        <w:tc>
          <w:tcPr>
            <w:tcW w:w="3873" w:type="dxa"/>
          </w:tcPr>
          <w:p>
            <w:pPr/>
            <w:r>
              <w:t xml:space="preserve">Δe removed from the observation</w:t>
            </w:r>
          </w:p>
        </w:tc>
        <w:tc>
          <w:tcPr>
            <w:tcW w:w="2474" w:type="dxa"/>
          </w:tcPr>
          <w:p>
            <w:pPr/>
            <w:r>
              <w:rPr>
                <w:b/>
              </w:rPr>
              <w:t xml:space="preserve">[TBD: not re-run]</w:t>
            </w:r>
          </w:p>
        </w:tc>
        <w:tc>
          <w:tcPr>
            <w:tcW w:w="1385" w:type="dxa"/>
          </w:tcPr>
          <w:p>
            <w:pPr/>
            <w:r>
              <w:rPr>
                <w:b/>
              </w:rPr>
              <w:t xml:space="preserve">[TBD]</w:t>
            </w:r>
          </w:p>
        </w:tc>
        <w:tc>
          <w:tcPr>
            <w:tcW w:w="1628" w:type="dxa"/>
          </w:tcPr>
          <w:p>
            <w:pPr/>
            <w:r>
              <w:rPr>
                <w:b/>
              </w:rPr>
              <w:t xml:space="preserve">[TBD]</w:t>
            </w:r>
          </w:p>
        </w:tc>
      </w:tr>
      <w:tr>
        <w:tc>
          <w:tcPr>
            <w:tcW w:w="3873" w:type="dxa"/>
          </w:tcPr>
          <w:p>
            <w:pPr/>
            <w:r>
              <w:t xml:space="preserve">R_esr = 0 (ζ ≈ 0.05), policy retrained</w:t>
            </w:r>
          </w:p>
        </w:tc>
        <w:tc>
          <w:tcPr>
            <w:tcW w:w="2474" w:type="dxa"/>
          </w:tcPr>
          <w:p>
            <w:pPr/>
            <w:r>
              <w:rPr>
                <w:b/>
              </w:rPr>
              <w:t xml:space="preserve">[TBD: not re-run]</w:t>
            </w:r>
          </w:p>
        </w:tc>
        <w:tc>
          <w:tcPr>
            <w:tcW w:w="1385" w:type="dxa"/>
          </w:tcPr>
          <w:p>
            <w:pPr/>
            <w:r>
              <w:rPr>
                <w:b/>
              </w:rPr>
              <w:t xml:space="preserve">[TBD]</w:t>
            </w:r>
          </w:p>
        </w:tc>
        <w:tc>
          <w:tcPr>
            <w:tcW w:w="1628" w:type="dxa"/>
          </w:tcPr>
          <w:p>
            <w:pPr/>
            <w:r>
              <w:rPr>
                <w:b/>
              </w:rPr>
              <w:t xml:space="preserve">[TBD]</w:t>
            </w:r>
          </w:p>
        </w:tc>
      </w:tr>
    </w:tbl>
    <w:p>
      <w:pPr/>
      <w:r>
        <w:t xml:space="preserve">Only the shaper ablation has been repeated under the protocol of Section IV, and its numbers are pending. The other two ablations have not been repeated under that protocol, so no outcome is reported for them. The role of the shaper must be read together with Table II: the PI controller tracks the raw step with 0.04 % overshoot, so the need for a shaper is a property of the learned policy and not of the plant.</w:t>
      </w:r>
    </w:p>
    <w:p>
      <w:pPr>
        <w:pStyle w:val="Heading3"/>
      </w:pPr>
      <w:r>
        <w:t xml:space="preserve">C. Behavior Across Reference Values</w:t>
      </w:r>
    </w:p>
    <w:p>
      <w:pPr/>
      <w:r>
        <w:rPr>
          <w:b/>
        </w:rPr>
        <w:t xml:space="preserve">Table IV. Overshoot and steady-state error versus reference (policy trained on 4.8–5.2 V)</w:t>
      </w:r>
    </w:p>
    <w:tbl>
      <w:tblPr>
        <w:tblStyle w:val="TableGrid"/>
        <w:tblW w:w="0" w:type="auto"/>
        <w:tblLayout w:type="fixed"/>
        <w:tblLook w:val="04A0" w:firstRow="1" w:lastRow="0" w:firstColumn="0" w:lastColumn="0" w:noHBand="0" w:noVBand="1"/>
      </w:tblPr>
      <w:tblGrid>
        <w:gridCol w:w="1066"/>
        <w:gridCol w:w="2142"/>
        <w:gridCol w:w="2923"/>
        <w:gridCol w:w="3229"/>
      </w:tblGrid>
      <w:tr>
        <w:trPr>
          <w:tblHeader/>
        </w:trPr>
        <w:tc>
          <w:tcPr>
            <w:tcW w:w="1066" w:type="dxa"/>
            <w:shd w:val="clear" w:color="auto" w:fill="F2F2F2"/>
          </w:tcPr>
          <w:p>
            <w:pPr/>
            <w:r>
              <w:t xml:space="preserve">Vref (V)</w:t>
            </w:r>
          </w:p>
        </w:tc>
        <w:tc>
          <w:tcPr>
            <w:tcW w:w="2142" w:type="dxa"/>
            <w:shd w:val="clear" w:color="auto" w:fill="F2F2F2"/>
          </w:tcPr>
          <w:p>
            <w:pPr/>
            <w:r>
              <w:t xml:space="preserve">RL: overshoot (%)</w:t>
            </w:r>
          </w:p>
        </w:tc>
        <w:tc>
          <w:tcPr>
            <w:tcW w:w="2923" w:type="dxa"/>
            <w:shd w:val="clear" w:color="auto" w:fill="F2F2F2"/>
          </w:tcPr>
          <w:p>
            <w:pPr/>
            <w:r>
              <w:t xml:space="preserve">RL: steady-state error (%)</w:t>
            </w:r>
          </w:p>
        </w:tc>
        <w:tc>
          <w:tcPr>
            <w:tcW w:w="3229" w:type="dxa"/>
            <w:shd w:val="clear" w:color="auto" w:fill="F2F2F2"/>
          </w:tcPr>
          <w:p>
            <w:pPr/>
            <w:r>
              <w:t xml:space="preserve">Tuned PI: steady-state error (%)</w:t>
            </w:r>
          </w:p>
        </w:tc>
      </w:tr>
      <w:tr>
        <w:tc>
          <w:tcPr>
            <w:tcW w:w="1066" w:type="dxa"/>
          </w:tcPr>
          <w:p>
            <w:pPr/>
            <w:r>
              <w:t xml:space="preserve">3.0</w:t>
            </w:r>
          </w:p>
        </w:tc>
        <w:tc>
          <w:tcPr>
            <w:tcW w:w="2142" w:type="dxa"/>
          </w:tcPr>
          <w:p>
            <w:pPr/>
            <w:r>
              <w:rPr>
                <w:b/>
              </w:rPr>
              <w:t xml:space="preserve">[TBD]</w:t>
            </w:r>
          </w:p>
        </w:tc>
        <w:tc>
          <w:tcPr>
            <w:tcW w:w="2923" w:type="dxa"/>
          </w:tcPr>
          <w:p>
            <w:pPr/>
            <w:r>
              <w:rPr>
                <w:b/>
              </w:rPr>
              <w:t xml:space="preserve">[TBD]</w:t>
            </w:r>
          </w:p>
        </w:tc>
        <w:tc>
          <w:tcPr>
            <w:tcW w:w="3229" w:type="dxa"/>
          </w:tcPr>
          <w:p>
            <w:pPr/>
            <w:r>
              <w:rPr>
                <w:b/>
              </w:rPr>
              <w:t xml:space="preserve">[TBD]</w:t>
            </w:r>
          </w:p>
        </w:tc>
      </w:tr>
      <w:tr>
        <w:tc>
          <w:tcPr>
            <w:tcW w:w="1066" w:type="dxa"/>
          </w:tcPr>
          <w:p>
            <w:pPr/>
            <w:r>
              <w:t xml:space="preserve">4.0</w:t>
            </w:r>
          </w:p>
        </w:tc>
        <w:tc>
          <w:tcPr>
            <w:tcW w:w="2142" w:type="dxa"/>
          </w:tcPr>
          <w:p>
            <w:pPr/>
            <w:r>
              <w:rPr>
                <w:b/>
              </w:rPr>
              <w:t xml:space="preserve">[TBD]</w:t>
            </w:r>
          </w:p>
        </w:tc>
        <w:tc>
          <w:tcPr>
            <w:tcW w:w="2923" w:type="dxa"/>
          </w:tcPr>
          <w:p>
            <w:pPr/>
            <w:r>
              <w:rPr>
                <w:b/>
              </w:rPr>
              <w:t xml:space="preserve">[TBD]</w:t>
            </w:r>
          </w:p>
        </w:tc>
        <w:tc>
          <w:tcPr>
            <w:tcW w:w="3229" w:type="dxa"/>
          </w:tcPr>
          <w:p>
            <w:pPr/>
            <w:r>
              <w:rPr>
                <w:b/>
              </w:rPr>
              <w:t xml:space="preserve">[TBD]</w:t>
            </w:r>
          </w:p>
        </w:tc>
      </w:tr>
      <w:tr>
        <w:tc>
          <w:tcPr>
            <w:tcW w:w="1066" w:type="dxa"/>
          </w:tcPr>
          <w:p>
            <w:pPr/>
            <w:r>
              <w:t xml:space="preserve">5.0</w:t>
            </w:r>
          </w:p>
        </w:tc>
        <w:tc>
          <w:tcPr>
            <w:tcW w:w="2142" w:type="dxa"/>
          </w:tcPr>
          <w:p>
            <w:pPr/>
            <w:r>
              <w:t xml:space="preserve">9.4</w:t>
            </w:r>
          </w:p>
        </w:tc>
        <w:tc>
          <w:tcPr>
            <w:tcW w:w="2923" w:type="dxa"/>
          </w:tcPr>
          <w:p>
            <w:pPr/>
            <w:r>
              <w:t xml:space="preserve">5.8</w:t>
            </w:r>
          </w:p>
        </w:tc>
        <w:tc>
          <w:tcPr>
            <w:tcW w:w="3229" w:type="dxa"/>
          </w:tcPr>
          <w:p>
            <w:pPr/>
            <w:r>
              <w:t xml:space="preserve">0.0</w:t>
            </w:r>
          </w:p>
        </w:tc>
      </w:tr>
      <w:tr>
        <w:tc>
          <w:tcPr>
            <w:tcW w:w="1066" w:type="dxa"/>
          </w:tcPr>
          <w:p>
            <w:pPr/>
            <w:r>
              <w:t xml:space="preserve">6.0</w:t>
            </w:r>
          </w:p>
        </w:tc>
        <w:tc>
          <w:tcPr>
            <w:tcW w:w="2142" w:type="dxa"/>
          </w:tcPr>
          <w:p>
            <w:pPr/>
            <w:r>
              <w:rPr>
                <w:b/>
              </w:rPr>
              <w:t xml:space="preserve">[TBD]</w:t>
            </w:r>
          </w:p>
        </w:tc>
        <w:tc>
          <w:tcPr>
            <w:tcW w:w="2923" w:type="dxa"/>
          </w:tcPr>
          <w:p>
            <w:pPr/>
            <w:r>
              <w:rPr>
                <w:b/>
              </w:rPr>
              <w:t xml:space="preserve">[TBD]</w:t>
            </w:r>
          </w:p>
        </w:tc>
        <w:tc>
          <w:tcPr>
            <w:tcW w:w="3229" w:type="dxa"/>
          </w:tcPr>
          <w:p>
            <w:pPr/>
            <w:r>
              <w:rPr>
                <w:b/>
              </w:rPr>
              <w:t xml:space="preserve">[TBD]</w:t>
            </w:r>
          </w:p>
        </w:tc>
      </w:tr>
      <w:tr>
        <w:tc>
          <w:tcPr>
            <w:tcW w:w="1066" w:type="dxa"/>
          </w:tcPr>
          <w:p>
            <w:pPr/>
            <w:r>
              <w:t xml:space="preserve">7.0</w:t>
            </w:r>
          </w:p>
        </w:tc>
        <w:tc>
          <w:tcPr>
            <w:tcW w:w="2142" w:type="dxa"/>
          </w:tcPr>
          <w:p>
            <w:pPr/>
            <w:r>
              <w:rPr>
                <w:b/>
              </w:rPr>
              <w:t xml:space="preserve">[TBD]</w:t>
            </w:r>
          </w:p>
        </w:tc>
        <w:tc>
          <w:tcPr>
            <w:tcW w:w="2923" w:type="dxa"/>
          </w:tcPr>
          <w:p>
            <w:pPr/>
            <w:r>
              <w:rPr>
                <w:b/>
              </w:rPr>
              <w:t xml:space="preserve">[TBD]</w:t>
            </w:r>
          </w:p>
        </w:tc>
        <w:tc>
          <w:tcPr>
            <w:tcW w:w="3229" w:type="dxa"/>
          </w:tcPr>
          <w:p>
            <w:pPr/>
            <w:r>
              <w:rPr>
                <w:b/>
              </w:rPr>
              <w:t xml:space="preserve">[TBD]</w:t>
            </w:r>
          </w:p>
        </w:tc>
      </w:tr>
    </w:tbl>
    <w:p>
      <w:pPr/>
      <w:r>
        <w:rPr>
          <w:b/>
        </w:rPr>
        <w:t xml:space="preserve">[Insert Fig. 3: Vout of the proposed approach and the tuned PI at matched reference trajectories.]</w:t>
      </w:r>
    </w:p>
    <w:p>
      <w:pPr/>
      <w:r>
        <w:t xml:space="preserve">References outside 4.8–5.2 V test extrapolation. Even at the nominal 5.0 V, which lies inside the training range, the offset is 5.8 %, so no generalization claim can be made unless the offsets at the other references are comparable to or smaller than this value. The PI controller has no training range, and its integral term is expected to remove the offset at any reachable reference; this is the last column of Table IV.</w:t>
      </w:r>
    </w:p>
    <w:p>
      <w:pPr>
        <w:pStyle w:val="Heading3"/>
      </w:pPr>
      <w:r>
        <w:t xml:space="preserve">D. Habit Memory Characterization</w:t>
      </w:r>
    </w:p>
    <w:p>
      <w:pPr/>
      <w:r>
        <w:rPr>
          <w:b/>
        </w:rPr>
        <w:t xml:space="preserve">Table V. Habit memory under 1 % observation noise</w:t>
      </w:r>
    </w:p>
    <w:tbl>
      <w:tblPr>
        <w:tblStyle w:val="TableGrid"/>
        <w:tblW w:w="0" w:type="auto"/>
        <w:tblLayout w:type="fixed"/>
        <w:tblLook w:val="04A0" w:firstRow="1" w:lastRow="0" w:firstColumn="0" w:lastColumn="0" w:noHBand="0" w:noVBand="1"/>
      </w:tblPr>
      <w:tblGrid>
        <w:gridCol w:w="6521"/>
        <w:gridCol w:w="2838"/>
      </w:tblGrid>
      <w:tr>
        <w:trPr>
          <w:tblHeader/>
        </w:trPr>
        <w:tc>
          <w:tcPr>
            <w:tcW w:w="6521" w:type="dxa"/>
            <w:shd w:val="clear" w:color="auto" w:fill="F2F2F2"/>
          </w:tcPr>
          <w:p>
            <w:pPr/>
            <w:r>
              <w:t xml:space="preserve">Quantity</w:t>
            </w:r>
          </w:p>
        </w:tc>
        <w:tc>
          <w:tcPr>
            <w:tcW w:w="2838" w:type="dxa"/>
            <w:shd w:val="clear" w:color="auto" w:fill="F2F2F2"/>
          </w:tcPr>
          <w:p>
            <w:pPr/>
            <w:r>
              <w:t xml:space="preserve">Value</w:t>
            </w:r>
          </w:p>
        </w:tc>
      </w:tr>
      <w:tr>
        <w:tc>
          <w:tcPr>
            <w:tcW w:w="6521" w:type="dxa"/>
          </w:tcPr>
          <w:p>
            <w:pPr/>
            <w:r>
              <w:t xml:space="preserve">Records in full bank</w:t>
            </w:r>
          </w:p>
        </w:tc>
        <w:tc>
          <w:tcPr>
            <w:tcW w:w="2838" w:type="dxa"/>
          </w:tcPr>
          <w:p>
            <w:pPr/>
            <w:r>
              <w:t xml:space="preserve">15,546</w:t>
            </w:r>
          </w:p>
        </w:tc>
      </w:tr>
      <w:tr>
        <w:tc>
          <w:tcPr>
            <w:tcW w:w="6521" w:type="dxa"/>
          </w:tcPr>
          <w:p>
            <w:pPr/>
            <w:r>
              <w:t xml:space="preserve">Hit rate (fraction of steps served by memory)</w:t>
            </w:r>
          </w:p>
        </w:tc>
        <w:tc>
          <w:tcPr>
            <w:tcW w:w="2838" w:type="dxa"/>
          </w:tcPr>
          <w:p>
            <w:pPr/>
            <w:r>
              <w:rPr>
                <w:b/>
              </w:rPr>
              <w:t xml:space="preserve">[TBD: hit rate, %]</w:t>
            </w:r>
          </w:p>
        </w:tc>
      </w:tr>
      <w:tr>
        <w:tc>
          <w:tcPr>
            <w:tcW w:w="6521" w:type="dxa"/>
          </w:tcPr>
          <w:p>
            <w:pPr/>
            <w:r>
              <w:t xml:space="preserve">Mean absolute duty deviation, memory vs. network</w:t>
            </w:r>
          </w:p>
        </w:tc>
        <w:tc>
          <w:tcPr>
            <w:tcW w:w="2838" w:type="dxa"/>
          </w:tcPr>
          <w:p>
            <w:pPr/>
            <w:r>
              <w:rPr>
                <w:b/>
              </w:rPr>
              <w:t xml:space="preserve">[TBD]</w:t>
            </w:r>
          </w:p>
        </w:tc>
      </w:tr>
      <w:tr>
        <w:tc>
          <w:tcPr>
            <w:tcW w:w="6521" w:type="dxa"/>
          </w:tcPr>
          <w:p>
            <w:pPr/>
            <w:r>
              <w:t xml:space="preserve">Maximum absolute duty deviation</w:t>
            </w:r>
          </w:p>
        </w:tc>
        <w:tc>
          <w:tcPr>
            <w:tcW w:w="2838" w:type="dxa"/>
          </w:tcPr>
          <w:p>
            <w:pPr/>
            <w:r>
              <w:rPr>
                <w:b/>
              </w:rPr>
              <w:t xml:space="preserve">[TBD]</w:t>
            </w:r>
          </w:p>
        </w:tc>
      </w:tr>
      <w:tr>
        <w:tc>
          <w:tcPr>
            <w:tcW w:w="6521" w:type="dxa"/>
          </w:tcPr>
          <w:p>
            <w:pPr/>
            <w:r>
              <w:t xml:space="preserve">Closed-loop metrics with memory in the loop vs. network only (Table II metrics)</w:t>
            </w:r>
          </w:p>
        </w:tc>
        <w:tc>
          <w:tcPr>
            <w:tcW w:w="2838" w:type="dxa"/>
          </w:tcPr>
          <w:p>
            <w:pPr/>
            <w:r>
              <w:rPr>
                <w:b/>
              </w:rPr>
              <w:t xml:space="preserve">[TBD]</w:t>
            </w:r>
          </w:p>
        </w:tc>
      </w:tr>
    </w:tbl>
    <w:p>
      <w:pPr/>
      <w:r>
        <w:rPr>
          <w:b/>
        </w:rPr>
        <w:t xml:space="preserve">[Insert Fig. 4: hit rate across reference values under 1 % observation noise. Insert Fig. 5: memory prediction versus network output (duty_comparison.png).]</w:t>
      </w:r>
    </w:p>
    <w:p>
      <w:pPr/>
      <w:r>
        <w:t xml:space="preserve">Three points matter when reading these results. First, the comparison in Fig. 5 is made on the observation sequence produced by the network, so it measures agreement with the policy at identical inputs. It does not show that closed-loop quality is unchanged when the memory drives the plant; that is the last row of Table V. Second, because the bank is built from policy rollouts, evaluation must use held-out references and noise seeds, otherwise high agreement partly reflects that test points were used to build the cache </w:t>
      </w:r>
      <w:r>
        <w:rPr>
          <w:b/>
        </w:rPr>
        <w:t xml:space="preserve">[TBD: confirm the held-out protocol]</w:t>
      </w:r>
      <w:r>
        <w:t xml:space="preserve">. Third, a high hit rate is not by itself evidence of quality, since it can also indicate permissive gates; we therefore report the hit rate together with the deviation between served and network duty. As the memory copies the policy, the offset in Table II is expected to carry over to memory-served steps.</w:t>
      </w:r>
    </w:p>
    <w:p>
      <w:pPr/>
      <w:r>
        <w:t xml:space="preserve">The inference saving equals the hit rate h, since a hit avoids the network evaluation. The consequences for timing are analyzed in Section VI-B.</w:t>
      </w:r>
    </w:p>
    <w:p>
      <w:pPr>
        <w:pStyle w:val="Heading2"/>
      </w:pPr>
      <w:r>
        <w:t xml:space="preserve">VI. Discussion</w:t>
      </w:r>
    </w:p>
    <w:p>
      <w:pPr>
        <w:pStyle w:val="Heading3"/>
      </w:pPr>
      <w:r>
        <w:t xml:space="preserve">A. Separating Trajectory Planning from Tracking</w:t>
      </w:r>
    </w:p>
    <w:p>
      <w:pPr/>
      <w:r>
        <w:t xml:space="preserve">The architecture splits the task: the shaper plans a smooth trajectory that does not excite the resonance, and the policy only has to track it. This simplifies the learning problem and acts like a soft start, which should limit inrush current. Inductor-current peaks were not measured, so this benefit remains a hypothesis </w:t>
      </w:r>
      <w:r>
        <w:rPr>
          <w:b/>
        </w:rPr>
        <w:t xml:space="preserve">[TBD: inductor peak current, raw-step PI versus shaped trajectory]</w:t>
      </w:r>
      <w:r>
        <w:t xml:space="preserve">. The price is speed: the shaper fixes a settling time of about 11.6 ms, more than seven times that of the tuned PI controller.</w:t>
      </w:r>
    </w:p>
    <w:p>
      <w:pPr>
        <w:pStyle w:val="Heading3"/>
      </w:pPr>
      <w:r>
        <w:t xml:space="preserve">B. Deployment Feasibility</w:t>
      </w:r>
    </w:p>
    <w:p>
      <w:pPr/>
      <w:r>
        <w:t xml:space="preserve">The actor has 17,281 parameters, about 17.3 kB at int8 precision [13] before quantization metadata, and needs 17,024 multiply-accumulate operations per evaluation. A bank of 500 records of five int8 values occupies about 2.5 kB. Analytical estimates for a Cortex-M-class core give about 810 µs per network evaluation and about 90 µs per memory lookup </w:t>
      </w:r>
      <w:r>
        <w:rPr>
          <w:b/>
        </w:rPr>
        <w:t xml:space="preserve">[TBD: core, clock, library, and how the estimates were derived]</w:t>
      </w:r>
      <w:r>
        <w:t xml:space="preserve">. These are estimates, not measurements.</w:t>
      </w:r>
    </w:p>
    <w:p>
      <w:pPr/>
      <w:r>
        <w:t xml:space="preserve">With a lookup cost t_mem on every step and a network cost t_net on a miss, the mean cost per step is t_mem + (1 − h)·t_net. For a 100 µs period and the estimates above, the mean cost fits only if h ≥ 98.8 %, and any single miss (about 900 µs) violates the deadline. Meeting a 10 kHz deadline in the worst case therefore requires a faster core, an asynchronous fallback that holds the last duty cycle while the network runs, or a lower control rate. A PI update needs only a handful of multiply-accumulate operations, so the deployment argument holds against RL without memory and not against PI control.</w:t>
      </w:r>
    </w:p>
    <w:p>
      <w:pPr>
        <w:pStyle w:val="Heading3"/>
      </w:pPr>
      <w:r>
        <w:t xml:space="preserve">C. Limitations</w:t>
      </w:r>
    </w:p>
    <w:p>
      <w:pPr>
        <w:pStyle w:val="ListParagraph"/>
        <w:numPr>
          <w:ilvl w:val="0"/>
          <w:numId w:val="4"/>
        </w:numPr>
      </w:pPr>
      <w:r>
        <w:rPr>
          <w:b/>
        </w:rPr>
        <w:t xml:space="preserve">Plant.</w:t>
      </w:r>
      <w:r>
        <w:t xml:space="preserve"> A linear, averaged, continuous-conduction model with a large inductor resistance (R_esr = 1 Ω). The results do not extend to lightly damped plants, discontinuous conduction or switching-level dynamics.</w:t>
      </w:r>
    </w:p>
    <w:p>
      <w:pPr>
        <w:pStyle w:val="ListParagraph"/>
        <w:numPr>
          <w:ilvl w:val="0"/>
          <w:numId w:val="4"/>
        </w:numPr>
      </w:pPr>
      <w:r>
        <w:rPr>
          <w:b/>
        </w:rPr>
        <w:t xml:space="preserve">Operating envelope.</w:t>
      </w:r>
      <w:r>
        <w:t xml:space="preserve"> Training covers 4.8–5.2 V; input voltage and load are fixed during training </w:t>
      </w:r>
      <w:r>
        <w:rPr>
          <w:b/>
        </w:rPr>
        <w:t xml:space="preserve">[TBD: confirm]</w:t>
      </w:r>
      <w:r>
        <w:t xml:space="preserve">. Line and load disturbances are not tested.</w:t>
      </w:r>
    </w:p>
    <w:p>
      <w:pPr>
        <w:pStyle w:val="ListParagraph"/>
        <w:numPr>
          <w:ilvl w:val="0"/>
          <w:numId w:val="4"/>
        </w:numPr>
      </w:pPr>
      <w:r>
        <w:rPr>
          <w:b/>
        </w:rPr>
        <w:t xml:space="preserve">Statistics.</w:t>
      </w:r>
      <w:r>
        <w:t xml:space="preserve"> The number of seeds and evaluation episodes is </w:t>
      </w:r>
      <w:r>
        <w:rPr>
          <w:b/>
        </w:rPr>
        <w:t xml:space="preserve">[TBD]</w:t>
      </w:r>
      <w:r>
        <w:t xml:space="preserve">; confidence intervals are needed before any ranking among learned variants.</w:t>
      </w:r>
    </w:p>
    <w:p>
      <w:pPr>
        <w:pStyle w:val="ListParagraph"/>
        <w:numPr>
          <w:ilvl w:val="0"/>
          <w:numId w:val="4"/>
        </w:numPr>
      </w:pPr>
      <w:r>
        <w:rPr>
          <w:b/>
        </w:rPr>
        <w:t xml:space="preserve">Memory evaluation.</w:t>
      </w:r>
      <w:r>
        <w:t xml:space="preserve"> Agreement is measured with the network's own inputs and the cache is built from policy rollouts; closed-loop parity and held-out tests are pending.</w:t>
      </w:r>
    </w:p>
    <w:p>
      <w:pPr>
        <w:pStyle w:val="ListParagraph"/>
        <w:numPr>
          <w:ilvl w:val="0"/>
          <w:numId w:val="4"/>
        </w:numPr>
      </w:pPr>
      <w:r>
        <w:rPr>
          <w:b/>
        </w:rPr>
        <w:t xml:space="preserve">Timing.</w:t>
      </w:r>
      <w:r>
        <w:t xml:space="preserve"> Analytical estimates only; no hardware measurement.</w:t>
      </w:r>
    </w:p>
    <w:p>
      <w:pPr>
        <w:pStyle w:val="ListParagraph"/>
        <w:numPr>
          <w:ilvl w:val="0"/>
          <w:numId w:val="4"/>
        </w:numPr>
      </w:pPr>
      <w:r>
        <w:rPr>
          <w:b/>
        </w:rPr>
        <w:t xml:space="preserve">Baseline.</w:t>
      </w:r>
      <w:r>
        <w:t xml:space="preserve"> The PI controller is tuned on the same model it is evaluated on; robustness of both controllers to model mismatch is untested.</w:t>
      </w:r>
    </w:p>
    <w:p>
      <w:pPr>
        <w:pStyle w:val="Heading2"/>
      </w:pPr>
      <w:r>
        <w:t xml:space="preserve">VII. Conclusion</w:t>
      </w:r>
    </w:p>
    <w:p>
      <w:pPr/>
      <w:r>
        <w:t xml:space="preserve">On a linear averaged buck converter, a tuned PI controller outperforms a reference-shaped TD3 policy on every measured criterion: overshoot (0.04 % versus 9.4 %), steady-state error (0.0 % versus 5.8 %) and settling time (1.6 ms versus not settled). The shaper is needed by the learned policy but not by the PI controller, and the memoryless policy shows an offset that integral action removes by construction. The habit memory serves </w:t>
      </w:r>
      <w:r>
        <w:rPr>
          <w:b/>
        </w:rPr>
        <w:t xml:space="preserve">[TBD: hit rate, %]</w:t>
      </w:r>
      <w:r>
        <w:t xml:space="preserve"> of control steps from the cache, which reduces network evaluations by the same fraction; whether this meets a 10 kHz deadline depends on the hit rate being very close to one or on an asynchronous fallback. The architecture is therefore best viewed as a low-cost deployment path for a learned controller and as a platform for testing whether more demanding plants favor learned control, not as an improvement on PI control for this plant.</w:t>
      </w:r>
    </w:p>
    <w:p>
      <w:pPr/>
      <w:r>
        <w:t xml:space="preserve">Future work follows from the limitations: (i) have the policy output PI gains, or add integral action, to remove the offset while keeping the memory; (ii) evaluate on a switching-level model including discontinuous conduction; (iii) test line and load steps; (iv) add held-out and closed-loop memory evaluation with multiple seeds; and (v) measure timing on hardware and validate in hardware-in-the-loop.</w:t>
      </w:r>
    </w:p>
    <w:p>
      <w:pPr>
        <w:pStyle w:val="Heading2"/>
      </w:pPr>
      <w:r>
        <w:t xml:space="preserve">References</w:t>
      </w:r>
    </w:p>
    <w:p>
      <w:pPr/>
      <w:r>
        <w:rPr>
          <w:i/>
        </w:rPr>
        <w:t xml:space="preserve">All entries were written from memory and must be checked against the sources before submission; entry [4] in particular.</w:t>
      </w:r>
    </w:p>
    <w:p>
      <w:pPr/>
      <w:r>
        <w:t xml:space="preserve">[1] R. W. Erickson and D. Maksimović, </w:t>
      </w:r>
      <w:r>
        <w:rPr>
          <w:i/>
        </w:rPr>
        <w:t xml:space="preserve">Fundamentals of Power Electronics</w:t>
      </w:r>
      <w:r>
        <w:t xml:space="preserve">, 2nd ed. New York, NY, USA: Springer, 2001.</w:t>
      </w:r>
    </w:p>
    <w:p>
      <w:pPr/>
      <w:r>
        <w:t xml:space="preserve">[2] K. J. Åström and T. Hägglund, </w:t>
      </w:r>
      <w:r>
        <w:rPr>
          <w:i/>
        </w:rPr>
        <w:t xml:space="preserve">PID Controllers: Theory, Design, and Tuning</w:t>
      </w:r>
      <w:r>
        <w:t xml:space="preserve">, 2nd ed. Research Triangle Park, NC, USA: ISA, 1995.</w:t>
      </w:r>
    </w:p>
    <w:p>
      <w:pPr/>
      <w:r>
        <w:t xml:space="preserve">[3] J.-S. R. Jang, “ANFIS: Adaptive-network-based fuzzy inference system,” </w:t>
      </w:r>
      <w:r>
        <w:rPr>
          <w:i/>
        </w:rPr>
        <w:t xml:space="preserve">IEEE Trans. Syst., Man, Cybern.</w:t>
      </w:r>
      <w:r>
        <w:t xml:space="preserve">, vol. 23, no. 3, pp. 665–685, 1993.</w:t>
      </w:r>
    </w:p>
    <w:p>
      <w:pPr/>
      <w:r>
        <w:t xml:space="preserve">[4] A. Alfred, D. Czarkowski, and J. Teng, “Reinforcement learning-based control of a power electronic converter,” </w:t>
      </w:r>
      <w:r>
        <w:rPr>
          <w:i/>
        </w:rPr>
        <w:t xml:space="preserve">Mathematics</w:t>
      </w:r>
      <w:r>
        <w:t xml:space="preserve">, vol. 12, no. 5, art. 671, 2024. [verify title and authors]</w:t>
      </w:r>
    </w:p>
    <w:p>
      <w:pPr/>
      <w:r>
        <w:t xml:space="preserve">[5] T. P. Lillicrap et al., “Continuous control with deep reinforcement learning,” in </w:t>
      </w:r>
      <w:r>
        <w:rPr>
          <w:i/>
        </w:rPr>
        <w:t xml:space="preserve">Proc. Int. Conf. Learn. Represent. (ICLR)</w:t>
      </w:r>
      <w:r>
        <w:t xml:space="preserve">, 2016.</w:t>
      </w:r>
    </w:p>
    <w:p>
      <w:pPr/>
      <w:r>
        <w:t xml:space="preserve">[6] S. Fujimoto, H. van Hoof, and D. Meger, “Addressing function approximation error in actor-critic methods,” in </w:t>
      </w:r>
      <w:r>
        <w:rPr>
          <w:i/>
        </w:rPr>
        <w:t xml:space="preserve">Proc. Int. Conf. Mach. Learn. (ICML)</w:t>
      </w:r>
      <w:r>
        <w:t xml:space="preserve">, 2018, pp. 1587–1596.</w:t>
      </w:r>
    </w:p>
    <w:p>
      <w:pPr/>
      <w:r>
        <w:t xml:space="preserve">[7] R. S. Sutton and A. G. Barto, </w:t>
      </w:r>
      <w:r>
        <w:rPr>
          <w:i/>
        </w:rPr>
        <w:t xml:space="preserve">Reinforcement Learning: An Introduction</w:t>
      </w:r>
      <w:r>
        <w:t xml:space="preserve">, 2nd ed. Cambridge, MA, USA: MIT Press, 2018.</w:t>
      </w:r>
    </w:p>
    <w:p>
      <w:pPr/>
      <w:r>
        <w:t xml:space="preserve">[8] O. J. M. Smith, “Posicast control of damped oscillatory systems,” </w:t>
      </w:r>
      <w:r>
        <w:rPr>
          <w:i/>
        </w:rPr>
        <w:t xml:space="preserve">Proc. IRE</w:t>
      </w:r>
      <w:r>
        <w:t xml:space="preserve">, vol. 45, no. 9, pp. 1249–1255, 1957.</w:t>
      </w:r>
    </w:p>
    <w:p>
      <w:pPr/>
      <w:r>
        <w:t xml:space="preserve">[9] N. C. Singer and W. P. Seering, “Preshaping command inputs to reduce system vibration,” </w:t>
      </w:r>
      <w:r>
        <w:rPr>
          <w:i/>
        </w:rPr>
        <w:t xml:space="preserve">J. Dyn. Syst., Meas., Control</w:t>
      </w:r>
      <w:r>
        <w:t xml:space="preserve">, vol. 112, no. 1, pp. 76–82, 1990.</w:t>
      </w:r>
    </w:p>
    <w:p>
      <w:pPr/>
      <w:r>
        <w:t xml:space="preserve">[10] T. Blochwitz et al., “The Functional Mockup Interface for tool independent exchange of simulation models,” in </w:t>
      </w:r>
      <w:r>
        <w:rPr>
          <w:i/>
        </w:rPr>
        <w:t xml:space="preserve">Proc. 8th Int. Modelica Conf.</w:t>
      </w:r>
      <w:r>
        <w:t xml:space="preserve">, 2011.</w:t>
      </w:r>
    </w:p>
    <w:p>
      <w:pPr/>
      <w:r>
        <w:t xml:space="preserve">[11] P. Fritzson et al., “The OpenModelica integrated environment for modeling, simulation, and optimization,” </w:t>
      </w:r>
      <w:r>
        <w:rPr>
          <w:i/>
        </w:rPr>
        <w:t xml:space="preserve">Model. Identif. Control</w:t>
      </w:r>
      <w:r>
        <w:t xml:space="preserve">, vol. 41, no. 4, 2020.</w:t>
      </w:r>
    </w:p>
    <w:p>
      <w:pPr/>
      <w:r>
        <w:t xml:space="preserve">[12] M. Towers et al., “Gymnasium: A standard interface for reinforcement learning environments,” arXiv:2407.17032, 2024.</w:t>
      </w:r>
    </w:p>
    <w:p>
      <w:pPr/>
      <w:r>
        <w:t xml:space="preserve">[13] B. Jacob et al., “Quantization and training of neural networks for efficient integer-arithmetic-only inference,” in </w:t>
      </w:r>
      <w:r>
        <w:rPr>
          <w:i/>
        </w:rPr>
        <w:t xml:space="preserve">Proc. IEEE Conf. Comput. Vis. Pattern Recognit. (CVPR)</w:t>
      </w:r>
      <w:r>
        <w:t xml:space="preserve">, 2018, pp. 2704–2713.</w:t>
      </w:r>
    </w:p>
    <w:p>
      <w:pPr/>
      <w:r>
        <w:t xml:space="preserve">[14] J. G. Ziegler and N. B. Nichols, “Optimum settings for automatic controllers,” </w:t>
      </w:r>
      <w:r>
        <w:rPr>
          <w:i/>
        </w:rPr>
        <w:t xml:space="preserve">Trans. ASME</w:t>
      </w:r>
      <w:r>
        <w:t xml:space="preserve">, vol. 64, pp. 759–768, 1942.</w:t>
      </w:r>
    </w:p>
    <w:p>
      <w:pPr/>
      <w:r>
        <w:t xml:space="preserve">[15] D. Silver et al., “Deterministic policy gradient algorithms,” in </w:t>
      </w:r>
      <w:r>
        <w:rPr>
          <w:i/>
        </w:rPr>
        <w:t xml:space="preserve">Proc. Int. Conf. Mach. Learn. (ICML)</w:t>
      </w:r>
      <w:r>
        <w:t xml:space="preserve">, 2014, pp. 387–395.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Reference-Shaped Memory-Augmented Reinforcement Learning for Buck Converter Cont</dc:title>
  <dc:description>Claude Docs node/32e7a915-1f0c@1 docx-w7</dc:description>
  <cp:revision>1</cp:revision>
</cp:coreProperties>
</file>