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Versión 110: Calcula los planos que optimizan los ángulos entre la normal al panel y el sol para cada caso (año, WC, periodo)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Versión 111: Identifica cuántos planos máximos se agregaron a la lista de cosenos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Versión 112: Se puede ingresar manualmente el step de la simulación del caso WC, su duración, y los epoch startWC, start_periodWC y end_periodWC. (Definiéndolas como 0, se definen como anteriormente en función del eclipse más largo y del período).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Esta versión es compatible con la settings_v112.ini.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Version 120: Se modificó para aceptar la actitud definida con NadirPointing o con ThreeAxisKinematic.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 corrigió el gráfico de fecha vs duracion de eclipse.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Version 121: Se agregó la función “time_interval” para crear reportes.txt y graficos de los cosenos de un determinado intervalo de tiempo. Se puede elegir entre tomar los cosenos de la primera simulación o de la segunda. Estos intervalos pueden tener distintos nombres y se van guardando en la carpeta “angulos”. Posteriormente se puede analizar la potencia de ese período cambiando en settings.ini el nombre en [mision]&gt;case = “nombre del intervalo de tiempo”.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Versión 122: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Corrección de problemas en la corrida corta (1 simulación).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 de time_interval (no pisa corridas anteriores con igual nombre)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