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Öğrenci Takip Sistemi - Parametre Ekranları ve Mimari Akış</w:t>
      </w:r>
    </w:p>
    <w:p>
      <w:pPr>
        <w:pStyle w:val="Heading2"/>
      </w:pPr>
      <w:r>
        <w:t>1. Parametre Ekranları Listesi</w:t>
      </w:r>
    </w:p>
    <w:p>
      <w:r>
        <w:br/>
        <w:t>1. Kurum Ayarları</w:t>
        <w:br/>
        <w:t>2. Kademe / Program Parametreleri</w:t>
        <w:br/>
        <w:t>3. Ders &amp; Konu Parametreleri</w:t>
        <w:br/>
        <w:t>4. Öğrenci Profil Parametreleri</w:t>
        <w:br/>
        <w:t>5. Öğretmen Profil Parametreleri</w:t>
        <w:br/>
        <w:t>6. Danışman Profil Parametreleri</w:t>
        <w:br/>
        <w:t>7. Veli Parametreleri</w:t>
        <w:br/>
        <w:t>8. AGP Kategori Parametreleri</w:t>
        <w:br/>
        <w:t>9. AGP Görev Parametreleri</w:t>
        <w:br/>
        <w:t>10. AGP Hedef Tarih &amp; Durum Parametreleri</w:t>
        <w:br/>
        <w:t>11. Ödev Parametreleri</w:t>
        <w:br/>
        <w:t>12. Ölçme – Değerlendirme Parametreleri</w:t>
        <w:br/>
        <w:t>13. Rapor Şablonları</w:t>
        <w:br/>
        <w:t>14. Takvim Parametreleri</w:t>
        <w:br/>
        <w:t>15. Eşleştirme Kuralları</w:t>
        <w:br/>
        <w:t>16. Mesajlaşma / Bildirim Parametreleri</w:t>
        <w:br/>
        <w:t>17. Ödeme / Paket Parametreleri</w:t>
        <w:br/>
        <w:t>18. Log &amp; Yetki Parametreleri</w:t>
        <w:br/>
      </w:r>
    </w:p>
    <w:p>
      <w:pPr>
        <w:pStyle w:val="Heading2"/>
      </w:pPr>
      <w:r>
        <w:t>2. Mimari Akış Diyagramı</w:t>
      </w:r>
    </w:p>
    <w:p>
      <w:r>
        <w:drawing>
          <wp:inline xmlns:a="http://schemas.openxmlformats.org/drawingml/2006/main" xmlns:pic="http://schemas.openxmlformats.org/drawingml/2006/picture">
            <wp:extent cx="5486400" cy="3297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mari_akış_diagram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0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