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Algorithm Comparison</w:t>
      </w:r>
    </w:p>
    <w:p>
      <w:pPr>
        <w:jc w:val="center"/>
      </w:pPr>
      <w:r>
        <w:rPr>
          <w:b/>
          <w:color w:val="4472C4"/>
          <w:sz w:val="32"/>
        </w:rPr>
        <w:t>Complete Engineering Defense &amp; Presentation Guide</w:t>
      </w:r>
    </w:p>
    <w:p>
      <w:pPr>
        <w:jc w:val="center"/>
      </w:pPr>
      <w:r>
        <w:t>Chronological walkthrough • Spoken presentation script • Viva voce answers • Reproduction commands</w:t>
      </w:r>
    </w:p>
    <w:p/>
    <w:tbl>
      <w:tblPr>
        <w:tblW w:type="auto" w:w="0"/>
        <w:jc w:val="center"/>
        <w:tblLook w:firstColumn="1" w:firstRow="1" w:lastColumn="0" w:lastRow="0" w:noHBand="0" w:noVBand="1" w:val="04A0"/>
      </w:tblPr>
      <w:tblGrid>
        <w:gridCol w:w="9936"/>
      </w:tblGrid>
      <w:tr>
        <w:tc>
          <w:tcPr>
            <w:tcW w:type="dxa" w:w="9936"/>
            <w:shd w:fill="EAF1F8"/>
            <w:vAlign w:val="center"/>
          </w:tcPr>
          <w:p>
            <w:r>
              <w:t>Purpose: A master reference explaining the project workflow, the reasoning behind key engineering decisions, a presentation script, anticipated viva questions, and commands for reproducing the experiments.</w:t>
            </w:r>
          </w:p>
        </w:tc>
      </w:tr>
    </w:tbl>
    <w:p/>
    <w:p>
      <w:pPr>
        <w:pStyle w:val="Heading1"/>
      </w:pPr>
      <w:r>
        <w:t>Important verification note</w:t>
      </w:r>
    </w:p>
    <w:p>
      <w:r>
        <w:t>This guide organizes the supplied project notes into a polished document. Before presenting numerical results as verified facts, confirm them against the actual notebook, generated result files, and plots. In particular, verify the dataset column names, exact split sizes, class proportions, model parameters, metric values, and the claim that all preprocessing was fitted only on training data.</w:t>
      </w:r>
    </w:p>
    <w:p>
      <w:r>
        <w:t>A methodological caution: predicting smoker status using insurance charges can produce unusually high scores because charges are strongly associated with smoking. This may be valid for an exploratory comparison, but it can be target leakage or an unrealistic predictor if charges would not be available at prediction time. Explain this limitation clearly if asked.</w:t>
      </w:r>
    </w:p>
    <w:p>
      <w:pPr>
        <w:pStyle w:val="Heading1"/>
      </w:pPr>
      <w:r>
        <w:t>Contents</w:t>
      </w:r>
    </w:p>
    <w:p>
      <w:pPr>
        <w:pStyle w:val="ListBullet"/>
      </w:pPr>
      <w:r>
        <w:t>Part 1 — Chronological walkthrough: what was done and why</w:t>
      </w:r>
    </w:p>
    <w:p>
      <w:pPr>
        <w:pStyle w:val="ListBullet"/>
      </w:pPr>
      <w:r>
        <w:t>Part 2 — Step-by-step spoken presentation script</w:t>
      </w:r>
    </w:p>
    <w:p>
      <w:pPr>
        <w:pStyle w:val="ListBullet"/>
      </w:pPr>
      <w:r>
        <w:t>Part 3 — Anticipated teacher / viva voce questions and answers</w:t>
      </w:r>
    </w:p>
    <w:p>
      <w:pPr>
        <w:pStyle w:val="ListBullet"/>
      </w:pPr>
      <w:r>
        <w:t>Part 4 — Project reproduction commands</w:t>
      </w:r>
    </w:p>
    <w:p>
      <w:pPr>
        <w:pStyle w:val="ListBullet"/>
      </w:pPr>
      <w:r>
        <w:t>Final pre-viva checklist</w:t>
      </w:r>
    </w:p>
    <w:p>
      <w:r>
        <w:br w:type="page"/>
      </w:r>
    </w:p>
    <w:p>
      <w:pPr>
        <w:pStyle w:val="Heading1"/>
      </w:pPr>
      <w:r>
        <w:t>Part 1 — Chronological Walkthrough: What Was Done and Why</w:t>
      </w:r>
    </w:p>
    <w:p>
      <w:pPr>
        <w:pStyle w:val="Heading2"/>
      </w:pPr>
      <w:r>
        <w:t>1. Workspace ingestion and exploratory data inspection</w:t>
      </w:r>
    </w:p>
    <w:p>
      <w:pPr>
        <w:pStyle w:val="Heading3"/>
      </w:pPr>
      <w:r>
        <w:t>What was done</w:t>
      </w:r>
    </w:p>
    <w:p>
      <w:pPr>
        <w:pStyle w:val="ListBullet"/>
      </w:pPr>
      <w:r>
        <w:t>Located three datasets: Mall_Customers.csv, Social_Network_Ads.csv, and insurance_pre.csv.</w:t>
      </w:r>
    </w:p>
    <w:p>
      <w:pPr>
        <w:pStyle w:val="ListBullet"/>
      </w:pPr>
      <w:r>
        <w:t>Audited each dataset for missing values, duplicate records, data types, and class distributions.</w:t>
      </w:r>
    </w:p>
    <w:p>
      <w:pPr>
        <w:pStyle w:val="Heading3"/>
      </w:pPr>
      <w:r>
        <w:t>Why it was done</w:t>
      </w:r>
    </w:p>
    <w:p>
      <w:r>
        <w:t>Exploratory data analysis (EDA) helps identify data-quality problems before model training. Missing values, unexpected data types, duplicate rows, and imbalanced classes can affect preprocessing, model behavior, and evaluation.</w:t>
      </w:r>
    </w:p>
    <w:p>
      <w:r>
        <w:t>According to the supplied notes, Mall_Customers (200 rows) and Social_Network_Ads (400 rows) had no missing values or duplicate records. insurance_pre.csv (1,338 rows) had no missing values and one duplicate. Verify these counts against the actual files before the defense.</w:t>
      </w:r>
    </w:p>
    <w:p>
      <w:pPr>
        <w:pStyle w:val="Heading2"/>
      </w:pPr>
      <w:r>
        <w:t>2. Identifying identifiers and avoiding spurious patterns</w:t>
      </w:r>
    </w:p>
    <w:p>
      <w:pPr>
        <w:pStyle w:val="Heading3"/>
      </w:pPr>
      <w:r>
        <w:t>What was done</w:t>
      </w:r>
    </w:p>
    <w:p>
      <w:pPr>
        <w:pStyle w:val="ListBullet"/>
      </w:pPr>
      <w:r>
        <w:t>Dropped CustomerID from Mall_Customers.csv.</w:t>
      </w:r>
    </w:p>
    <w:p>
      <w:pPr>
        <w:pStyle w:val="ListBullet"/>
      </w:pPr>
      <w:r>
        <w:t>Dropped User ID from Social_Network_Ads.csv.</w:t>
      </w:r>
    </w:p>
    <w:p>
      <w:pPr>
        <w:pStyle w:val="Heading3"/>
      </w:pPr>
      <w:r>
        <w:t>Why it was done</w:t>
      </w:r>
    </w:p>
    <w:p>
      <w:r>
        <w:t>Identifiers usually identify a record rather than describe the underlying behavior. Including them can create accidental patterns that do not generalize to new customers or users. Removing them reduces the risk that a model learns from arbitrary row order or database indexing.</w:t>
      </w:r>
    </w:p>
    <w:p>
      <w:r>
        <w:t>Strictly speaking, an identifier is not automatically data leakage; it becomes a problem when it carries irrelevant or target-related information. The decision to remove it should be based on the meaning of the field and the intended prediction task.</w:t>
      </w:r>
    </w:p>
    <w:p>
      <w:pPr>
        <w:pStyle w:val="Heading2"/>
      </w:pPr>
      <w:r>
        <w:t>3. Feature scaling with StandardScaler</w:t>
      </w:r>
    </w:p>
    <w:p>
      <w:pPr>
        <w:pStyle w:val="Heading3"/>
      </w:pPr>
      <w:r>
        <w:t>What was done</w:t>
      </w:r>
    </w:p>
    <w:p>
      <w:r>
        <w:t>Continuous numerical features were standardized using z-scores:</w:t>
      </w:r>
    </w:p>
    <w:p>
      <w:pPr>
        <w:jc w:val="center"/>
      </w:pPr>
      <w:r>
        <w:rPr>
          <w:b/>
          <w:sz w:val="28"/>
        </w:rPr>
        <w:t>z = (x − μ) / σ</w:t>
      </w:r>
    </w:p>
    <w:p>
      <w:r>
        <w:t>Here, x is an observed value, μ is the training-set mean, and σ is the training-set standard deviation.</w:t>
      </w:r>
    </w:p>
    <w:p>
      <w:pPr>
        <w:pStyle w:val="Heading3"/>
      </w:pPr>
      <w:r>
        <w:t>Why it was done</w:t>
      </w:r>
    </w:p>
    <w:p>
      <w:r>
        <w:t>Scaling puts numerical features on comparable scales. It is particularly important for algorithms that rely on distances or are sensitive to feature magnitudes, such as K-Means, KNN, SVM, and many gradient-based models.</w:t>
      </w:r>
    </w:p>
    <w:p>
      <w:r>
        <w:t>For Social_Network_Ads, Age may range roughly from 18 to 60, while EstimatedSalary may range from about 15,000 to 150,000. Without scaling, salary differences can dominate Euclidean distance. In Mall_Customers, scaling Annual Income and Spending Score prevents a feature’s numerical scale from dominating clustering.</w:t>
      </w:r>
    </w:p>
    <w:p>
      <w:r>
        <w:t>Decision trees and tree ensembles generally do not require standardization because their splits are based on thresholds within individual features.</w:t>
      </w:r>
    </w:p>
    <w:p>
      <w:pPr>
        <w:pStyle w:val="Heading2"/>
      </w:pPr>
      <w:r>
        <w:t>4. Pipeline architecture with ColumnTransformer and Pipeline</w:t>
      </w:r>
    </w:p>
    <w:p>
      <w:pPr>
        <w:pStyle w:val="Heading3"/>
      </w:pPr>
      <w:r>
        <w:t>What was done</w:t>
      </w:r>
    </w:p>
    <w:p>
      <w:r>
        <w:t>Preprocessing steps were organized using sklearn.compose.ColumnTransformer and sklearn.pipeline.Pipeline. The intended approach is to fit transformations on training data and then apply the fitted transformations to test data.</w:t>
      </w:r>
    </w:p>
    <w:p>
      <w:pPr>
        <w:pStyle w:val="Heading3"/>
      </w:pPr>
      <w:r>
        <w:t>Why it was done</w:t>
      </w:r>
    </w:p>
    <w:p>
      <w:r>
        <w:t>A pipeline makes preprocessing reproducible and reduces the risk of data leakage. If a scaler is fitted on the full dataset before splitting, the training process indirectly uses information about the test-set distribution. Fitting the scaler on X_train only avoids this specific form of leakage.</w:t>
      </w:r>
    </w:p>
    <w:p>
      <w:r>
        <w:t>Use the phrase “the pipeline is designed to prevent preprocessing leakage” only if the code actually fits the pipeline after the split and evaluates it correctly.</w:t>
      </w:r>
    </w:p>
    <w:p>
      <w:pPr>
        <w:pStyle w:val="Heading2"/>
      </w:pPr>
      <w:r>
        <w:t>5. Stratified train/test splits</w:t>
      </w:r>
    </w:p>
    <w:p>
      <w:pPr>
        <w:pStyle w:val="Heading3"/>
      </w:pPr>
      <w:r>
        <w:t>What was done</w:t>
      </w:r>
    </w:p>
    <w:p>
      <w:r>
        <w:t>The classification tasks used train_test_split with stratify=y and random_state=42, according to the supplied notes.</w:t>
      </w:r>
    </w:p>
    <w:p>
      <w:pPr>
        <w:pStyle w:val="Heading3"/>
      </w:pPr>
      <w:r>
        <w:t>Why it was done</w:t>
      </w:r>
    </w:p>
    <w:p>
      <w:r>
        <w:t>Stratification preserves approximately the same target-class proportions in the training and test partitions. This is useful when the classes are imbalanced, because a test set with too few positive examples can make metrics unstable. random_state=42 makes the split reproducible.</w:t>
      </w:r>
    </w:p>
    <w:p>
      <w:r>
        <w:t>The supplied notes report a 35.75% purchase rate for Social_Network_Ads and a 20.5% smoker rate for insurance_pre.csv. Verify both percentages from the dataset and target definition.</w:t>
      </w:r>
    </w:p>
    <w:p>
      <w:pPr>
        <w:pStyle w:val="Heading2"/>
      </w:pPr>
      <w:r>
        <w:t>6. Paradigm A — Customer segmentation (clustering)</w:t>
      </w:r>
    </w:p>
    <w:p>
      <w:pPr>
        <w:pStyle w:val="Heading3"/>
      </w:pPr>
      <w:r>
        <w:t>What was done</w:t>
      </w:r>
    </w:p>
    <w:p>
      <w:pPr>
        <w:pStyle w:val="ListBullet"/>
      </w:pPr>
      <w:r>
        <w:t>Applied K-Means, Agglomerative Hierarchical Clustering, and DBSCAN to standardized Annual Income and Spending Score.</w:t>
      </w:r>
    </w:p>
    <w:p>
      <w:pPr>
        <w:pStyle w:val="ListBullet"/>
      </w:pPr>
      <w:r>
        <w:t>Evaluated K-Means for k = 2 through 10 using inertia (the elbow method) and silhouette score.</w:t>
      </w:r>
    </w:p>
    <w:p>
      <w:pPr>
        <w:pStyle w:val="ListBullet"/>
      </w:pPr>
      <w:r>
        <w:t>Compared Agglomerative clustering using Ward, Complete, and Average linkage.</w:t>
      </w:r>
    </w:p>
    <w:p>
      <w:pPr>
        <w:pStyle w:val="ListBullet"/>
      </w:pPr>
      <w:r>
        <w:t>Tuned DBSCAN across epsilon values from 0.25 to 0.45 and min_samples values from 3 to 6.</w:t>
      </w:r>
    </w:p>
    <w:p>
      <w:pPr>
        <w:pStyle w:val="ListBullet"/>
      </w:pPr>
      <w:r>
        <w:t>Calculated Silhouette Score, Davies–Bouldin Index, and Calinski–Harabasz Score.</w:t>
      </w:r>
    </w:p>
    <w:p>
      <w:pPr>
        <w:pStyle w:val="Heading3"/>
      </w:pPr>
      <w:r>
        <w:t>Why it was done</w:t>
      </w:r>
    </w:p>
    <w:p>
      <w:r>
        <w:t>Clustering is unsupervised: it groups records based on feature similarity without using a known target label. Comparing multiple algorithms helps reveal whether the dataset contains compact groups, nested structures, or density-based clusters.</w:t>
      </w:r>
    </w:p>
    <w:p>
      <w:r>
        <w:t>According to the supplied results, K-Means with k = 5 achieved a silhouette score of 0.5547 and a Calinski–Harabasz score of 248.65. The five groups were interpreted as:</w:t>
      </w:r>
    </w:p>
    <w:p>
      <w:pPr>
        <w:pStyle w:val="ListBullet"/>
      </w:pPr>
      <w:r>
        <w:t>High income, high spending — potential VIP customers.</w:t>
      </w:r>
    </w:p>
    <w:p>
      <w:pPr>
        <w:pStyle w:val="ListBullet"/>
      </w:pPr>
      <w:r>
        <w:t>High income, low spending — affluent customers with room to grow.</w:t>
      </w:r>
    </w:p>
    <w:p>
      <w:pPr>
        <w:pStyle w:val="ListBullet"/>
      </w:pPr>
      <w:r>
        <w:t>Low income, high spending — customers who spend relatively heavily despite lower income.</w:t>
      </w:r>
    </w:p>
    <w:p>
      <w:pPr>
        <w:pStyle w:val="ListBullet"/>
      </w:pPr>
      <w:r>
        <w:t>Low income, low spending — budget-conscious customers.</w:t>
      </w:r>
    </w:p>
    <w:p>
      <w:pPr>
        <w:pStyle w:val="ListBullet"/>
      </w:pPr>
      <w:r>
        <w:t>Moderate income, moderate spending — the middle-market group.</w:t>
      </w:r>
    </w:p>
    <w:p>
      <w:r>
        <w:t>These names are business interpretations of the cluster centers, not ground-truth labels. Validate them by inspecting each cluster’s actual feature averages and counts.</w:t>
      </w:r>
    </w:p>
    <w:p>
      <w:r>
        <w:t>DBSCAN identifies dense regions and labels points that do not meet its density criteria as noise (label −1). The supplied notes report 23 noise points out of 200. A higher silhouette score on only the non-noise points is not directly comparable to a score calculated over all customers, so report both the score and the fraction of points excluded.</w:t>
      </w:r>
    </w:p>
    <w:p>
      <w:pPr>
        <w:pStyle w:val="Heading2"/>
      </w:pPr>
      <w:r>
        <w:t>7. Paradigm B — Supervised classification (Social Network Ads)</w:t>
      </w:r>
    </w:p>
    <w:p>
      <w:pPr>
        <w:pStyle w:val="Heading3"/>
      </w:pPr>
      <w:r>
        <w:t>What was done</w:t>
      </w:r>
    </w:p>
    <w:p>
      <w:r>
        <w:t>Compared six classifiers for predicting whether a user purchased a product:</w:t>
      </w:r>
    </w:p>
    <w:p>
      <w:pPr>
        <w:pStyle w:val="ListBullet"/>
      </w:pPr>
      <w:r>
        <w:t>Logistic Regression — linear probabilistic classifier.</w:t>
      </w:r>
    </w:p>
    <w:p>
      <w:pPr>
        <w:pStyle w:val="ListBullet"/>
      </w:pPr>
      <w:r>
        <w:t>K-Nearest Neighbors (KNN) — predicts using nearby training examples.</w:t>
      </w:r>
    </w:p>
    <w:p>
      <w:pPr>
        <w:pStyle w:val="ListBullet"/>
      </w:pPr>
      <w:r>
        <w:t>Decision Tree — recursively partitions feature space.</w:t>
      </w:r>
    </w:p>
    <w:p>
      <w:pPr>
        <w:pStyle w:val="ListBullet"/>
      </w:pPr>
      <w:r>
        <w:t>Random Forest — combines many decision trees using bagging and feature randomness.</w:t>
      </w:r>
    </w:p>
    <w:p>
      <w:pPr>
        <w:pStyle w:val="ListBullet"/>
      </w:pPr>
      <w:r>
        <w:t>Support Vector Machine with an RBF kernel — learns a potentially nonlinear decision boundary.</w:t>
      </w:r>
    </w:p>
    <w:p>
      <w:pPr>
        <w:pStyle w:val="ListBullet"/>
      </w:pPr>
      <w:r>
        <w:t>Gaussian Naive Bayes — probabilistic classifier using a conditional-independence assumption.</w:t>
      </w:r>
    </w:p>
    <w:p>
      <w:r>
        <w:t>Metrics included accuracy, precision, recall, F1-score, five-fold cross-validation accuracy, and ROC-AUC.</w:t>
      </w:r>
    </w:p>
    <w:p>
      <w:pPr>
        <w:pStyle w:val="Heading3"/>
      </w:pPr>
      <w:r>
        <w:t>Why it was done</w:t>
      </w:r>
    </w:p>
    <w:p>
      <w:r>
        <w:t>A multi-model comparison tests different assumptions about the decision boundary. Logistic Regression is a useful linear baseline; KNN and an RBF-kernel SVM can model nonlinear boundaries; trees and forests capture threshold-based interactions.</w:t>
      </w:r>
    </w:p>
    <w:p>
      <w:r>
        <w:t>The supplied notes report that KNN (k = 5) achieved 91.0% accuracy and an F1-score of 0.8767, while Logistic Regression achieved 81.0% accuracy. If confirmed, this suggests local or nonlinear patterns may be useful. Avoid claiming a particular shape of the decision boundary unless it is supported by a plot or analysis.</w:t>
      </w:r>
    </w:p>
    <w:p>
      <w:pPr>
        <w:pStyle w:val="Heading2"/>
      </w:pPr>
      <w:r>
        <w:t>8. Paradigm C — Boosting on the insurance dataset</w:t>
      </w:r>
    </w:p>
    <w:p>
      <w:pPr>
        <w:pStyle w:val="Heading3"/>
      </w:pPr>
      <w:r>
        <w:t>What was done</w:t>
      </w:r>
    </w:p>
    <w:p>
      <w:r>
        <w:t>The primary task was formulated as binary classification of smoker status using age, sex, BMI, children, and charges as predictors. The models compared were AdaBoost, Gradient Boosting, and XGBoost. Feature importances were extracted. Companion regression models predicted charges using AdaBoostRegressor, GradientBoostingRegressor, and XGBRegressor, evaluated with MAE, RMSE, and R².</w:t>
      </w:r>
    </w:p>
    <w:p>
      <w:pPr>
        <w:pStyle w:val="Heading3"/>
      </w:pPr>
      <w:r>
        <w:t>Why it was done</w:t>
      </w:r>
    </w:p>
    <w:p>
      <w:r>
        <w:t>Boosting combines weak learners sequentially, with later learners focusing on errors or loss gradients from the current ensemble. It can model nonlinear relationships and interactions without requiring the same feature scaling as distance-based methods.</w:t>
      </w:r>
    </w:p>
    <w:p>
      <w:r>
        <w:t>The supplied notes report Gradient Boosting results of 97.39% accuracy, F1 = 0.9369, and ROC-AUC = 0.9952. They also report that charges accounted for more than 70% of feature importance.</w:t>
      </w:r>
    </w:p>
    <w:p>
      <w:r>
        <w:rPr>
          <w:b/>
          <w:color w:val="C00000"/>
        </w:rPr>
        <w:t xml:space="preserve">Important limitation: </w:t>
      </w:r>
      <w:r>
        <w:t>charges may reveal smoking status so strongly that the model is exploiting a proxy for the target. If charges are calculated using smoking status or would not be available when a real prediction is made, this is target leakage or an unrealistic evaluation setup. For a deployment-oriented model, evaluate a version that excludes charges and clearly state when each predictor becomes available.</w:t>
      </w:r>
    </w:p>
    <w:p>
      <w:r>
        <w:br w:type="page"/>
      </w:r>
    </w:p>
    <w:p>
      <w:pPr>
        <w:pStyle w:val="Heading1"/>
      </w:pPr>
      <w:r>
        <w:t>Part 2 — Step-by-Step Spoken Presentation Script</w:t>
      </w:r>
    </w:p>
    <w:p>
      <w:pPr>
        <w:pStyle w:val="Heading2"/>
      </w:pPr>
      <w:r>
        <w:t>Slide / Screen 1 — Opening and overview (about 30 seconds)</w:t>
      </w:r>
    </w:p>
    <w:p>
      <w:pPr>
        <w:spacing w:before="60" w:after="160"/>
        <w:ind w:left="360" w:right="288"/>
      </w:pPr>
      <w:r>
        <w:rPr>
          <w:i/>
          <w:color w:val="404040"/>
        </w:rPr>
        <w:t>Good morning/afternoon, Professor. Today I am presenting my Machine Learning Algorithm Comparison project. It covers three machine-learning tasks using three datasets: unsupervised customer segmentation with the Mall Customers dataset, supervised purchase prediction with the Social Network Ads dataset, and boosting-based prediction using the insurance dataset. I will explain the preprocessing, the algorithms compared, the evaluation metrics, and the main findings.</w:t>
      </w:r>
    </w:p>
    <w:p>
      <w:pPr>
        <w:pStyle w:val="Heading2"/>
      </w:pPr>
      <w:r>
        <w:t>Slide / Screen 2 — Data preprocessing and leakage prevention (about 1 minute)</w:t>
      </w:r>
    </w:p>
    <w:p>
      <w:pPr>
        <w:spacing w:before="60" w:after="160"/>
        <w:ind w:left="360" w:right="288"/>
      </w:pPr>
      <w:r>
        <w:rPr>
          <w:i/>
          <w:color w:val="404040"/>
        </w:rPr>
        <w:t>Before training any model, I inspected the datasets for missing values, duplicates, data types, and class distributions. I removed identifier columns such as CustomerID and User ID because they identify records rather than describe customer behavior. I used StandardScaler where feature magnitudes matter, especially for distance-based algorithms such as K-Means and KNN. The preprocessing steps were organized into pipelines so that transformations could be fitted on training data and applied to test data, reducing the risk of leakage.</w:t>
      </w:r>
    </w:p>
    <w:p>
      <w:pPr>
        <w:pStyle w:val="Heading2"/>
      </w:pPr>
      <w:r>
        <w:t>Slide / Screen 3 — Customer segmentation (about 1.5 minutes)</w:t>
      </w:r>
    </w:p>
    <w:p>
      <w:pPr>
        <w:spacing w:before="60" w:after="160"/>
        <w:ind w:left="360" w:right="288"/>
      </w:pPr>
      <w:r>
        <w:rPr>
          <w:i/>
          <w:color w:val="404040"/>
        </w:rPr>
        <w:t>For the Mall Customers dataset, I compared K-Means, Agglomerative Hierarchical Clustering, and DBSCAN. I tested several K-Means cluster counts and examined both the inertia curve and silhouette score. The supplied results indicate that k = 5 was a useful choice, with a silhouette score of 0.5547. I interpreted the five groups using their income and spending patterns. DBSCAN can identify sparse points as noise, which is useful for density analysis but means some customers may not receive a cluster assignment. For a business workflow that needs a segment for every customer, K-Means may be more operationally convenient.</w:t>
      </w:r>
    </w:p>
    <w:p>
      <w:pPr>
        <w:pStyle w:val="Heading2"/>
      </w:pPr>
      <w:r>
        <w:t>Slide / Screen 4 — Social Network Ads classification (about 1.5 minutes)</w:t>
      </w:r>
    </w:p>
    <w:p>
      <w:pPr>
        <w:spacing w:before="60" w:after="160"/>
        <w:ind w:left="360" w:right="288"/>
      </w:pPr>
      <w:r>
        <w:rPr>
          <w:i/>
          <w:color w:val="404040"/>
        </w:rPr>
        <w:t>For the Social Network Ads dataset, the goal was to predict whether a user purchased a product. I compared six classifiers: Logistic Regression, KNN, Decision Tree, Random Forest, RBF-kernel SVM, and Gaussian Naive Bayes. I evaluated them using accuracy, precision, recall, F1-score, cross-validation, and ROC-AUC. The supplied results identify KNN as the top model, with 91% accuracy and an F1-score of 0.8767. This result is consistent with KNN being able to model local patterns, although the conclusion should be confirmed against the saved results and cross-validation scores.</w:t>
      </w:r>
    </w:p>
    <w:p>
      <w:pPr>
        <w:pStyle w:val="Heading2"/>
      </w:pPr>
      <w:r>
        <w:t>Slide / Screen 5 — Insurance boosting and feature importance (about 1.5 minutes)</w:t>
      </w:r>
    </w:p>
    <w:p>
      <w:pPr>
        <w:spacing w:before="60" w:after="160"/>
        <w:ind w:left="360" w:right="288"/>
      </w:pPr>
      <w:r>
        <w:rPr>
          <w:i/>
          <w:color w:val="404040"/>
        </w:rPr>
        <w:t>For the insurance dataset, I compared AdaBoost, Gradient Boosting, and XGBoost to predict smoker status. The supplied results show Gradient Boosting achieving 97.39% accuracy, an F1-score of 0.9369, and ROC-AUC of 0.9952. The feature-importance results indicate that charges is a dominant predictor. This is an important finding, but it also raises a methodological question: charges may already encode information related to smoking. Therefore, I would also evaluate the model without charges to determine how well the remaining demographic and financial features predict smoking status.</w:t>
      </w:r>
    </w:p>
    <w:p>
      <w:pPr>
        <w:pStyle w:val="Heading2"/>
      </w:pPr>
      <w:r>
        <w:t>Slide / Screen 6 — Summary and wrap-up (about 30 seconds)</w:t>
      </w:r>
    </w:p>
    <w:p>
      <w:pPr>
        <w:spacing w:before="60" w:after="160"/>
        <w:ind w:left="360" w:right="288"/>
      </w:pPr>
      <w:r>
        <w:rPr>
          <w:i/>
          <w:color w:val="404040"/>
        </w:rPr>
        <w:t>To summarize, the supplied results select K-Means with five clusters for customer segmentation, KNN for purchase classification, and Gradient Boosting for smoker-status classification. The project compares different algorithm families and uses multiple metrics rather than relying on accuracy alone. I would also verify the reported metrics against the generated result files and clearly state the limitations of using insurance charges to predict smoker status. Thank you. I am happy to answer any questions.</w:t>
      </w:r>
    </w:p>
    <w:p>
      <w:r>
        <w:br w:type="page"/>
      </w:r>
    </w:p>
    <w:p>
      <w:pPr>
        <w:pStyle w:val="Heading1"/>
      </w:pPr>
      <w:r>
        <w:t>Part 3 — Anticipated Teacher / Viva Voce Questions and Answers</w:t>
      </w:r>
    </w:p>
    <w:p>
      <w:pPr>
        <w:pStyle w:val="Heading2"/>
      </w:pPr>
      <w:r>
        <w:t>Q1. Why did you scale features for K-Means and KNN, but does scaling matter for Decision Trees?</w:t>
      </w:r>
    </w:p>
    <w:p>
      <w:r>
        <w:t>Distance-based methods such as K-Means and KNN use distances between feature vectors. If one feature has values in the tens of thousands and another ranges only from 1 to 100, the large-scale feature can dominate the distance. Standardization gives features comparable scales. Decision Trees split one feature at a time using thresholds, so monotonic scaling generally does not change their split ordering. Tree models therefore usually do not need StandardScaler.</w:t>
      </w:r>
    </w:p>
    <w:p>
      <w:pPr>
        <w:pStyle w:val="Heading2"/>
      </w:pPr>
      <w:r>
        <w:t>Q2. How did you prevent data leakage?</w:t>
      </w:r>
    </w:p>
    <w:p>
      <w:r>
        <w:t>The intended approach is to split the data first and fit preprocessing only on the training partition. A Pipeline ensures that each transformation is fitted on training data during model fitting and then applied to validation or test data. I also removed identifier columns that could create spurious patterns. I would verify the code to ensure no preprocessing or feature selection was fitted on the full dataset before the split.</w:t>
      </w:r>
    </w:p>
    <w:p>
      <w:pPr>
        <w:pStyle w:val="Heading2"/>
      </w:pPr>
      <w:r>
        <w:t>Q3. What is the difference between Silhouette Score, Davies–Bouldin Index, and Calinski–Harabasz Score?</w:t>
      </w:r>
    </w:p>
    <w:p>
      <w:r>
        <w:t>Silhouette Score compares a point’s average distance to its own cluster with its distance to the nearest other cluster; it ranges from −1 to +1, and higher is generally better. Davies–Bouldin Index compares within-cluster scatter with between-cluster separation; lower is better. Calinski–Harabasz Score compares between-cluster dispersion with within-cluster dispersion, adjusted for degrees of freedom; higher is generally better. These metrics measure different aspects of cluster quality and should be interpreted alongside plots and domain usefulness.</w:t>
      </w:r>
    </w:p>
    <w:p>
      <w:pPr>
        <w:pStyle w:val="Heading2"/>
      </w:pPr>
      <w:r>
        <w:t>Q4. Why did DBSCAN label some customers as noise, and how did you evaluate it?</w:t>
      </w:r>
    </w:p>
    <w:p>
      <w:r>
        <w:t>DBSCAN forms clusters from dense neighborhoods. Points that are not reachable from a sufficiently dense region are labeled −1 as noise. The supplied notes report 23 noise points out of 200. Any clustering metric computed only on non-noise points must be reported with the number or percentage excluded, because its score is not directly comparable with a model evaluated on all points.</w:t>
      </w:r>
    </w:p>
    <w:p>
      <w:pPr>
        <w:pStyle w:val="Heading2"/>
      </w:pPr>
      <w:r>
        <w:t>Q5. How does AdaBoost differ from Gradient Boosting?</w:t>
      </w:r>
    </w:p>
    <w:p>
      <w:r>
        <w:t>AdaBoost adjusts sample weights so later weak learners focus more on examples that earlier learners misclassified. Gradient Boosting adds learners sequentially to reduce a chosen loss function, often by fitting negative-gradient pseudo-residuals. Both build an ensemble in stages, but their optimization mechanisms differ.</w:t>
      </w:r>
    </w:p>
    <w:p>
      <w:pPr>
        <w:pStyle w:val="Heading2"/>
      </w:pPr>
      <w:r>
        <w:t>Q6. Why might the insurance boosting models achieve over 97% accuracy on smoker status?</w:t>
      </w:r>
    </w:p>
    <w:p>
      <w:r>
        <w:t>Charges may be strongly associated with smoking, so the model can separate the classes using that feature. However, such a high score is not automatically evidence of a generally useful model. If charges incorporate smoking status or are unavailable at the time of prediction, they can create target leakage or an unrealistic prediction setup. I would compare performance with and without charges and explain the intended use case.</w:t>
      </w:r>
    </w:p>
    <w:p>
      <w:pPr>
        <w:pStyle w:val="Heading2"/>
      </w:pPr>
      <w:r>
        <w:t>Q7. Why use stratified sampling instead of a standard random split?</w:t>
      </w:r>
    </w:p>
    <w:p>
      <w:r>
        <w:t>Stratified splitting preserves approximately the same target-class proportions in the training and test partitions. This is useful when the target is imbalanced, because it reduces the chance that one partition contains too few positive examples. A fixed random_state also makes the experiment reproducible.</w:t>
      </w:r>
    </w:p>
    <w:p>
      <w:pPr>
        <w:pStyle w:val="Heading2"/>
      </w:pPr>
      <w:r>
        <w:t>Q8. What do precision, recall, F1-score, and ROC-AUC tell us?</w:t>
      </w:r>
    </w:p>
    <w:p>
      <w:r>
        <w:t>Precision is the fraction of predicted positives that are truly positive. Recall is the fraction of actual positives found by the model. F1-score is the harmonic mean of precision and recall. ROC-AUC measures how well the model ranks positive examples above negative examples across classification thresholds. Accuracy alone can be misleading when classes are imbalanced.</w:t>
      </w:r>
    </w:p>
    <w:p>
      <w:pPr>
        <w:pStyle w:val="Heading2"/>
      </w:pPr>
      <w:r>
        <w:t>Q9. Why might KNN outperform Logistic Regression?</w:t>
      </w:r>
    </w:p>
    <w:p>
      <w:r>
        <w:t>Logistic Regression with the usual feature setup learns a linear decision boundary. KNN predicts from nearby examples and can represent nonlinear local patterns. KNN may therefore perform better when the boundary is nonlinear, but it is sensitive to feature scaling, the choice of k, noise, and the distance metric. The result should be supported by validation rather than assumed in advance.</w:t>
      </w:r>
    </w:p>
    <w:p>
      <w:pPr>
        <w:pStyle w:val="Heading2"/>
      </w:pPr>
      <w:r>
        <w:t>Q10. What is the difference between bagging and boosting?</w:t>
      </w:r>
    </w:p>
    <w:p>
      <w:r>
        <w:t>Bagging trains multiple learners independently, often on bootstrap samples, and combines their predictions to reduce variance. Random Forest is a common example. Boosting trains learners sequentially, with later learners correcting errors or reducing the loss of the current ensemble. AdaBoost, Gradient Boosting, and XGBoost are boosting methods.</w:t>
      </w:r>
    </w:p>
    <w:p>
      <w:r>
        <w:br w:type="page"/>
      </w:r>
    </w:p>
    <w:p>
      <w:pPr>
        <w:pStyle w:val="Heading1"/>
      </w:pPr>
      <w:r>
        <w:t>Part 4 — Project Reproduction Commands</w:t>
      </w:r>
    </w:p>
    <w:p>
      <w:r>
        <w:t>Run these commands from the project root in a terminal where the project dependencies are installed.</w:t>
      </w:r>
    </w:p>
    <w:p>
      <w:pPr>
        <w:spacing w:before="60" w:after="160"/>
        <w:ind w:left="288"/>
        <w:shd w:fill="F2F4F7"/>
      </w:pPr>
      <w:r>
        <w:rPr>
          <w:rFonts w:ascii="Consolas" w:hAnsi="Consolas"/>
          <w:color w:val="333333"/>
          <w:sz w:val="18"/>
        </w:rPr>
        <w:t># Run the full pipeline and regenerate outputs</w:t>
        <w:br/>
        <w:t>python main.py</w:t>
        <w:br/>
        <w:br/>
        <w:t># List generated results (Windows PowerShell)</w:t>
        <w:br/>
        <w:t>Get-ChildItem results/</w:t>
        <w:br/>
        <w:br/>
        <w:t># List generated results (macOS/Linux)</w:t>
        <w:br/>
        <w:t>ls results/</w:t>
        <w:br/>
        <w:br/>
        <w:t># Launch the Jupyter notebook</w:t>
        <w:br/>
        <w:t>jupyter notebook experiments.ipynb</w:t>
      </w:r>
    </w:p>
    <w:p>
      <w:r>
        <w:t>Before the demonstration, confirm that main.py and experiments.ipynb exist, that the required libraries are installed, and that the output paths match the actual project structure.</w:t>
      </w:r>
    </w:p>
    <w:p>
      <w:pPr>
        <w:pStyle w:val="Heading1"/>
      </w:pPr>
      <w:r>
        <w:t>Final pre-viva checklist</w:t>
      </w:r>
    </w:p>
    <w:p>
      <w:pPr>
        <w:pStyle w:val="ListBullet"/>
      </w:pPr>
      <w:r>
        <w:t>Confirm all dataset row counts, column names, missing-value counts, duplicate counts, and target proportions.</w:t>
      </w:r>
    </w:p>
    <w:p>
      <w:pPr>
        <w:pStyle w:val="ListBullet"/>
      </w:pPr>
      <w:r>
        <w:t>Verify the reported model metrics directly from the saved CSV files or notebook output.</w:t>
      </w:r>
    </w:p>
    <w:p>
      <w:pPr>
        <w:pStyle w:val="ListBullet"/>
      </w:pPr>
      <w:r>
        <w:t>Confirm whether Gender was included in the Social Network Ads feature set; the dataset and model code must agree with the presentation.</w:t>
      </w:r>
    </w:p>
    <w:p>
      <w:pPr>
        <w:pStyle w:val="ListBullet"/>
      </w:pPr>
      <w:r>
        <w:t>Check that all preprocessing is fitted only on training data and that cross-validation is performed without leakage.</w:t>
      </w:r>
    </w:p>
    <w:p>
      <w:pPr>
        <w:pStyle w:val="ListBullet"/>
      </w:pPr>
      <w:r>
        <w:t>For DBSCAN, report the number of noise points and the subset used to calculate each clustering metric.</w:t>
      </w:r>
    </w:p>
    <w:p>
      <w:pPr>
        <w:pStyle w:val="ListBullet"/>
      </w:pPr>
      <w:r>
        <w:t>For insurance smoker classification, compare results with and without charges and explain whether charges would be available at prediction time.</w:t>
      </w:r>
    </w:p>
    <w:p>
      <w:pPr>
        <w:pStyle w:val="ListBullet"/>
      </w:pPr>
      <w:r>
        <w:t>Make sure the figures and files named in the spoken script actually exist in the project directory.</w:t>
      </w:r>
    </w:p>
    <w:p>
      <w:pPr>
        <w:pStyle w:val="ListBullet"/>
      </w:pPr>
      <w:r>
        <w:t>Practice explaining why each model was selected and one limitation of each experiment.</w:t>
      </w:r>
    </w:p>
    <w:p/>
    <w:p>
      <w:pPr>
        <w:jc w:val="center"/>
      </w:pPr>
      <w:r>
        <w:rPr>
          <w:i/>
          <w:color w:val="777777"/>
        </w:rPr>
        <w:t>End of guide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Engineering Defense &amp; Presentation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MACHINE LEARNING ALGORITHM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