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jc w:val="center"/>
        <w:rPr>
          <w:lang w:val="fr-FR"/>
        </w:rPr>
      </w:pPr>
      <w:r>
        <w:rPr>
          <w:b/>
          <w:color w:val="1F3A5F"/>
          <w:sz w:val="28"/>
          <w:lang w:val="fr-FR"/>
        </w:rPr>
        <w:t>BTS CIEL — Option Informatique et Réseaux</w:t>
      </w:r>
    </w:p>
    <w:p>
      <w:pPr>
        <w:pStyle w:val="Normal"/>
        <w:jc w:val="center"/>
        <w:rPr>
          <w:lang w:val="fr-FR"/>
        </w:rPr>
      </w:pPr>
      <w:r>
        <w:rPr>
          <w:i/>
          <w:sz w:val="24"/>
          <w:lang w:val="fr-FR"/>
        </w:rPr>
        <w:t>Session 2026</w:t>
      </w:r>
    </w:p>
    <w:p>
      <w:pPr>
        <w:pStyle w:val="Normal"/>
        <w:rPr>
          <w:lang w:val="fr-FR"/>
        </w:rPr>
      </w:pPr>
      <w:r>
        <w:rPr>
          <w:lang w:val="fr-FR"/>
        </w:rPr>
      </w:r>
    </w:p>
    <w:p>
      <w:pPr>
        <w:pStyle w:val="Normal"/>
        <w:rPr>
          <w:lang w:val="fr-FR"/>
        </w:rPr>
      </w:pPr>
      <w:r>
        <w:rPr>
          <w:lang w:val="fr-FR"/>
        </w:rPr>
      </w:r>
    </w:p>
    <w:p>
      <w:pPr>
        <w:pStyle w:val="Normal"/>
        <w:jc w:val="center"/>
        <w:rPr>
          <w:lang w:val="fr-FR"/>
        </w:rPr>
      </w:pPr>
      <w:r>
        <w:rPr>
          <w:b/>
          <w:color w:val="1F3A5F"/>
          <w:sz w:val="56"/>
          <w:lang w:val="fr-FR"/>
        </w:rPr>
        <w:t>Dossier de projet</w:t>
      </w:r>
    </w:p>
    <w:p>
      <w:pPr>
        <w:pStyle w:val="Normal"/>
        <w:rPr>
          <w:lang w:val="fr-FR"/>
        </w:rPr>
      </w:pPr>
      <w:r>
        <w:rPr>
          <w:lang w:val="fr-FR"/>
        </w:rPr>
      </w:r>
    </w:p>
    <w:p>
      <w:pPr>
        <w:pStyle w:val="Normal"/>
        <w:jc w:val="center"/>
        <w:rPr>
          <w:lang w:val="fr-FR"/>
        </w:rPr>
      </w:pPr>
      <w:r>
        <w:rPr>
          <w:b/>
          <w:sz w:val="32"/>
          <w:lang w:val="fr-FR"/>
        </w:rPr>
        <w:t>Estimation par intelligence artificielle</w:t>
        <w:br/>
        <w:t>du niveau de tension d'un moteur électrique</w:t>
        <w:br/>
        <w:t>à partir de signaux acoustique et vibratoire</w: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jc w:val="center"/>
        <w:rPr>
          <w:lang w:val="fr-FR"/>
        </w:rPr>
      </w:pPr>
      <w:r>
        <w:rPr>
          <w:b/>
          <w:sz w:val="26"/>
          <w:lang w:val="fr-FR"/>
        </w:rPr>
        <w:t>Équipe</w:t>
      </w:r>
    </w:p>
    <w:p>
      <w:pPr>
        <w:pStyle w:val="Normal"/>
        <w:jc w:val="center"/>
        <w:rPr>
          <w:lang w:val="fr-FR"/>
        </w:rPr>
      </w:pPr>
      <w:r>
        <w:rPr>
          <w:sz w:val="24"/>
          <w:lang w:val="fr-FR"/>
        </w:rPr>
        <w:t>Noa ORAND  •  Hugo CYPRÉ  •  Mederick  •  Ege</w: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jc w:val="center"/>
        <w:rPr>
          <w:lang w:val="fr-FR"/>
        </w:rPr>
      </w:pPr>
      <w:r>
        <w:rPr>
          <w:i/>
          <w:sz w:val="24"/>
          <w:lang w:val="fr-FR"/>
        </w:rPr>
        <w:t>Mai 2026</w:t>
      </w:r>
    </w:p>
    <w:p>
      <w:pPr>
        <w:pStyle w:val="Normal"/>
        <w:rPr>
          <w:lang w:val="fr-FR"/>
        </w:rPr>
      </w:pPr>
      <w:r>
        <w:rPr>
          <w:lang w:val="fr-FR"/>
        </w:rPr>
      </w:r>
      <w:bookmarkStart w:id="0" w:name="__RefHeading___Toc1585_857827966"/>
      <w:bookmarkStart w:id="1" w:name="__RefHeading___Toc1585_857827966"/>
      <w:bookmarkEnd w:id="1"/>
    </w:p>
    <w:p>
      <w:pPr>
        <w:pStyle w:val="Normal"/>
        <w:rPr>
          <w:i/>
        </w:rPr>
      </w:pPr>
      <w:r>
        <w:rPr>
          <w:lang w:val="fr-FR"/>
        </w:rPr>
      </w:r>
    </w:p>
    <w:sdt>
      <w:sdtPr>
        <w:docPartObj>
          <w:docPartGallery w:val="Table of Contents"/>
          <w:docPartUnique w:val="true"/>
        </w:docPartObj>
      </w:sdtPr>
      <w:sdtContent>
        <w:p>
          <w:pPr>
            <w:pStyle w:val="TOCHeading"/>
            <w:rPr/>
          </w:pPr>
          <w:r>
            <w:rPr/>
            <w:t>Sommaire</w:t>
          </w:r>
        </w:p>
        <w:p>
          <w:pPr>
            <w:pStyle w:val="TOC1"/>
            <w:tabs>
              <w:tab w:val="clear" w:pos="9072"/>
              <w:tab w:val="right" w:pos="9071" w:leader="dot"/>
            </w:tabs>
            <w:rPr/>
          </w:pPr>
          <w:r>
            <w:fldChar w:fldCharType="begin"/>
          </w:r>
          <w:r>
            <w:rPr>
              <w:rStyle w:val="Sautdindex"/>
            </w:rPr>
            <w:instrText xml:space="preserve"> TOC \f \o "1-9" \h</w:instrText>
          </w:r>
          <w:r>
            <w:rPr>
              <w:rStyle w:val="Sautdindex"/>
            </w:rPr>
            <w:fldChar w:fldCharType="separate"/>
          </w:r>
          <w:hyperlink w:anchor="__RefHeading___Toc1587_857827966" w:tooltip="1. Introduction">
            <w:r>
              <w:rPr>
                <w:rStyle w:val="Sautdindex"/>
              </w:rPr>
              <w:t>1. Introduction</w:t>
              <w:tab/>
              <w:t>5</w:t>
            </w:r>
          </w:hyperlink>
        </w:p>
        <w:p>
          <w:pPr>
            <w:pStyle w:val="TOC1"/>
            <w:tabs>
              <w:tab w:val="clear" w:pos="9072"/>
              <w:tab w:val="right" w:pos="9071" w:leader="dot"/>
            </w:tabs>
            <w:rPr/>
          </w:pPr>
          <w:hyperlink w:anchor="__RefHeading___Toc1589_857827966" w:tooltip="2. Mise en situation">
            <w:r>
              <w:rPr>
                <w:rStyle w:val="Sautdindex"/>
              </w:rPr>
              <w:t>2. Mise en situation</w:t>
              <w:tab/>
              <w:t>6</w:t>
            </w:r>
          </w:hyperlink>
        </w:p>
        <w:p>
          <w:pPr>
            <w:pStyle w:val="TOC2"/>
            <w:tabs>
              <w:tab w:val="clear" w:pos="8789"/>
              <w:tab w:val="right" w:pos="9071" w:leader="dot"/>
            </w:tabs>
            <w:rPr/>
          </w:pPr>
          <w:hyperlink w:anchor="__RefHeading___Toc1591_857827966" w:tooltip="2.1 Contexte industriel et académique">
            <w:r>
              <w:rPr>
                <w:rStyle w:val="Sautdindex"/>
              </w:rPr>
              <w:t>2.1 Contexte industriel et académique</w:t>
              <w:tab/>
              <w:t>6</w:t>
            </w:r>
          </w:hyperlink>
        </w:p>
        <w:p>
          <w:pPr>
            <w:pStyle w:val="TOC2"/>
            <w:tabs>
              <w:tab w:val="clear" w:pos="8789"/>
              <w:tab w:val="right" w:pos="9071" w:leader="dot"/>
            </w:tabs>
            <w:rPr/>
          </w:pPr>
          <w:hyperlink w:anchor="__RefHeading___Toc1593_857827966" w:tooltip="2.2 Périmètre du projet et pivot">
            <w:r>
              <w:rPr>
                <w:rStyle w:val="Sautdindex"/>
              </w:rPr>
              <w:t>2.2 Périmètre du projet et pivot</w:t>
              <w:tab/>
              <w:t>6</w:t>
            </w:r>
          </w:hyperlink>
        </w:p>
        <w:p>
          <w:pPr>
            <w:pStyle w:val="TOC2"/>
            <w:tabs>
              <w:tab w:val="clear" w:pos="8789"/>
              <w:tab w:val="right" w:pos="9071" w:leader="dot"/>
            </w:tabs>
            <w:rPr/>
          </w:pPr>
          <w:hyperlink w:anchor="__RefHeading___Toc1595_857827966" w:tooltip="2.3 Objectif fonctionnel">
            <w:r>
              <w:rPr>
                <w:rStyle w:val="Sautdindex"/>
              </w:rPr>
              <w:t>2.3 Objectif fonctionnel</w:t>
              <w:tab/>
              <w:t>6</w:t>
            </w:r>
          </w:hyperlink>
        </w:p>
        <w:p>
          <w:pPr>
            <w:pStyle w:val="TOC2"/>
            <w:tabs>
              <w:tab w:val="clear" w:pos="8789"/>
              <w:tab w:val="right" w:pos="9071" w:leader="dot"/>
            </w:tabs>
            <w:rPr/>
          </w:pPr>
          <w:hyperlink w:anchor="__RefHeading___Toc1597_857827966" w:tooltip="2.4 Analyse des besoins">
            <w:r>
              <w:rPr>
                <w:rStyle w:val="Sautdindex"/>
              </w:rPr>
              <w:t>2.4 Analyse des besoins</w:t>
              <w:tab/>
              <w:t>7</w:t>
            </w:r>
          </w:hyperlink>
        </w:p>
        <w:p>
          <w:pPr>
            <w:pStyle w:val="TOC3"/>
            <w:tabs>
              <w:tab w:val="clear" w:pos="8505"/>
              <w:tab w:val="right" w:pos="9071" w:leader="dot"/>
            </w:tabs>
            <w:rPr/>
          </w:pPr>
          <w:hyperlink w:anchor="__RefHeading___Toc1599_857827966" w:tooltip="2.4.1 Besoins fonctionnels">
            <w:r>
              <w:rPr>
                <w:rStyle w:val="Sautdindex"/>
              </w:rPr>
              <w:t>2.4.1 Besoins fonctionnels</w:t>
              <w:tab/>
              <w:t>7</w:t>
            </w:r>
          </w:hyperlink>
        </w:p>
        <w:p>
          <w:pPr>
            <w:pStyle w:val="TOC3"/>
            <w:tabs>
              <w:tab w:val="clear" w:pos="8505"/>
              <w:tab w:val="right" w:pos="9071" w:leader="dot"/>
            </w:tabs>
            <w:rPr/>
          </w:pPr>
          <w:hyperlink w:anchor="__RefHeading___Toc1601_857827966" w:tooltip="2.4.2 Besoins non fonctionnels">
            <w:r>
              <w:rPr>
                <w:rStyle w:val="Sautdindex"/>
              </w:rPr>
              <w:t>2.4.2 Besoins non fonctionnels</w:t>
              <w:tab/>
              <w:t>7</w:t>
            </w:r>
          </w:hyperlink>
        </w:p>
        <w:p>
          <w:pPr>
            <w:pStyle w:val="TOC2"/>
            <w:tabs>
              <w:tab w:val="clear" w:pos="8789"/>
              <w:tab w:val="right" w:pos="9071" w:leader="dot"/>
            </w:tabs>
            <w:rPr/>
          </w:pPr>
          <w:hyperlink w:anchor="__RefHeading___Toc1603_857827966" w:tooltip="2.5 Contraintes">
            <w:r>
              <w:rPr>
                <w:rStyle w:val="Sautdindex"/>
              </w:rPr>
              <w:t>2.5 Contraintes</w:t>
              <w:tab/>
              <w:t>8</w:t>
            </w:r>
          </w:hyperlink>
        </w:p>
        <w:p>
          <w:pPr>
            <w:pStyle w:val="TOC2"/>
            <w:tabs>
              <w:tab w:val="clear" w:pos="8789"/>
              <w:tab w:val="right" w:pos="9071" w:leader="dot"/>
            </w:tabs>
            <w:rPr/>
          </w:pPr>
          <w:hyperlink w:anchor="__RefHeading___Toc1902_857827966" w:tooltip="2.6 Diagramme de cas d’utilisations">
            <w:r>
              <w:rPr>
                <w:rStyle w:val="Sautdindex"/>
              </w:rPr>
              <w:t>2.6 Diagramme de cas d’utilisations</w:t>
              <w:tab/>
              <w:t>8</w:t>
            </w:r>
          </w:hyperlink>
        </w:p>
        <w:p>
          <w:pPr>
            <w:pStyle w:val="TOC1"/>
            <w:tabs>
              <w:tab w:val="clear" w:pos="9072"/>
              <w:tab w:val="right" w:pos="9071" w:leader="dot"/>
            </w:tabs>
            <w:rPr/>
          </w:pPr>
          <w:hyperlink w:anchor="__RefHeading___Toc1605_857827966" w:tooltip="3. Partie physique">
            <w:r>
              <w:rPr>
                <w:rStyle w:val="Sautdindex"/>
              </w:rPr>
              <w:t>3. Partie physique</w:t>
              <w:tab/>
              <w:t>9</w:t>
            </w:r>
          </w:hyperlink>
        </w:p>
        <w:p>
          <w:pPr>
            <w:pStyle w:val="TOC2"/>
            <w:tabs>
              <w:tab w:val="clear" w:pos="8789"/>
              <w:tab w:val="right" w:pos="9071" w:leader="dot"/>
            </w:tabs>
            <w:rPr/>
          </w:pPr>
          <w:hyperlink w:anchor="__RefHeading___Toc1607_857827966" w:tooltip="3.1 Description du banc d'essai">
            <w:r>
              <w:rPr>
                <w:rStyle w:val="Sautdindex"/>
              </w:rPr>
              <w:t>3.1 Description du banc d'essai</w:t>
              <w:tab/>
              <w:t>9</w:t>
            </w:r>
          </w:hyperlink>
        </w:p>
        <w:p>
          <w:pPr>
            <w:pStyle w:val="TOC2"/>
            <w:tabs>
              <w:tab w:val="clear" w:pos="8789"/>
              <w:tab w:val="right" w:pos="9071" w:leader="dot"/>
            </w:tabs>
            <w:rPr/>
          </w:pPr>
          <w:hyperlink w:anchor="__RefHeading___Toc1609_857827966" w:tooltip="3.2 Capteurs et chaîne d'acquisition">
            <w:r>
              <w:rPr>
                <w:rStyle w:val="Sautdindex"/>
              </w:rPr>
              <w:t>3.2 Capteurs et chaîne d'acquisition</w:t>
              <w:tab/>
              <w:t>9</w:t>
            </w:r>
          </w:hyperlink>
        </w:p>
        <w:p>
          <w:pPr>
            <w:pStyle w:val="TOC3"/>
            <w:tabs>
              <w:tab w:val="clear" w:pos="8505"/>
              <w:tab w:val="right" w:pos="9071" w:leader="dot"/>
            </w:tabs>
            <w:rPr/>
          </w:pPr>
          <w:hyperlink w:anchor="__RefHeading___Toc1611_857827966" w:tooltip="3.2.1 Microphone I2S">
            <w:r>
              <w:rPr>
                <w:rStyle w:val="Sautdindex"/>
              </w:rPr>
              <w:t>3.2.1 Microphone I2S</w:t>
              <w:tab/>
              <w:t>9</w:t>
            </w:r>
          </w:hyperlink>
        </w:p>
        <w:p>
          <w:pPr>
            <w:pStyle w:val="TOC3"/>
            <w:tabs>
              <w:tab w:val="clear" w:pos="8505"/>
              <w:tab w:val="right" w:pos="9071" w:leader="dot"/>
            </w:tabs>
            <w:rPr/>
          </w:pPr>
          <w:hyperlink w:anchor="__RefHeading___Toc1613_857827966" w:tooltip="3.2.2 Capteur de vibration WTVB01-BT50">
            <w:r>
              <w:rPr>
                <w:rStyle w:val="Sautdindex"/>
              </w:rPr>
              <w:t>3.2.2 Capteur de vibration WTVB01-BT50</w:t>
              <w:tab/>
              <w:t>9</w:t>
            </w:r>
          </w:hyperlink>
        </w:p>
        <w:p>
          <w:pPr>
            <w:pStyle w:val="TOC3"/>
            <w:tabs>
              <w:tab w:val="clear" w:pos="8505"/>
              <w:tab w:val="right" w:pos="9071" w:leader="dot"/>
            </w:tabs>
            <w:rPr/>
          </w:pPr>
          <w:hyperlink w:anchor="__RefHeading___Toc1615_857827966" w:tooltip="3.2.3 Microcontrôleur ESP32">
            <w:r>
              <w:rPr>
                <w:rStyle w:val="Sautdindex"/>
              </w:rPr>
              <w:t>3.2.3 Microcontrôleur ESP32</w:t>
              <w:tab/>
              <w:t>10</w:t>
            </w:r>
          </w:hyperlink>
        </w:p>
        <w:p>
          <w:pPr>
            <w:pStyle w:val="TOC2"/>
            <w:tabs>
              <w:tab w:val="clear" w:pos="8789"/>
              <w:tab w:val="right" w:pos="9071" w:leader="dot"/>
            </w:tabs>
            <w:rPr/>
          </w:pPr>
          <w:hyperlink w:anchor="__RefHeading___Toc1617_857827966" w:tooltip="3.3 Architecture globale du système">
            <w:r>
              <w:rPr>
                <w:rStyle w:val="Sautdindex"/>
              </w:rPr>
              <w:t>3.3 Architecture globale du système</w:t>
              <w:tab/>
              <w:t>10</w:t>
            </w:r>
          </w:hyperlink>
        </w:p>
        <w:p>
          <w:pPr>
            <w:pStyle w:val="TOC2"/>
            <w:tabs>
              <w:tab w:val="clear" w:pos="8789"/>
              <w:tab w:val="right" w:pos="9071" w:leader="dot"/>
            </w:tabs>
            <w:rPr/>
          </w:pPr>
          <w:hyperlink w:anchor="__RefHeading___Toc1619_857827966" w:tooltip="3.4 Plan d'expérience">
            <w:r>
              <w:rPr>
                <w:rStyle w:val="Sautdindex"/>
              </w:rPr>
              <w:t>3.4 Plan d'expérience</w:t>
              <w:tab/>
              <w:t>10</w:t>
            </w:r>
          </w:hyperlink>
        </w:p>
        <w:p>
          <w:pPr>
            <w:pStyle w:val="TOC2"/>
            <w:tabs>
              <w:tab w:val="clear" w:pos="8789"/>
              <w:tab w:val="right" w:pos="9071" w:leader="dot"/>
            </w:tabs>
            <w:rPr/>
          </w:pPr>
          <w:hyperlink w:anchor="__RefHeading___Toc1621_857827966" w:tooltip="3.5 Choix du label : niveau de tension et non puissance">
            <w:r>
              <w:rPr>
                <w:rStyle w:val="Sautdindex"/>
              </w:rPr>
              <w:t>3.5 Choix du label : niveau de tension et non puissance</w:t>
              <w:tab/>
              <w:t>11</w:t>
            </w:r>
          </w:hyperlink>
        </w:p>
        <w:p>
          <w:pPr>
            <w:pStyle w:val="TOC1"/>
            <w:tabs>
              <w:tab w:val="clear" w:pos="9072"/>
              <w:tab w:val="right" w:pos="9071" w:leader="dot"/>
            </w:tabs>
            <w:rPr/>
          </w:pPr>
          <w:hyperlink w:anchor="__RefHeading___Toc1623_857827966" w:tooltip="4. Développements unitaires et intégration">
            <w:r>
              <w:rPr>
                <w:rStyle w:val="Sautdindex"/>
              </w:rPr>
              <w:t>4. Développements unitaires et intégration</w:t>
              <w:tab/>
              <w:t>12</w:t>
            </w:r>
          </w:hyperlink>
        </w:p>
        <w:p>
          <w:pPr>
            <w:pStyle w:val="TOC1"/>
            <w:tabs>
              <w:tab w:val="clear" w:pos="9072"/>
              <w:tab w:val="right" w:pos="9071" w:leader="dot"/>
            </w:tabs>
            <w:rPr/>
          </w:pPr>
          <w:hyperlink w:anchor="__RefHeading___Toc1625_857827966" w:tooltip="4.1 Partie individuelle — Noa Orand">
            <w:r>
              <w:rPr>
                <w:rStyle w:val="Sautdindex"/>
              </w:rPr>
              <w:t>4.1 Partie individuelle — Noa Orand</w:t>
              <w:tab/>
              <w:t>13</w:t>
            </w:r>
          </w:hyperlink>
        </w:p>
        <w:p>
          <w:pPr>
            <w:pStyle w:val="TOC2"/>
            <w:tabs>
              <w:tab w:val="clear" w:pos="8789"/>
              <w:tab w:val="right" w:pos="9071" w:leader="dot"/>
            </w:tabs>
            <w:rPr/>
          </w:pPr>
          <w:hyperlink w:anchor="__RefHeading___Toc1627_857827966" w:tooltip="4.1.1 Pipeline d'acquisition logicielle">
            <w:r>
              <w:rPr>
                <w:rStyle w:val="Sautdindex"/>
              </w:rPr>
              <w:t>4.1.1 Pipeline d'acquisition logicielle</w:t>
              <w:tab/>
              <w:t>13</w:t>
            </w:r>
          </w:hyperlink>
        </w:p>
        <w:p>
          <w:pPr>
            <w:pStyle w:val="TOC3"/>
            <w:tabs>
              <w:tab w:val="clear" w:pos="8505"/>
              <w:tab w:val="right" w:pos="9071" w:leader="dot"/>
            </w:tabs>
            <w:rPr/>
          </w:pPr>
          <w:hyperlink w:anchor="__RefHeading___Toc1629_857827966" w:tooltip="4.1.1.1 Serveur TCP de métadonnées">
            <w:r>
              <w:rPr>
                <w:rStyle w:val="Sautdindex"/>
              </w:rPr>
              <w:t>4.1.1.1 Serveur TCP de métadonnées</w:t>
              <w:tab/>
              <w:t>13</w:t>
            </w:r>
          </w:hyperlink>
        </w:p>
        <w:p>
          <w:pPr>
            <w:pStyle w:val="TOC3"/>
            <w:tabs>
              <w:tab w:val="clear" w:pos="8505"/>
              <w:tab w:val="right" w:pos="9071" w:leader="dot"/>
            </w:tabs>
            <w:rPr/>
          </w:pPr>
          <w:hyperlink w:anchor="__RefHeading___Toc1631_857827966" w:tooltip="4.1.1.2 Client UDP de données capteurs">
            <w:r>
              <w:rPr>
                <w:rStyle w:val="Sautdindex"/>
              </w:rPr>
              <w:t>4.1.1.2 Client UDP de données capteurs</w:t>
              <w:tab/>
              <w:t>13</w:t>
            </w:r>
          </w:hyperlink>
        </w:p>
        <w:p>
          <w:pPr>
            <w:pStyle w:val="TOC3"/>
            <w:tabs>
              <w:tab w:val="clear" w:pos="8505"/>
              <w:tab w:val="right" w:pos="9071" w:leader="dot"/>
            </w:tabs>
            <w:rPr/>
          </w:pPr>
          <w:hyperlink w:anchor="__RefHeading___Toc1633_857827966" w:tooltip="4.1.1.3 Format du fichier maître metadata_captures_moteur.csv">
            <w:r>
              <w:rPr>
                <w:rStyle w:val="Sautdindex"/>
              </w:rPr>
              <w:t>4.1.1.3 Format du fichier maître metadata_captures_moteur.csv</w:t>
              <w:tab/>
              <w:t>14</w:t>
            </w:r>
          </w:hyperlink>
        </w:p>
        <w:p>
          <w:pPr>
            <w:pStyle w:val="TOC2"/>
            <w:tabs>
              <w:tab w:val="clear" w:pos="8789"/>
              <w:tab w:val="right" w:pos="9071" w:leader="dot"/>
            </w:tabs>
            <w:rPr/>
          </w:pPr>
          <w:hyperlink w:anchor="__RefHeading___Toc1635_857827966" w:tooltip="4.1.2 Modèle d'intelligence artificielle — architecture double branche">
            <w:r>
              <w:rPr>
                <w:rStyle w:val="Sautdindex"/>
              </w:rPr>
              <w:t>4.1.2 Modèle d'intelligence artificielle — architecture double branche</w:t>
              <w:tab/>
              <w:t>15</w:t>
            </w:r>
          </w:hyperlink>
        </w:p>
        <w:p>
          <w:pPr>
            <w:pStyle w:val="TOC3"/>
            <w:tabs>
              <w:tab w:val="clear" w:pos="8505"/>
              <w:tab w:val="right" w:pos="9071" w:leader="dot"/>
            </w:tabs>
            <w:rPr/>
          </w:pPr>
          <w:hyperlink w:anchor="__RefHeading___Toc1637_857827966" w:tooltip="4.1.2.1 Justification de l'architecture double branche">
            <w:r>
              <w:rPr>
                <w:rStyle w:val="Sautdindex"/>
              </w:rPr>
              <w:t>4.1.2.1 Justification de l'architecture double branche</w:t>
              <w:tab/>
              <w:t>15</w:t>
            </w:r>
          </w:hyperlink>
        </w:p>
        <w:p>
          <w:pPr>
            <w:pStyle w:val="TOC3"/>
            <w:tabs>
              <w:tab w:val="clear" w:pos="8505"/>
              <w:tab w:val="right" w:pos="9071" w:leader="dot"/>
            </w:tabs>
            <w:rPr/>
          </w:pPr>
          <w:hyperlink w:anchor="__RefHeading___Toc1639_857827966" w:tooltip="4.1.2.2 Représentation des signaux : mel-spectrogrammes">
            <w:r>
              <w:rPr>
                <w:rStyle w:val="Sautdindex"/>
              </w:rPr>
              <w:t>4.1.2.2 Représentation des signaux : mel-spectrogrammes</w:t>
              <w:tab/>
              <w:t>15</w:t>
            </w:r>
          </w:hyperlink>
        </w:p>
        <w:p>
          <w:pPr>
            <w:pStyle w:val="TOC3"/>
            <w:tabs>
              <w:tab w:val="clear" w:pos="8505"/>
              <w:tab w:val="right" w:pos="9071" w:leader="dot"/>
            </w:tabs>
            <w:rPr/>
          </w:pPr>
          <w:hyperlink w:anchor="__RefHeading___Toc1641_857827966" w:tooltip="4.1.2.3 Augmentations d'entraînement et anti-fuite">
            <w:r>
              <w:rPr>
                <w:rStyle w:val="Sautdindex"/>
              </w:rPr>
              <w:t>4.1.2.3 Augmentations d'entraînement et anti-fuite</w:t>
              <w:tab/>
              <w:t>15</w:t>
            </w:r>
          </w:hyperlink>
        </w:p>
        <w:p>
          <w:pPr>
            <w:pStyle w:val="TOC3"/>
            <w:tabs>
              <w:tab w:val="clear" w:pos="8505"/>
              <w:tab w:val="right" w:pos="9071" w:leader="dot"/>
            </w:tabs>
            <w:rPr/>
          </w:pPr>
          <w:hyperlink w:anchor="__RefHeading___Toc1643_857827966" w:tooltip="4.1.2.4 Architecture du réseau">
            <w:r>
              <w:rPr>
                <w:rStyle w:val="Sautdindex"/>
              </w:rPr>
              <w:t>4.1.2.4 Architecture du réseau</w:t>
              <w:tab/>
              <w:t>16</w:t>
            </w:r>
          </w:hyperlink>
        </w:p>
        <w:p>
          <w:pPr>
            <w:pStyle w:val="TOC3"/>
            <w:tabs>
              <w:tab w:val="clear" w:pos="8505"/>
              <w:tab w:val="right" w:pos="9071" w:leader="dot"/>
            </w:tabs>
            <w:rPr/>
          </w:pPr>
          <w:hyperlink w:anchor="__RefHeading___Toc1645_857827966" w:tooltip="4.1.2.5 Décision d'ingénierie Option A — utilisation de l'axe Z seul">
            <w:r>
              <w:rPr>
                <w:rStyle w:val="Sautdindex"/>
              </w:rPr>
              <w:t>4.1.2.5 Décision d'ingénierie Option A — utilisation de l'axe Z seul</w:t>
              <w:tab/>
              <w:t>16</w:t>
            </w:r>
          </w:hyperlink>
        </w:p>
        <w:p>
          <w:pPr>
            <w:pStyle w:val="TOC2"/>
            <w:tabs>
              <w:tab w:val="clear" w:pos="8789"/>
              <w:tab w:val="right" w:pos="9071" w:leader="dot"/>
            </w:tabs>
            <w:rPr/>
          </w:pPr>
          <w:hyperlink w:anchor="__RefHeading___Toc1647_857827966" w:tooltip="4.1.3 Fiches de recette unitaires">
            <w:r>
              <w:rPr>
                <w:rStyle w:val="Sautdindex"/>
              </w:rPr>
              <w:t>4.1.3 Fiches de recette unitaires</w:t>
              <w:tab/>
              <w:t>17</w:t>
            </w:r>
          </w:hyperlink>
        </w:p>
        <w:p>
          <w:pPr>
            <w:pStyle w:val="TOC3"/>
            <w:tabs>
              <w:tab w:val="clear" w:pos="8505"/>
              <w:tab w:val="right" w:pos="9071" w:leader="dot"/>
            </w:tabs>
            <w:rPr/>
          </w:pPr>
          <w:hyperlink w:anchor="__RefHeading___Toc1649_857827966" w:tooltip="Recette unitaire U1 — Serveur TCP de métadonnées">
            <w:r>
              <w:rPr>
                <w:rStyle w:val="Sautdindex"/>
              </w:rPr>
              <w:t>Recette unitaire U1 — Serveur TCP de métadonnées</w:t>
              <w:tab/>
              <w:t>17</w:t>
            </w:r>
          </w:hyperlink>
        </w:p>
        <w:p>
          <w:pPr>
            <w:pStyle w:val="TOC3"/>
            <w:tabs>
              <w:tab w:val="clear" w:pos="8505"/>
              <w:tab w:val="right" w:pos="9071" w:leader="dot"/>
            </w:tabs>
            <w:rPr/>
          </w:pPr>
          <w:hyperlink w:anchor="__RefHeading___Toc1651_857827966" w:tooltip="Recette unitaire U2 — Client UDP de données capteurs">
            <w:r>
              <w:rPr>
                <w:rStyle w:val="Sautdindex"/>
              </w:rPr>
              <w:t>Recette unitaire U2 — Client UDP de données capteurs</w:t>
              <w:tab/>
              <w:t>17</w:t>
            </w:r>
          </w:hyperlink>
        </w:p>
        <w:p>
          <w:pPr>
            <w:pStyle w:val="TOC3"/>
            <w:tabs>
              <w:tab w:val="clear" w:pos="8505"/>
              <w:tab w:val="right" w:pos="9071" w:leader="dot"/>
            </w:tabs>
            <w:rPr/>
          </w:pPr>
          <w:hyperlink w:anchor="__RefHeading___Toc1653_857827966" w:tooltip="Recette unitaire U3 — Chargement du dataset par charger_sessions()">
            <w:r>
              <w:rPr>
                <w:rStyle w:val="Sautdindex"/>
              </w:rPr>
              <w:t>Recette unitaire U3 — Chargement du dataset par charger_sessions()</w:t>
              <w:tab/>
              <w:t>18</w:t>
            </w:r>
          </w:hyperlink>
        </w:p>
        <w:p>
          <w:pPr>
            <w:pStyle w:val="TOC3"/>
            <w:tabs>
              <w:tab w:val="clear" w:pos="8505"/>
              <w:tab w:val="right" w:pos="9071" w:leader="dot"/>
            </w:tabs>
            <w:rPr/>
          </w:pPr>
          <w:hyperlink w:anchor="__RefHeading___Toc1655_857827966" w:tooltip="Recette unitaire U4 — Augmentations d'entraînement">
            <w:r>
              <w:rPr>
                <w:rStyle w:val="Sautdindex"/>
              </w:rPr>
              <w:t>Recette unitaire U4 — Augmentations d'entraînement</w:t>
              <w:tab/>
              <w:t>18</w:t>
            </w:r>
          </w:hyperlink>
        </w:p>
        <w:p>
          <w:pPr>
            <w:pStyle w:val="TOC3"/>
            <w:tabs>
              <w:tab w:val="clear" w:pos="8505"/>
              <w:tab w:val="right" w:pos="9071" w:leader="dot"/>
            </w:tabs>
            <w:rPr/>
          </w:pPr>
          <w:hyperlink w:anchor="__RefHeading___Toc1657_857827966" w:tooltip="Recette unitaire U5 — Entraînement court du modèle">
            <w:r>
              <w:rPr>
                <w:rStyle w:val="Sautdindex"/>
              </w:rPr>
              <w:t>Recette unitaire U5 — Entraînement court du modèle</w:t>
              <w:tab/>
              <w:t>19</w:t>
            </w:r>
          </w:hyperlink>
        </w:p>
        <w:p>
          <w:pPr>
            <w:pStyle w:val="TOC2"/>
            <w:tabs>
              <w:tab w:val="clear" w:pos="8789"/>
              <w:tab w:val="right" w:pos="9071" w:leader="dot"/>
            </w:tabs>
            <w:rPr/>
          </w:pPr>
          <w:hyperlink w:anchor="__RefHeading___Toc1659_857827966" w:tooltip="4.1.4 Recette d'intégration validée">
            <w:r>
              <w:rPr>
                <w:rStyle w:val="Sautdindex"/>
              </w:rPr>
              <w:t>4.1.4 Recette d'intégration validée</w:t>
              <w:tab/>
              <w:t>19</w:t>
            </w:r>
          </w:hyperlink>
        </w:p>
        <w:p>
          <w:pPr>
            <w:pStyle w:val="TOC2"/>
            <w:tabs>
              <w:tab w:val="clear" w:pos="8789"/>
              <w:tab w:val="right" w:pos="9071" w:leader="dot"/>
            </w:tabs>
            <w:rPr/>
          </w:pPr>
          <w:hyperlink w:anchor="__RefHeading___Toc1661_857827966" w:tooltip="4.1.5 Difficultés rencontrées et résolutions">
            <w:r>
              <w:rPr>
                <w:rStyle w:val="Sautdindex"/>
              </w:rPr>
              <w:t>4.1.5 Difficultés rencontrées et résolutions</w:t>
              <w:tab/>
              <w:t>20</w:t>
            </w:r>
          </w:hyperlink>
        </w:p>
        <w:p>
          <w:pPr>
            <w:pStyle w:val="TOC3"/>
            <w:tabs>
              <w:tab w:val="clear" w:pos="8505"/>
              <w:tab w:val="right" w:pos="9071" w:leader="dot"/>
            </w:tabs>
            <w:rPr/>
          </w:pPr>
          <w:hyperlink w:anchor="__RefHeading___Toc1663_857827966" w:tooltip="Difficulté A — Fréquence d'échantillonnage son sous-nominale">
            <w:r>
              <w:rPr>
                <w:rStyle w:val="Sautdindex"/>
              </w:rPr>
              <w:t>Difficulté A — Fréquence d'échantillonnage son sous-nominale</w:t>
              <w:tab/>
              <w:t>20</w:t>
            </w:r>
          </w:hyperlink>
        </w:p>
        <w:p>
          <w:pPr>
            <w:pStyle w:val="TOC3"/>
            <w:tabs>
              <w:tab w:val="clear" w:pos="8505"/>
              <w:tab w:val="right" w:pos="9071" w:leader="dot"/>
            </w:tabs>
            <w:rPr/>
          </w:pPr>
          <w:hyperlink w:anchor="__RefHeading___Toc1665_857827966" w:tooltip="Difficulté B — Axes vibratoires X et Y bloqués">
            <w:r>
              <w:rPr>
                <w:rStyle w:val="Sautdindex"/>
              </w:rPr>
              <w:t>Difficulté B — Axes vibratoires X et Y bloqués</w:t>
              <w:tab/>
              <w:t>20</w:t>
            </w:r>
          </w:hyperlink>
        </w:p>
        <w:p>
          <w:pPr>
            <w:pStyle w:val="TOC1"/>
            <w:tabs>
              <w:tab w:val="clear" w:pos="9072"/>
              <w:tab w:val="right" w:pos="9071" w:leader="dot"/>
            </w:tabs>
            <w:rPr/>
          </w:pPr>
          <w:hyperlink w:anchor="__RefHeading___Toc1667_857827966" w:tooltip="4.2 Partie individuelle — Hugo Cypré">
            <w:r>
              <w:rPr>
                <w:rStyle w:val="Sautdindex"/>
              </w:rPr>
              <w:t>4.2 Partie individuelle — Hugo Cypré</w:t>
              <w:tab/>
              <w:t>21</w:t>
            </w:r>
          </w:hyperlink>
        </w:p>
        <w:p>
          <w:pPr>
            <w:pStyle w:val="TOC2"/>
            <w:tabs>
              <w:tab w:val="clear" w:pos="8789"/>
              <w:tab w:val="right" w:pos="9071" w:leader="dot"/>
            </w:tabs>
            <w:rPr/>
          </w:pPr>
          <w:hyperlink w:anchor="__RefHeading___Toc1669_857827966" w:tooltip="4.2.1 Présentation de ma contribution">
            <w:r>
              <w:rPr>
                <w:rStyle w:val="Sautdindex"/>
              </w:rPr>
              <w:t>4.2.1 Présentation de ma contribution</w:t>
              <w:tab/>
              <w:t>21</w:t>
            </w:r>
          </w:hyperlink>
        </w:p>
        <w:p>
          <w:pPr>
            <w:pStyle w:val="TOC2"/>
            <w:tabs>
              <w:tab w:val="clear" w:pos="8789"/>
              <w:tab w:val="right" w:pos="9071" w:leader="dot"/>
            </w:tabs>
            <w:rPr/>
          </w:pPr>
          <w:hyperlink w:anchor="__RefHeading___Toc1671_857827966" w:tooltip="4.2.2 Développements unitaires">
            <w:r>
              <w:rPr>
                <w:rStyle w:val="Sautdindex"/>
              </w:rPr>
              <w:t>4.2.2 Développements unitaires</w:t>
              <w:tab/>
              <w:t>21</w:t>
            </w:r>
          </w:hyperlink>
        </w:p>
        <w:p>
          <w:pPr>
            <w:pStyle w:val="TOC3"/>
            <w:tabs>
              <w:tab w:val="clear" w:pos="8505"/>
              <w:tab w:val="right" w:pos="9071" w:leader="dot"/>
            </w:tabs>
            <w:rPr/>
          </w:pPr>
          <w:hyperlink w:anchor="__RefHeading___Toc1673_857827966" w:tooltip="4.2.2.1 IHM Qt — fenêtre principale et saisie des métadonnées">
            <w:r>
              <w:rPr>
                <w:rStyle w:val="Sautdindex"/>
              </w:rPr>
              <w:t>4.2.2.1 IHM Qt — fenêtre principale et saisie des métadonnées</w:t>
              <w:tab/>
              <w:t>21</w:t>
            </w:r>
          </w:hyperlink>
        </w:p>
        <w:p>
          <w:pPr>
            <w:pStyle w:val="TOC3"/>
            <w:tabs>
              <w:tab w:val="clear" w:pos="8505"/>
              <w:tab w:val="right" w:pos="9071" w:leader="dot"/>
            </w:tabs>
            <w:rPr/>
          </w:pPr>
          <w:hyperlink w:anchor="__RefHeading___Toc1675_857827966" w:tooltip="4.2.2.2 Couche réseau de l'IHM">
            <w:r>
              <w:rPr>
                <w:rStyle w:val="Sautdindex"/>
              </w:rPr>
              <w:t>4.2.2.2 Couche réseau de l'IHM</w:t>
              <w:tab/>
              <w:t>21</w:t>
            </w:r>
          </w:hyperlink>
        </w:p>
        <w:p>
          <w:pPr>
            <w:pStyle w:val="TOC3"/>
            <w:tabs>
              <w:tab w:val="clear" w:pos="8505"/>
              <w:tab w:val="right" w:pos="9071" w:leader="dot"/>
            </w:tabs>
            <w:rPr/>
          </w:pPr>
          <w:hyperlink w:anchor="__RefHeading___Toc1677_857827966" w:tooltip="4.2.2.3 Pilotage de l'ESP32 et synchronisation">
            <w:r>
              <w:rPr>
                <w:rStyle w:val="Sautdindex"/>
              </w:rPr>
              <w:t>4.2.2.3 Pilotage de l'ESP32 et synchronisation</w:t>
              <w:tab/>
              <w:t>21</w:t>
            </w:r>
          </w:hyperlink>
        </w:p>
        <w:p>
          <w:pPr>
            <w:pStyle w:val="TOC2"/>
            <w:tabs>
              <w:tab w:val="clear" w:pos="8789"/>
              <w:tab w:val="right" w:pos="9071" w:leader="dot"/>
            </w:tabs>
            <w:rPr/>
          </w:pPr>
          <w:hyperlink w:anchor="__RefHeading___Toc1679_857827966" w:tooltip="4.2.3 Fiches de recette unitaires">
            <w:r>
              <w:rPr>
                <w:rStyle w:val="Sautdindex"/>
              </w:rPr>
              <w:t>4.2.3 Fiches de recette unitaires</w:t>
              <w:tab/>
              <w:t>21</w:t>
            </w:r>
          </w:hyperlink>
        </w:p>
        <w:p>
          <w:pPr>
            <w:pStyle w:val="TOC2"/>
            <w:tabs>
              <w:tab w:val="clear" w:pos="8789"/>
              <w:tab w:val="right" w:pos="9071" w:leader="dot"/>
            </w:tabs>
            <w:rPr/>
          </w:pPr>
          <w:hyperlink w:anchor="__RefHeading___Toc1681_857827966" w:tooltip="4.2.4 Recette d'intégration validée">
            <w:r>
              <w:rPr>
                <w:rStyle w:val="Sautdindex"/>
              </w:rPr>
              <w:t>4.2.4 Recette d'intégration validée</w:t>
              <w:tab/>
              <w:t>21</w:t>
            </w:r>
          </w:hyperlink>
        </w:p>
        <w:p>
          <w:pPr>
            <w:pStyle w:val="TOC2"/>
            <w:tabs>
              <w:tab w:val="clear" w:pos="8789"/>
              <w:tab w:val="right" w:pos="9071" w:leader="dot"/>
            </w:tabs>
            <w:rPr/>
          </w:pPr>
          <w:hyperlink w:anchor="__RefHeading___Toc1683_857827966" w:tooltip="4.2.5 Difficultés rencontrées">
            <w:r>
              <w:rPr>
                <w:rStyle w:val="Sautdindex"/>
              </w:rPr>
              <w:t>4.2.5 Difficultés rencontrées</w:t>
              <w:tab/>
              <w:t>22</w:t>
            </w:r>
          </w:hyperlink>
        </w:p>
        <w:p>
          <w:pPr>
            <w:pStyle w:val="TOC1"/>
            <w:tabs>
              <w:tab w:val="clear" w:pos="9072"/>
              <w:tab w:val="right" w:pos="9071" w:leader="dot"/>
            </w:tabs>
            <w:rPr/>
          </w:pPr>
          <w:hyperlink w:anchor="__RefHeading___Toc1685_857827966" w:tooltip="4.3 Partie individuelle — Mederick">
            <w:r>
              <w:rPr>
                <w:rStyle w:val="Sautdindex"/>
              </w:rPr>
              <w:t>4.3 Partie individuelle — Mederick</w:t>
              <w:tab/>
              <w:t>23</w:t>
            </w:r>
          </w:hyperlink>
        </w:p>
        <w:p>
          <w:pPr>
            <w:pStyle w:val="TOC2"/>
            <w:tabs>
              <w:tab w:val="clear" w:pos="8789"/>
              <w:tab w:val="right" w:pos="9071" w:leader="dot"/>
            </w:tabs>
            <w:rPr/>
          </w:pPr>
          <w:hyperlink w:anchor="__RefHeading___Toc1687_857827966" w:tooltip="4.3.1 Présentation de ma contribution">
            <w:r>
              <w:rPr>
                <w:rStyle w:val="Sautdindex"/>
              </w:rPr>
              <w:t>4.3.1 Présentation de ma contribution</w:t>
              <w:tab/>
              <w:t>23</w:t>
            </w:r>
          </w:hyperlink>
        </w:p>
        <w:p>
          <w:pPr>
            <w:pStyle w:val="TOC2"/>
            <w:tabs>
              <w:tab w:val="clear" w:pos="8789"/>
              <w:tab w:val="right" w:pos="9071" w:leader="dot"/>
            </w:tabs>
            <w:rPr/>
          </w:pPr>
          <w:hyperlink w:anchor="__RefHeading___Toc1689_857827966" w:tooltip="4.3.2 Développements unitaires">
            <w:r>
              <w:rPr>
                <w:rStyle w:val="Sautdindex"/>
              </w:rPr>
              <w:t>4.3.2 Développements unitaires</w:t>
              <w:tab/>
              <w:t>23</w:t>
            </w:r>
          </w:hyperlink>
        </w:p>
        <w:p>
          <w:pPr>
            <w:pStyle w:val="TOC3"/>
            <w:tabs>
              <w:tab w:val="clear" w:pos="8505"/>
              <w:tab w:val="right" w:pos="9071" w:leader="dot"/>
            </w:tabs>
            <w:rPr/>
          </w:pPr>
          <w:hyperlink w:anchor="__RefHeading___Toc1691_857827966" w:tooltip="4.3.2.1 [Premier sous-livrable]">
            <w:r>
              <w:rPr>
                <w:rStyle w:val="Sautdindex"/>
              </w:rPr>
              <w:t>4.3.2.1 [Premier sous-livrable]</w:t>
              <w:tab/>
              <w:t>23</w:t>
            </w:r>
          </w:hyperlink>
        </w:p>
        <w:p>
          <w:pPr>
            <w:pStyle w:val="TOC3"/>
            <w:tabs>
              <w:tab w:val="clear" w:pos="8505"/>
              <w:tab w:val="right" w:pos="9071" w:leader="dot"/>
            </w:tabs>
            <w:rPr/>
          </w:pPr>
          <w:hyperlink w:anchor="__RefHeading___Toc1693_857827966" w:tooltip="4.3.2.2 [Deuxième sous-livrable]">
            <w:r>
              <w:rPr>
                <w:rStyle w:val="Sautdindex"/>
              </w:rPr>
              <w:t>4.3.2.2 [Deuxième sous-livrable]</w:t>
              <w:tab/>
              <w:t>23</w:t>
            </w:r>
          </w:hyperlink>
        </w:p>
        <w:p>
          <w:pPr>
            <w:pStyle w:val="TOC2"/>
            <w:tabs>
              <w:tab w:val="clear" w:pos="8789"/>
              <w:tab w:val="right" w:pos="9071" w:leader="dot"/>
            </w:tabs>
            <w:rPr/>
          </w:pPr>
          <w:hyperlink w:anchor="__RefHeading___Toc1695_857827966" w:tooltip="4.3.3 Fiches de recette unitaires">
            <w:r>
              <w:rPr>
                <w:rStyle w:val="Sautdindex"/>
              </w:rPr>
              <w:t>4.3.3 Fiches de recette unitaires</w:t>
              <w:tab/>
              <w:t>23</w:t>
            </w:r>
          </w:hyperlink>
        </w:p>
        <w:p>
          <w:pPr>
            <w:pStyle w:val="TOC2"/>
            <w:tabs>
              <w:tab w:val="clear" w:pos="8789"/>
              <w:tab w:val="right" w:pos="9071" w:leader="dot"/>
            </w:tabs>
            <w:rPr/>
          </w:pPr>
          <w:hyperlink w:anchor="__RefHeading___Toc1697_857827966" w:tooltip="4.3.4 Recette d'intégration validée">
            <w:r>
              <w:rPr>
                <w:rStyle w:val="Sautdindex"/>
              </w:rPr>
              <w:t>4.3.4 Recette d'intégration validée</w:t>
              <w:tab/>
              <w:t>23</w:t>
            </w:r>
          </w:hyperlink>
        </w:p>
        <w:p>
          <w:pPr>
            <w:pStyle w:val="TOC2"/>
            <w:tabs>
              <w:tab w:val="clear" w:pos="8789"/>
              <w:tab w:val="right" w:pos="9071" w:leader="dot"/>
            </w:tabs>
            <w:rPr/>
          </w:pPr>
          <w:hyperlink w:anchor="__RefHeading___Toc1699_857827966" w:tooltip="4.3.5 Difficultés rencontrées">
            <w:r>
              <w:rPr>
                <w:rStyle w:val="Sautdindex"/>
              </w:rPr>
              <w:t>4.3.5 Difficultés rencontrées</w:t>
              <w:tab/>
              <w:t>23</w:t>
            </w:r>
          </w:hyperlink>
        </w:p>
        <w:p>
          <w:pPr>
            <w:pStyle w:val="TOC1"/>
            <w:tabs>
              <w:tab w:val="clear" w:pos="9072"/>
              <w:tab w:val="right" w:pos="9071" w:leader="dot"/>
            </w:tabs>
            <w:rPr/>
          </w:pPr>
          <w:hyperlink w:anchor="__RefHeading___Toc1701_857827966" w:tooltip="4.4 Partie individuelle — Ege">
            <w:r>
              <w:rPr>
                <w:rStyle w:val="Sautdindex"/>
              </w:rPr>
              <w:t>4.4 Partie individuelle — Ege</w:t>
              <w:tab/>
              <w:t>24</w:t>
            </w:r>
          </w:hyperlink>
        </w:p>
        <w:p>
          <w:pPr>
            <w:pStyle w:val="TOC2"/>
            <w:tabs>
              <w:tab w:val="clear" w:pos="8789"/>
              <w:tab w:val="right" w:pos="9071" w:leader="dot"/>
            </w:tabs>
            <w:rPr/>
          </w:pPr>
          <w:hyperlink w:anchor="__RefHeading___Toc1703_857827966" w:tooltip="4.4.1 Présentation de ma contribution">
            <w:r>
              <w:rPr>
                <w:rStyle w:val="Sautdindex"/>
              </w:rPr>
              <w:t>4.4.1 Présentation de ma contribution</w:t>
              <w:tab/>
              <w:t>24</w:t>
            </w:r>
          </w:hyperlink>
        </w:p>
        <w:p>
          <w:pPr>
            <w:pStyle w:val="TOC2"/>
            <w:tabs>
              <w:tab w:val="clear" w:pos="8789"/>
              <w:tab w:val="right" w:pos="9071" w:leader="dot"/>
            </w:tabs>
            <w:rPr/>
          </w:pPr>
          <w:hyperlink w:anchor="__RefHeading___Toc1705_857827966" w:tooltip="4.4.2 Développements unitaires">
            <w:r>
              <w:rPr>
                <w:rStyle w:val="Sautdindex"/>
              </w:rPr>
              <w:t>4.4.2 Développements unitaires</w:t>
              <w:tab/>
              <w:t>24</w:t>
            </w:r>
          </w:hyperlink>
        </w:p>
        <w:p>
          <w:pPr>
            <w:pStyle w:val="TOC3"/>
            <w:tabs>
              <w:tab w:val="clear" w:pos="8505"/>
              <w:tab w:val="right" w:pos="9071" w:leader="dot"/>
            </w:tabs>
            <w:rPr/>
          </w:pPr>
          <w:hyperlink w:anchor="__RefHeading___Toc1707_857827966" w:tooltip="4.4.2.1 [Premier sous-livrable]">
            <w:r>
              <w:rPr>
                <w:rStyle w:val="Sautdindex"/>
              </w:rPr>
              <w:t>4.4.2.1 [Premier sous-livrable]</w:t>
              <w:tab/>
              <w:t>24</w:t>
            </w:r>
          </w:hyperlink>
        </w:p>
        <w:p>
          <w:pPr>
            <w:pStyle w:val="TOC3"/>
            <w:tabs>
              <w:tab w:val="clear" w:pos="8505"/>
              <w:tab w:val="right" w:pos="9071" w:leader="dot"/>
            </w:tabs>
            <w:rPr/>
          </w:pPr>
          <w:hyperlink w:anchor="__RefHeading___Toc1709_857827966" w:tooltip="4.4.2.2 [Deuxième sous-livrable]">
            <w:r>
              <w:rPr>
                <w:rStyle w:val="Sautdindex"/>
              </w:rPr>
              <w:t>4.4.2.2 [Deuxième sous-livrable]</w:t>
              <w:tab/>
              <w:t>24</w:t>
            </w:r>
          </w:hyperlink>
        </w:p>
        <w:p>
          <w:pPr>
            <w:pStyle w:val="TOC2"/>
            <w:tabs>
              <w:tab w:val="clear" w:pos="8789"/>
              <w:tab w:val="right" w:pos="9071" w:leader="dot"/>
            </w:tabs>
            <w:rPr/>
          </w:pPr>
          <w:hyperlink w:anchor="__RefHeading___Toc1711_857827966" w:tooltip="4.4.3 Fiches de recette unitaires">
            <w:r>
              <w:rPr>
                <w:rStyle w:val="Sautdindex"/>
              </w:rPr>
              <w:t>4.4.3 Fiches de recette unitaires</w:t>
              <w:tab/>
              <w:t>24</w:t>
            </w:r>
          </w:hyperlink>
        </w:p>
        <w:p>
          <w:pPr>
            <w:pStyle w:val="TOC2"/>
            <w:tabs>
              <w:tab w:val="clear" w:pos="8789"/>
              <w:tab w:val="right" w:pos="9071" w:leader="dot"/>
            </w:tabs>
            <w:rPr/>
          </w:pPr>
          <w:hyperlink w:anchor="__RefHeading___Toc1713_857827966" w:tooltip="4.4.4 Recette d'intégration validée">
            <w:r>
              <w:rPr>
                <w:rStyle w:val="Sautdindex"/>
              </w:rPr>
              <w:t>4.4.4 Recette d'intégration validée</w:t>
              <w:tab/>
              <w:t>24</w:t>
            </w:r>
          </w:hyperlink>
        </w:p>
        <w:p>
          <w:pPr>
            <w:pStyle w:val="TOC2"/>
            <w:tabs>
              <w:tab w:val="clear" w:pos="8789"/>
              <w:tab w:val="right" w:pos="9071" w:leader="dot"/>
            </w:tabs>
            <w:rPr/>
          </w:pPr>
          <w:hyperlink w:anchor="__RefHeading___Toc1715_857827966" w:tooltip="4.4.5 Difficultés rencontrées">
            <w:r>
              <w:rPr>
                <w:rStyle w:val="Sautdindex"/>
              </w:rPr>
              <w:t>4.4.5 Difficultés rencontrées</w:t>
              <w:tab/>
              <w:t>24</w:t>
            </w:r>
          </w:hyperlink>
        </w:p>
        <w:p>
          <w:pPr>
            <w:pStyle w:val="TOC1"/>
            <w:tabs>
              <w:tab w:val="clear" w:pos="9072"/>
              <w:tab w:val="right" w:pos="9071" w:leader="dot"/>
            </w:tabs>
            <w:rPr/>
          </w:pPr>
          <w:hyperlink w:anchor="__RefHeading___Toc1717_857827966" w:tooltip="5. Conclusion">
            <w:r>
              <w:rPr>
                <w:rStyle w:val="Sautdindex"/>
              </w:rPr>
              <w:t>5. Conclusion</w:t>
              <w:tab/>
              <w:t>25</w:t>
            </w:r>
          </w:hyperlink>
        </w:p>
        <w:p>
          <w:pPr>
            <w:pStyle w:val="TOC2"/>
            <w:tabs>
              <w:tab w:val="clear" w:pos="8789"/>
              <w:tab w:val="right" w:pos="9071" w:leader="dot"/>
            </w:tabs>
            <w:rPr/>
          </w:pPr>
          <w:hyperlink w:anchor="__RefHeading___Toc1719_857827966" w:tooltip="5.1 Bilan technique">
            <w:r>
              <w:rPr>
                <w:rStyle w:val="Sautdindex"/>
              </w:rPr>
              <w:t>5.1 Bilan technique</w:t>
              <w:tab/>
              <w:t>25</w:t>
            </w:r>
          </w:hyperlink>
        </w:p>
        <w:p>
          <w:pPr>
            <w:pStyle w:val="TOC2"/>
            <w:tabs>
              <w:tab w:val="clear" w:pos="8789"/>
              <w:tab w:val="right" w:pos="9071" w:leader="dot"/>
            </w:tabs>
            <w:rPr/>
          </w:pPr>
          <w:hyperlink w:anchor="__RefHeading___Toc1721_857827966" w:tooltip="5.2 Difficultés et apprentissages">
            <w:r>
              <w:rPr>
                <w:rStyle w:val="Sautdindex"/>
              </w:rPr>
              <w:t>5.2 Difficultés et apprentissages</w:t>
              <w:tab/>
              <w:t>25</w:t>
            </w:r>
          </w:hyperlink>
        </w:p>
        <w:p>
          <w:pPr>
            <w:pStyle w:val="TOC2"/>
            <w:tabs>
              <w:tab w:val="clear" w:pos="8789"/>
              <w:tab w:val="right" w:pos="9071" w:leader="dot"/>
            </w:tabs>
            <w:rPr/>
          </w:pPr>
          <w:hyperlink w:anchor="__RefHeading___Toc1723_857827966" w:tooltip="5.3 Perspectives">
            <w:r>
              <w:rPr>
                <w:rStyle w:val="Sautdindex"/>
              </w:rPr>
              <w:t>5.3 Perspectives</w:t>
              <w:tab/>
              <w:t>25</w:t>
            </w:r>
          </w:hyperlink>
        </w:p>
        <w:p>
          <w:pPr>
            <w:pStyle w:val="TOC2"/>
            <w:tabs>
              <w:tab w:val="clear" w:pos="8789"/>
              <w:tab w:val="right" w:pos="9071" w:leader="dot"/>
            </w:tabs>
            <w:rPr/>
          </w:pPr>
          <w:hyperlink w:anchor="__RefHeading___Toc1725_857827966" w:tooltip="5.4 Apports formation">
            <w:r>
              <w:rPr>
                <w:rStyle w:val="Sautdindex"/>
              </w:rPr>
              <w:t>5.4 Apports formation</w:t>
              <w:tab/>
              <w:t>26</w:t>
            </w:r>
          </w:hyperlink>
        </w:p>
        <w:p>
          <w:pPr>
            <w:pStyle w:val="TOC1"/>
            <w:tabs>
              <w:tab w:val="clear" w:pos="9072"/>
              <w:tab w:val="right" w:pos="9071" w:leader="dot"/>
            </w:tabs>
            <w:rPr/>
          </w:pPr>
          <w:hyperlink w:anchor="__RefHeading___Toc1727_857827966" w:tooltip="Annexes en ligne">
            <w:r>
              <w:rPr>
                <w:rStyle w:val="Sautdindex"/>
              </w:rPr>
              <w:t>Annexes en ligne</w:t>
              <w:tab/>
              <w:t>27</w:t>
            </w:r>
          </w:hyperlink>
          <w:r>
            <w:rPr>
              <w:rStyle w:val="Sautdindex"/>
            </w:rPr>
            <w:fldChar w:fldCharType="end"/>
          </w:r>
        </w:p>
      </w:sdtContent>
    </w:sdt>
    <w:p>
      <w:pPr>
        <w:pStyle w:val="Normal"/>
        <w:rPr>
          <w:lang w:val="fr-FR"/>
        </w:rPr>
      </w:pPr>
      <w:r>
        <w:rPr>
          <w:lang w:val="fr-FR"/>
        </w:rPr>
      </w:r>
      <w:r>
        <w:br w:type="page"/>
      </w:r>
    </w:p>
    <w:p>
      <w:pPr>
        <w:pStyle w:val="Heading1"/>
        <w:spacing w:before="0" w:after="120"/>
        <w:rPr>
          <w:lang w:val="fr-FR"/>
        </w:rPr>
      </w:pPr>
      <w:bookmarkStart w:id="2" w:name="__RefHeading___Toc1587_857827966"/>
      <w:bookmarkEnd w:id="2"/>
      <w:r>
        <w:rPr>
          <w:lang w:val="fr-FR"/>
        </w:rPr>
        <w:t>1. Introduction</w:t>
      </w:r>
    </w:p>
    <w:p>
      <w:pPr>
        <w:pStyle w:val="Normal"/>
        <w:rPr>
          <w:lang w:val="fr-FR"/>
        </w:rPr>
      </w:pPr>
      <w:r>
        <w:rPr>
          <w:b w:val="false"/>
          <w:i w:val="false"/>
          <w:lang w:val="fr-FR"/>
        </w:rPr>
        <w:t>Ce rapport</w:t>
      </w:r>
      <w:r>
        <w:rPr>
          <w:b w:val="false"/>
          <w:i w:val="false"/>
          <w:lang w:val="fr-FR"/>
        </w:rPr>
        <w:t xml:space="preserve"> expose les travaux conduits par notre équipe de quatre étudiants dans le cadre du projet de fin d'études du BTS Cybersécurité, Informatique et réseaux, Électronique (CIEL) — option Informatique et Réseaux, session 2026. Ce projet constitue le support de l'épreuve E6 (pratique professionnelle) et mobilise les compétences acquises au long des deux années de formation : programmation système, réseaux, électronique embarquée, intelligence artificielle et conduite de projet en équipe.</w:t>
      </w:r>
    </w:p>
    <w:p>
      <w:pPr>
        <w:pStyle w:val="Normal"/>
        <w:rPr>
          <w:b w:val="false"/>
          <w:i w:val="false"/>
          <w:lang w:val="fr-FR"/>
        </w:rPr>
      </w:pPr>
      <w:r>
        <w:rPr>
          <w:b w:val="false"/>
          <w:i w:val="false"/>
          <w:lang w:val="fr-FR"/>
        </w:rPr>
        <w:t>La problématique première de ce projet était la création d’un modèle d’intelligence artificielle dont le but était de déterminer le pourcentage d’usure d’un outil sur une machine d’usinage situé a l’espace Paul Bechet. Des capteur de sons et de vibrations placés sur la machine aurait permis au modèle de déterminer ce niveau de d’usure. Malheureusement, certaines circonstances et problèmes techniques ont fait que nous avons du nous rabattre sur une solution de secours.</w:t>
      </w:r>
    </w:p>
    <w:p>
      <w:pPr>
        <w:pStyle w:val="Normal"/>
        <w:rPr>
          <w:lang w:val="fr-FR"/>
        </w:rPr>
      </w:pPr>
      <w:r>
        <w:rPr>
          <w:b w:val="false"/>
          <w:i w:val="false"/>
          <w:lang w:val="fr-FR"/>
        </w:rPr>
        <w:t xml:space="preserve">Le sujet </w:t>
      </w:r>
      <w:r>
        <w:rPr>
          <w:b w:val="false"/>
          <w:i w:val="false"/>
          <w:lang w:val="fr-FR"/>
        </w:rPr>
        <w:t>final qui a été retenu consiste a déteminer</w:t>
      </w:r>
      <w:r>
        <w:rPr>
          <w:b w:val="false"/>
          <w:i w:val="false"/>
          <w:lang w:val="fr-FR"/>
        </w:rPr>
        <w:t>, par apprentissage profond, le niveau de tension appliqué à un moteur électrique à partir de deux modalités physiques distinctes : le son acoustique émis par le moteur et la vibration mécanique mesurée à sa surface. Au-delà du résultat numérique attendu, le projet permet de mettre en œuvre une chaîne complète et reproductible, du capteur physique à la prédiction logicielle, en passant par l'acquisition réseau, le stockage structuré des données et l'apprentissage supervisé d'un réseau de neurones convolutif à deux branches.</w:t>
      </w:r>
    </w:p>
    <w:p>
      <w:pPr>
        <w:pStyle w:val="Normal"/>
        <w:rPr>
          <w:lang w:val="fr-FR"/>
        </w:rPr>
      </w:pPr>
      <w:r>
        <w:rPr>
          <w:b w:val="false"/>
          <w:i w:val="false"/>
          <w:lang w:val="fr-FR"/>
        </w:rPr>
        <w:t>L'équipe se compose de Noa Orand, Hugo Cypré, Mederick et Ege. La répartition des responsabilités, détaillée plus loin, a été pensée pour que chaque membre développe une expertise sur un sous-ensemble homogène de la chaîne tout en garantissant la cohérence des interfaces entre briques.</w:t>
      </w:r>
    </w:p>
    <w:p>
      <w:pPr>
        <w:pStyle w:val="Normal"/>
        <w:rPr>
          <w:lang w:val="fr-FR"/>
        </w:rPr>
      </w:pPr>
      <w:r>
        <w:rPr>
          <w:b w:val="false"/>
          <w:i w:val="false"/>
          <w:lang w:val="fr-FR"/>
        </w:rPr>
        <w:t xml:space="preserve">Ce </w:t>
      </w:r>
      <w:r>
        <w:rPr>
          <w:b w:val="false"/>
          <w:i w:val="false"/>
          <w:lang w:val="fr-FR"/>
        </w:rPr>
        <w:t>rapport</w:t>
      </w:r>
      <w:r>
        <w:rPr>
          <w:b w:val="false"/>
          <w:i w:val="false"/>
          <w:lang w:val="fr-FR"/>
        </w:rPr>
        <w:t xml:space="preserve"> suit la structure imposée par l'épreuve : une introduction, une mise en situation collective, la description de la partie physique, les développements unitaires individuels suivis de l'intégration validée par chaque membre, et enfin une conclusion. Les annexes — code source, base de données, fiches de recette et notices d'utilisation — sont accessibles en ligne via le lien indiqué en fin de document.</w:t>
      </w:r>
    </w:p>
    <w:p>
      <w:pPr>
        <w:pStyle w:val="Normal"/>
        <w:rPr>
          <w:lang w:val="fr-FR"/>
        </w:rPr>
      </w:pPr>
      <w:r>
        <w:rPr>
          <w:lang w:val="fr-FR"/>
        </w:rPr>
      </w:r>
      <w:r>
        <w:br w:type="page"/>
      </w:r>
    </w:p>
    <w:p>
      <w:pPr>
        <w:pStyle w:val="Heading1"/>
        <w:spacing w:before="0" w:after="120"/>
        <w:rPr>
          <w:lang w:val="fr-FR"/>
        </w:rPr>
      </w:pPr>
      <w:bookmarkStart w:id="3" w:name="__RefHeading___Toc1589_857827966"/>
      <w:bookmarkEnd w:id="3"/>
      <w:r>
        <w:rPr>
          <w:lang w:val="fr-FR"/>
        </w:rPr>
        <w:t>2. Mise en situation</w:t>
      </w:r>
    </w:p>
    <w:p>
      <w:pPr>
        <w:pStyle w:val="Heading2"/>
        <w:rPr>
          <w:lang w:val="fr-FR"/>
        </w:rPr>
      </w:pPr>
      <w:bookmarkStart w:id="4" w:name="__RefHeading___Toc1591_857827966"/>
      <w:bookmarkEnd w:id="4"/>
      <w:r>
        <w:rPr>
          <w:lang w:val="fr-FR"/>
        </w:rPr>
        <w:t>2.1 Contexte industriel et académique</w:t>
      </w:r>
    </w:p>
    <w:p>
      <w:pPr>
        <w:pStyle w:val="Normal"/>
        <w:rPr>
          <w:lang w:val="fr-FR"/>
        </w:rPr>
      </w:pPr>
      <w:r>
        <w:rPr>
          <w:b w:val="false"/>
          <w:i w:val="false"/>
          <w:lang w:val="fr-FR"/>
        </w:rPr>
        <w:t>La maintenance prédictive des machines tournantes — moteurs, pompes, ventilateurs, compresseurs — représente un enjeu majeur dans l'industrie. Détecter l'évolution anormale d'un signal mécanique avant qu'elle ne se traduise en panne permet de réduire les arrêts non planifiés et le coût total de possession. Parmi les modalités utilisées à cette fin, l'analyse vibratoire et l'analyse acoustique sont les plus répandues : elles fournissent une signature riche du fonctionnement de la machine sans intervention sur ses parties actives.</w:t>
      </w:r>
    </w:p>
    <w:p>
      <w:pPr>
        <w:pStyle w:val="Normal"/>
        <w:rPr>
          <w:b w:val="false"/>
          <w:i w:val="false"/>
          <w:lang w:val="fr-FR"/>
        </w:rPr>
      </w:pPr>
      <w:r>
        <w:rPr>
          <w:b w:val="false"/>
          <w:i w:val="false"/>
          <w:lang w:val="fr-FR"/>
        </w:rPr>
        <w:t>Les datasets de référence dans ce domaine — MIMII (sons de pannes industrielles), CWRU (vibrations sur roulements), MAFAULDA (défauts rotors) — ont prouvé qu'un réseau de neurones convolutif appliqué à un mel-spectrogramme apprend efficacement à classer ou régresser des états mécaniques.</w:t>
      </w:r>
    </w:p>
    <w:p>
      <w:pPr>
        <w:pStyle w:val="Normal"/>
        <w:rPr>
          <w:b w:val="false"/>
          <w:i w:val="false"/>
          <w:lang w:val="fr-FR"/>
        </w:rPr>
      </w:pPr>
      <w:r>
        <w:rPr>
          <w:b w:val="false"/>
          <w:i w:val="false"/>
          <w:lang w:val="fr-FR"/>
        </w:rPr>
        <w:t>Notre projet s'inscrit dans cette lignée, avec une ambition adaptée à notre contexte BTS : non pas détecter une panne, mais estimer un paramètre de fonctionnement (le niveau de tension d'alimentation, proxy de la puissance moteur), à des fins pédagogiques de démonstration de bout en bout.</w:t>
      </w:r>
    </w:p>
    <w:p>
      <w:pPr>
        <w:pStyle w:val="Heading2"/>
        <w:rPr>
          <w:lang w:val="fr-FR"/>
        </w:rPr>
      </w:pPr>
      <w:bookmarkStart w:id="5" w:name="__RefHeading___Toc1593_857827966"/>
      <w:bookmarkEnd w:id="5"/>
      <w:r>
        <w:rPr>
          <w:lang w:val="fr-FR"/>
        </w:rPr>
        <w:t>2.2 Périmètre du projet et pivot</w:t>
      </w:r>
    </w:p>
    <w:p>
      <w:pPr>
        <w:pStyle w:val="Normal"/>
        <w:rPr>
          <w:lang w:val="fr-FR"/>
        </w:rPr>
      </w:pPr>
      <w:r>
        <w:rPr>
          <w:b w:val="false"/>
          <w:i w:val="false"/>
          <w:lang w:val="fr-FR"/>
        </w:rPr>
        <w:t>Le sujet initial visait la détection d'usure d'outil sur une machine à commande numérique (CNC). Cette orientation a dû être abandonnée pour des raisons d'accès matériel : l’</w:t>
      </w:r>
      <w:r>
        <w:rPr>
          <w:b w:val="false"/>
          <w:i w:val="false"/>
          <w:lang w:val="fr-FR"/>
        </w:rPr>
        <w:t>espace Paul Bechet ou se situe la dite machine ne permettait pas la création d’un dataset assez conséquent. De plus, certains problèmes techniques ont fait que les test a réalisés étaient impossibles.</w:t>
      </w:r>
      <w:r>
        <w:rPr>
          <w:b w:val="false"/>
          <w:i w:val="false"/>
          <w:lang w:val="fr-FR"/>
        </w:rPr>
        <w:t xml:space="preserve"> Plutôt que de poursuivre sans pouvoir produire de données représentatives, nous avons fait le choix d'ingénierie de réduire le périmètre à un banc moteur électrique dédié.</w:t>
      </w:r>
    </w:p>
    <w:p>
      <w:pPr>
        <w:pStyle w:val="Normal"/>
        <w:rPr>
          <w:lang w:val="fr-FR"/>
        </w:rPr>
      </w:pPr>
      <w:r>
        <w:rPr>
          <w:b w:val="false"/>
          <w:i w:val="false"/>
          <w:lang w:val="fr-FR"/>
        </w:rPr>
        <w:t>Le nouveau périmètre conserve l'esprit du projet — apprentissage profond sur signaux physiques — tout en simplifiant l'instrumentation et en garantissant la reproductibilité des conditions expérimentales.</w:t>
      </w:r>
    </w:p>
    <w:p>
      <w:pPr>
        <w:pStyle w:val="Heading2"/>
        <w:rPr>
          <w:lang w:val="fr-FR"/>
        </w:rPr>
      </w:pPr>
      <w:bookmarkStart w:id="6" w:name="__RefHeading___Toc1595_857827966"/>
      <w:bookmarkEnd w:id="6"/>
      <w:r>
        <w:rPr>
          <w:lang w:val="fr-FR"/>
        </w:rPr>
        <w:t>2.3 Objectif fonctionnel</w:t>
      </w:r>
    </w:p>
    <w:p>
      <w:pPr>
        <w:pStyle w:val="Normal"/>
        <w:rPr>
          <w:lang w:val="fr-FR"/>
        </w:rPr>
      </w:pPr>
      <w:r>
        <w:rPr>
          <w:b w:val="false"/>
          <w:i w:val="false"/>
          <w:lang w:val="fr-FR"/>
        </w:rPr>
        <w:t>L'objectif fonctionnel retenu est le suivant :</w:t>
      </w:r>
    </w:p>
    <w:p>
      <w:pPr>
        <w:pStyle w:val="ListBullet"/>
        <w:numPr>
          <w:ilvl w:val="0"/>
          <w:numId w:val="1"/>
        </w:numPr>
        <w:rPr>
          <w:lang w:val="fr-FR"/>
        </w:rPr>
      </w:pPr>
      <w:r>
        <w:rPr>
          <w:lang w:val="fr-FR"/>
        </w:rPr>
        <w:t>Mesurer en continu le son émis par un moteur électrique au moyen d'un microphone I2S, et sa vibration mécanique au moyen d'un capteur 3 axes Bluetooth Low Energy.</w:t>
      </w:r>
    </w:p>
    <w:p>
      <w:pPr>
        <w:pStyle w:val="ListBullet"/>
        <w:numPr>
          <w:ilvl w:val="0"/>
          <w:numId w:val="1"/>
        </w:numPr>
        <w:rPr>
          <w:lang w:val="fr-FR"/>
        </w:rPr>
      </w:pPr>
      <w:r>
        <w:rPr>
          <w:lang w:val="fr-FR"/>
        </w:rPr>
        <w:t>Transmettre ces signaux, accompagnés de métadonnées identifiant la session (durée, condition de charge, niveau de tension appliqué, fréquences déclarées), vers un poste de travail Windows par voie sans fil.</w:t>
      </w:r>
    </w:p>
    <w:p>
      <w:pPr>
        <w:pStyle w:val="ListBullet"/>
        <w:numPr>
          <w:ilvl w:val="0"/>
          <w:numId w:val="1"/>
        </w:numPr>
        <w:rPr>
          <w:lang w:val="fr-FR"/>
        </w:rPr>
      </w:pPr>
      <w:r>
        <w:rPr>
          <w:lang w:val="fr-FR"/>
        </w:rPr>
        <w:t>Stocker les captures dans une base de données simple à plat (fichiers CSV indexés par un fichier maître de métadonnées) facilement exploitable en post-traitement.</w:t>
      </w:r>
    </w:p>
    <w:p>
      <w:pPr>
        <w:pStyle w:val="ListBullet"/>
        <w:numPr>
          <w:ilvl w:val="0"/>
          <w:numId w:val="1"/>
        </w:numPr>
        <w:rPr>
          <w:lang w:val="fr-FR"/>
        </w:rPr>
      </w:pPr>
      <w:r>
        <w:rPr>
          <w:lang w:val="fr-FR"/>
        </w:rPr>
        <w:t>Entraîner un modèle d'apprentissage profond capable, à partir d'une nouvelle capture de 15 secondes, de prédire le niveau de tension appliqué au moteur, exprimé en pourcentage de la tension maximale de la condition de charge courante.</w:t>
      </w:r>
    </w:p>
    <w:p>
      <w:pPr>
        <w:pStyle w:val="ListBullet"/>
        <w:numPr>
          <w:ilvl w:val="0"/>
          <w:numId w:val="1"/>
        </w:numPr>
        <w:rPr>
          <w:lang w:val="fr-FR"/>
        </w:rPr>
      </w:pPr>
      <w:r>
        <w:rPr>
          <w:lang w:val="fr-FR"/>
        </w:rPr>
        <w:t>Évaluer le modèle au moyen de métriques métier interprétables (erreur absolue moyenne en points de pourcentage) et présenter les résultats lors de l'oral E6.</w:t>
      </w:r>
    </w:p>
    <w:p>
      <w:pPr>
        <w:pStyle w:val="Heading2"/>
        <w:rPr>
          <w:lang w:val="fr-FR"/>
        </w:rPr>
      </w:pPr>
      <w:bookmarkStart w:id="7" w:name="__RefHeading___Toc1597_857827966"/>
      <w:bookmarkEnd w:id="7"/>
      <w:r>
        <w:rPr>
          <w:lang w:val="fr-FR"/>
        </w:rPr>
        <w:t>2.4 Analyse des besoins</w:t>
      </w:r>
    </w:p>
    <w:p>
      <w:pPr>
        <w:pStyle w:val="Heading3"/>
        <w:rPr>
          <w:lang w:val="fr-FR"/>
        </w:rPr>
      </w:pPr>
      <w:bookmarkStart w:id="8" w:name="__RefHeading___Toc1599_857827966"/>
      <w:bookmarkEnd w:id="8"/>
      <w:r>
        <w:rPr>
          <w:lang w:val="fr-FR"/>
        </w:rPr>
        <w:t>2.4.1 Besoins fonctionnels</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24"/>
        <w:gridCol w:w="3024"/>
        <w:gridCol w:w="3024"/>
      </w:tblGrid>
      <w:tr>
        <w:trPr/>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Code</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Besoin fonctionnel</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Critère de validation</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BF1</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Acquérir un signal acoustique calibré sur 15 s</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Fréquence d'échantillonnage effective ≥ 10 kHz, dynamique 16 bits, faible taux de pertes UDP</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BF2</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Acquérir un signal vibratoire 3 axes synchronisé</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Réception BLE stable sur 15 s, trames complètes décodées, magnitude exploitable</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BF3</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Saisir les métadonnées de la session via IHM Qt</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5 champs envoyés au serveur TCP : condition de charge, durée, fréquences, niveau de tension</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BF4</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Indexer et stocker chaque capture dans un CSV maître</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Identifiant de session auto-incrémenté, références vers fichiers son/vib associés</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BF5</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Entraîner un modèle IA de régression à partir du dataset</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Convergence du modèle, MAE par capture évaluée sur set de test indépendant</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BF6</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Restituer une prédiction lisible pour l'opérateur</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Sortie en % de tension avec courbe prédiction vs réalité</w:t>
            </w:r>
          </w:p>
        </w:tc>
      </w:tr>
    </w:tbl>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Heading3"/>
        <w:rPr>
          <w:lang w:val="fr-FR"/>
        </w:rPr>
      </w:pPr>
      <w:bookmarkStart w:id="9" w:name="__RefHeading___Toc1601_857827966"/>
      <w:bookmarkEnd w:id="9"/>
      <w:r>
        <w:rPr>
          <w:lang w:val="fr-FR"/>
        </w:rPr>
        <w:t>2.4.2 Besoins non fonctionnels</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24"/>
        <w:gridCol w:w="3024"/>
        <w:gridCol w:w="3024"/>
      </w:tblGrid>
      <w:tr>
        <w:trPr/>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Code</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Besoin non fonctionnel</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Cible retenue</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BNF1</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Reproductibilité du protocole</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Plan d'expérience écrit, tensions cibles tabulées, conditions de charge documentées</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BNF2</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Robustesse réseau</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Buffer UDP 2 Mo côté client, mutex FreeRTOS côté ESP32, gestion explicite des trames corrompues</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BNF3</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Honnêteté scientifique du label</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Label = niveau de tension (proxy de puissance) et non puissance directe non mesurable</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BNF</w:t>
            </w:r>
            <w:r>
              <w:rPr>
                <w:rFonts w:eastAsia="ＭＳ ゴシック" w:cs=""/>
                <w:b/>
                <w:bCs/>
                <w:kern w:val="0"/>
                <w:szCs w:val="22"/>
                <w:lang w:val="fr-FR" w:eastAsia="en-US" w:bidi="ar-SA"/>
              </w:rPr>
              <w:t>4</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Portabilité du logiciel</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Compilation des serveurs Python en .exe via PyInstaller pour fonctionnement sans Python installé</w:t>
            </w:r>
          </w:p>
        </w:tc>
      </w:tr>
    </w:tbl>
    <w:p>
      <w:pPr>
        <w:pStyle w:val="Normal"/>
        <w:rPr>
          <w:lang w:val="fr-FR"/>
        </w:rPr>
      </w:pPr>
      <w:r>
        <w:rPr>
          <w:lang w:val="fr-FR"/>
        </w:rPr>
      </w:r>
    </w:p>
    <w:p>
      <w:pPr>
        <w:pStyle w:val="Heading2"/>
        <w:rPr>
          <w:lang w:val="fr-FR"/>
        </w:rPr>
      </w:pPr>
      <w:bookmarkStart w:id="10" w:name="__RefHeading___Toc1603_857827966"/>
      <w:bookmarkEnd w:id="10"/>
      <w:r>
        <w:rPr>
          <w:lang w:val="fr-FR"/>
        </w:rPr>
        <w:t>2.5 Contraintes</w:t>
      </w:r>
    </w:p>
    <w:p>
      <w:pPr>
        <w:pStyle w:val="ListBullet"/>
        <w:numPr>
          <w:ilvl w:val="0"/>
          <w:numId w:val="1"/>
        </w:numPr>
        <w:rPr>
          <w:lang w:val="fr-FR"/>
        </w:rPr>
      </w:pPr>
      <w:r>
        <w:rPr>
          <w:lang w:val="fr-FR"/>
        </w:rPr>
        <w:t>Matériel imposé : carte ESP32 mise à disposition par l'atelier, capteur de vibration WTVB01-BT50 acquis dans le cadre du budget projet, microphone I2S INMP441.</w:t>
      </w:r>
    </w:p>
    <w:p>
      <w:pPr>
        <w:pStyle w:val="ListBullet"/>
        <w:numPr>
          <w:ilvl w:val="0"/>
          <w:numId w:val="1"/>
        </w:numPr>
        <w:rPr>
          <w:lang w:val="fr-FR"/>
        </w:rPr>
      </w:pPr>
      <w:r>
        <w:rPr>
          <w:lang w:val="fr-FR"/>
        </w:rPr>
        <w:t xml:space="preserve">Délai de réalisation : préparation, acquisition, modélisation et rédaction sur </w:t>
      </w:r>
      <w:r>
        <w:rPr>
          <w:lang w:val="fr-FR"/>
        </w:rPr>
        <w:t>un</w:t>
      </w:r>
      <w:r>
        <w:rPr>
          <w:lang w:val="fr-FR"/>
        </w:rPr>
        <w:t xml:space="preserve"> semestre de l'année 2026.</w:t>
      </w:r>
    </w:p>
    <w:p>
      <w:pPr>
        <w:pStyle w:val="ListBullet"/>
        <w:numPr>
          <w:ilvl w:val="0"/>
          <w:numId w:val="1"/>
        </w:numPr>
        <w:rPr>
          <w:lang w:val="fr-FR"/>
        </w:rPr>
      </w:pPr>
      <w:r>
        <w:rPr>
          <w:lang w:val="fr-FR"/>
        </w:rPr>
        <w:t>Environnement de développement : Visual Studio Community 2026 pour le code Python, Arduino IDE / PlatformIO pour le firmware ESP32, Qt Creator pour l'IHM.</w:t>
      </w:r>
    </w:p>
    <w:p>
      <w:pPr>
        <w:pStyle w:val="ListBullet"/>
        <w:numPr>
          <w:ilvl w:val="0"/>
          <w:numId w:val="1"/>
        </w:numPr>
        <w:rPr>
          <w:lang w:val="fr-FR"/>
        </w:rPr>
      </w:pPr>
      <w:r>
        <w:rPr>
          <w:lang w:val="fr-FR"/>
        </w:rPr>
        <w:t>Réseau d'expérimentation : partage de connexion sans fil pour mobilité du banc, avec les limitations inhérentes (latence variable, conflit BLE/Wi-Fi sur l'ESP32).</w:t>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ListBullet"/>
        <w:numPr>
          <w:ilvl w:val="0"/>
          <w:numId w:val="0"/>
        </w:numPr>
        <w:rPr>
          <w:lang w:val="fr-FR"/>
        </w:rPr>
      </w:pPr>
      <w:r>
        <w:rPr>
          <w:lang w:val="fr-FR"/>
        </w:rPr>
      </w:r>
    </w:p>
    <w:p>
      <w:pPr>
        <w:pStyle w:val="Heading2"/>
        <w:rPr/>
      </w:pPr>
      <w:bookmarkStart w:id="11" w:name="__RefHeading___Toc1902_857827966"/>
      <w:bookmarkEnd w:id="11"/>
      <w:r>
        <w:rPr/>
        <w:t>2.6 Diagramme de cas d’utilisations</w:t>
      </w:r>
    </w:p>
    <w:p>
      <w:pPr>
        <w:pStyle w:val="Normal"/>
        <w:rPr/>
      </w:pPr>
      <w:r>
        <w:rPr/>
        <w:t xml:space="preserve">Le diagramme ci-dessous permet d’exposer les différents cas d’utilisations </w:t>
      </w:r>
      <w:r>
        <w:rPr/>
        <w:t>présents dans le projet :</w: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7061200" cy="43815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061200" cy="4381500"/>
                    </a:xfrm>
                    <a:prstGeom prst="rect">
                      <a:avLst/>
                    </a:prstGeom>
                    <a:noFill/>
                  </pic:spPr>
                </pic:pic>
              </a:graphicData>
            </a:graphic>
          </wp:anchor>
        </w:drawing>
      </w:r>
    </w:p>
    <w:p>
      <w:pPr>
        <w:pStyle w:val="Heading1"/>
        <w:spacing w:before="0" w:after="120"/>
        <w:rPr>
          <w:lang w:val="fr-FR"/>
        </w:rPr>
      </w:pPr>
      <w:bookmarkStart w:id="12" w:name="__RefHeading___Toc1605_857827966"/>
      <w:bookmarkEnd w:id="12"/>
      <w:r>
        <w:rPr>
          <w:lang w:val="fr-FR"/>
        </w:rPr>
        <w:t>3. Partie physique</w:t>
      </w:r>
    </w:p>
    <w:p>
      <w:pPr>
        <w:pStyle w:val="Heading2"/>
        <w:rPr>
          <w:lang w:val="fr-FR"/>
        </w:rPr>
      </w:pPr>
      <w:bookmarkStart w:id="13" w:name="__RefHeading___Toc1607_857827966"/>
      <w:bookmarkEnd w:id="13"/>
      <w:r>
        <w:rPr>
          <w:lang w:val="fr-FR"/>
        </w:rPr>
        <w:t>3.1 Description du banc d'essai</w:t>
      </w:r>
    </w:p>
    <w:p>
      <w:pPr>
        <w:pStyle w:val="Normal"/>
        <w:rPr>
          <w:lang w:val="fr-FR"/>
        </w:rPr>
      </w:pPr>
      <w:r>
        <w:rPr>
          <w:b w:val="false"/>
          <w:i w:val="false"/>
          <w:lang w:val="fr-FR"/>
        </w:rPr>
        <w:t>Le banc d'essai est conçu autour d'un moteur électrique à courant continu de puissance modeste, alimenté par une source de tension stabilisée réglable, permettant de balayer continûment la plage de fonctionnement nominal du moteur. Deux conditions de charge sont retenues pour l'expérimentation, sélectionnées pour leur reproductibilité et leur signature mécanique distincte.</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24"/>
        <w:gridCol w:w="3024"/>
        <w:gridCol w:w="3024"/>
      </w:tblGrid>
      <w:tr>
        <w:trPr/>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Condition</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Tension maximale mesurée</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A — à vide</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Moteur libre, aucun frein appliqué</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30,3 V</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B — avec frein</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Frein mécanique exerçant un couple résistant constant</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28,7 V</w:t>
            </w:r>
          </w:p>
        </w:tc>
      </w:tr>
    </w:tbl>
    <w:p>
      <w:pPr>
        <w:pStyle w:val="Normal"/>
        <w:rPr>
          <w:lang w:val="fr-FR"/>
        </w:rPr>
      </w:pPr>
      <w:r>
        <w:rPr>
          <w:lang w:val="fr-FR"/>
        </w:rPr>
      </w:r>
    </w:p>
    <w:p>
      <w:pPr>
        <w:pStyle w:val="Normal"/>
        <w:rPr>
          <w:lang w:val="fr-FR"/>
        </w:rPr>
      </w:pPr>
      <w:r>
        <w:rPr>
          <w:b w:val="false"/>
          <w:i w:val="false"/>
          <w:lang w:val="fr-FR"/>
        </w:rPr>
        <w:t>Une troisième condition (frein associé à une charge inertielle additionnelle) a été envisagée puis écartée : la difficulté de garantir une reproductibilité fine du couple appliqué d'une session à l'autre aurait introduit une variance non maîtrisée dans le label, au détriment de la qualité de l'apprentissage.</w:t>
      </w:r>
    </w:p>
    <w:p>
      <w:pPr>
        <w:pStyle w:val="Heading2"/>
        <w:rPr>
          <w:lang w:val="fr-FR"/>
        </w:rPr>
      </w:pPr>
      <w:bookmarkStart w:id="14" w:name="__RefHeading___Toc1609_857827966"/>
      <w:bookmarkEnd w:id="14"/>
      <w:r>
        <w:rPr>
          <w:lang w:val="fr-FR"/>
        </w:rPr>
        <w:t>3.2 Capteurs et chaîne d'acquisition</w:t>
      </w:r>
    </w:p>
    <w:p>
      <w:pPr>
        <w:pStyle w:val="Heading3"/>
        <w:rPr>
          <w:lang w:val="fr-FR"/>
        </w:rPr>
      </w:pPr>
      <w:bookmarkStart w:id="15" w:name="__RefHeading___Toc1611_857827966"/>
      <w:bookmarkEnd w:id="15"/>
      <w:r>
        <w:rPr>
          <w:lang w:val="fr-FR"/>
        </w:rPr>
        <w:t>3.2.1 Microphone I2S</w:t>
      </w:r>
    </w:p>
    <w:p>
      <w:pPr>
        <w:pStyle w:val="Normal"/>
        <w:rPr>
          <w:lang w:val="fr-FR"/>
        </w:rPr>
      </w:pPr>
      <w:r>
        <w:rPr>
          <w:b w:val="false"/>
          <w:i w:val="false"/>
          <w:lang w:val="fr-FR"/>
        </w:rPr>
        <w:t>Le microphone retenu est un INMP441 (ou équivalent), capteur MEMS numérique à sortie I2S, à très faible latence et bonne dynamique. Il est interfacé avec l'ESP32 via trois broches (données SD, horloge bit BCK, horloge mot WS) et configuré en mode mono gauche, 32 bits par échantillon, à une fréquence théorique de 16 kHz. La fréquence effective mesurée a fait l'objet d'optimisations détaillées dans la partie individuelle de Noa.</w:t>
      </w:r>
    </w:p>
    <w:p>
      <w:pPr>
        <w:pStyle w:val="Heading3"/>
        <w:rPr>
          <w:lang w:val="fr-FR"/>
        </w:rPr>
      </w:pPr>
      <w:bookmarkStart w:id="16" w:name="__RefHeading___Toc1613_857827966"/>
      <w:bookmarkEnd w:id="16"/>
      <w:r>
        <w:rPr>
          <w:lang w:val="fr-FR"/>
        </w:rPr>
        <w:t>3.2.2 Capteur de vibration WTVB01-BT50</w:t>
      </w:r>
    </w:p>
    <w:p>
      <w:pPr>
        <w:pStyle w:val="Normal"/>
        <w:rPr>
          <w:lang w:val="fr-FR"/>
        </w:rPr>
      </w:pPr>
      <w:r>
        <w:rPr>
          <w:b w:val="false"/>
          <w:i w:val="false"/>
          <w:lang w:val="fr-FR"/>
        </w:rPr>
        <w:t>Le capteur WTVB01-BT50 du constructeur WitMotion est un module MEMS trois axes communiquant en Bluetooth Low Energy. Il est configuré pour transmettre, à un taux déclaré de 50 Hz, les vitesses vibratoires (VX, VY, VZ en mm/s), les angles vibratoires (ADX, ADY, ADZ), la température interne, les déplacements (DX, DY, DZ en µm) et les fréquences principales par axe (HZX, HZY, HZZ en Hz). Chaque trame BLE fait 28 octets, structurée selon le protocole standard WIT (en-tête 0x55 0x61 suivi de treize valeurs sur 16 bits, octet de poids faible en premier).</w:t>
      </w:r>
    </w:p>
    <w:p>
      <w:pPr>
        <w:pStyle w:val="Normal"/>
        <w:rPr>
          <w:lang w:val="fr-FR"/>
        </w:rPr>
      </w:pPr>
      <w:r>
        <w:rPr>
          <w:b w:val="false"/>
          <w:i w:val="false"/>
          <w:lang w:val="fr-FR"/>
        </w:rPr>
        <w:t>La fréquence effective observée s'établit autour de 10 Hz en raison de la concurrence radio entre la pile BLE et la pile Wi-Fi qui partagent la même antenne sur l'ESP32. Cette limitation, identifiée tôt dans le projet, n'est pas bloquante : la signature vibratoire utile pour estimer le niveau de tension se situe largement sous 5 Hz et les 10 Hz effectifs respectent largement le critère de Nyquist.</w:t>
      </w:r>
    </w:p>
    <w:p>
      <w:pPr>
        <w:pStyle w:val="Heading3"/>
        <w:rPr>
          <w:lang w:val="fr-FR"/>
        </w:rPr>
      </w:pPr>
      <w:bookmarkStart w:id="17" w:name="__RefHeading___Toc1615_857827966"/>
      <w:bookmarkEnd w:id="17"/>
      <w:r>
        <w:rPr>
          <w:lang w:val="fr-FR"/>
        </w:rPr>
        <w:t>3.2.3 Microcontrôleur ESP32</w:t>
      </w:r>
    </w:p>
    <w:p>
      <w:pPr>
        <w:pStyle w:val="Normal"/>
        <w:rPr>
          <w:lang w:val="fr-FR"/>
        </w:rPr>
      </w:pPr>
      <w:r>
        <w:rPr>
          <w:b w:val="false"/>
          <w:i w:val="false"/>
          <w:lang w:val="fr-FR"/>
        </w:rPr>
        <w:t>L'ESP32 joue le rôle de concentrateur : il pilote l'I2S pour récupérer les échantillons audio, ouvre une connexion BLE cliente vers le capteur de vibration pour souscrire à ses notifications, et émet le tout en deux flux UDP distincts (« SOUND, … » et « VIB, … ») vers le serveur Python qui tourne sur le poste opérateur. Un mutex FreeRTOS sérialise les écritures UDP pour éviter l'entrelacement des paquets entre la tâche audio et la callback BLE.</w:t>
      </w:r>
    </w:p>
    <w:p>
      <w:pPr>
        <w:pStyle w:val="Heading2"/>
        <w:rPr>
          <w:lang w:val="fr-FR"/>
        </w:rPr>
      </w:pPr>
      <w:bookmarkStart w:id="18" w:name="__RefHeading___Toc1617_857827966"/>
      <w:bookmarkEnd w:id="18"/>
      <w:r>
        <w:rPr>
          <w:lang w:val="fr-FR"/>
        </w:rPr>
        <w:t>3.3 Architecture globale du système</w:t>
      </w:r>
    </w:p>
    <w:p>
      <w:pPr>
        <w:pStyle w:val="Normal"/>
        <w:rPr>
          <w:lang w:val="fr-FR"/>
        </w:rPr>
      </w:pPr>
      <w:r>
        <w:rPr>
          <w:b w:val="false"/>
          <w:i w:val="false"/>
          <w:lang w:val="fr-FR"/>
        </w:rPr>
        <w:t>L'architecture logicielle de bout en bout est représentée ci-dessous (schéma textuel) :</w:t>
      </w:r>
    </w:p>
    <w:p>
      <w:pPr>
        <w:pStyle w:val="Normal"/>
        <w:rPr>
          <w:lang w:val="fr-FR"/>
        </w:rPr>
      </w:pPr>
      <w:r>
        <w:rPr>
          <w:b w:val="false"/>
          <w:i w:val="false"/>
          <w:lang w:val="fr-FR"/>
        </w:rPr>
        <w:t>Capteurs (son I2S 16 kHz + vibration BLE 50 Hz) → ESP32 (firmware C++, FreeRTOS) → réseau Wi-Fi UDP → Client Python clientUDP_données.py (port 9091) → fichiers CSV horodatés son_*.csv et vib_*.csv. En parallèle : IHM Qt (saisie opérateur) → réseau Wi-Fi TCP → Serveur Python serveurTCP_metadonnes_moteur.py (port 9090) → fichier maître metadata_captures_moteur.csv. En post-traitement : arch4_double_branche.py (modèle IA Keras) charge l'ensemble et apprend la régression du niveau de tension.</w:t>
      </w:r>
    </w:p>
    <w:p>
      <w:pPr>
        <w:pStyle w:val="Heading2"/>
        <w:rPr>
          <w:lang w:val="fr-FR"/>
        </w:rPr>
      </w:pPr>
      <w:bookmarkStart w:id="19" w:name="__RefHeading___Toc1619_857827966"/>
      <w:bookmarkEnd w:id="19"/>
      <w:r>
        <w:rPr>
          <w:lang w:val="fr-FR"/>
        </w:rPr>
        <w:t>3.4 Plan d'expérience</w:t>
      </w:r>
    </w:p>
    <w:p>
      <w:pPr>
        <w:pStyle w:val="Normal"/>
        <w:rPr>
          <w:lang w:val="fr-FR"/>
        </w:rPr>
      </w:pPr>
      <w:r>
        <w:rPr>
          <w:b w:val="false"/>
          <w:i w:val="false"/>
          <w:lang w:val="fr-FR"/>
        </w:rPr>
        <w:t>Le plan d'expérience retenu pour constituer le dataset d'apprentissage est croisé : onze niveaux de tension régulièrement espacés (0, 10, 20, …, 100 % de la tension maximale de la condition courante), pour les deux conditions de charge, avec cinq captures indépendantes de 15 secondes par couple (niveau, condition), soit un total de 110 sessions et environ une heure cinquante de banc moteur cumulé.</w:t>
      </w:r>
    </w:p>
    <w:p>
      <w:pPr>
        <w:pStyle w:val="Normal"/>
        <w:rPr>
          <w:lang w:val="fr-FR"/>
        </w:rPr>
      </w:pPr>
      <w:r>
        <w:rPr>
          <w:b w:val="false"/>
          <w:i w:val="false"/>
          <w:lang w:val="fr-FR"/>
        </w:rPr>
        <w:t>Pour limiter la dérive thermique du moteur, le protocole prévoit la réalisation des 110 captures en deux phases (Phase A puis Phase B) entrecoupées d'une pause et d'une vérification rapide du dataset à mi-parcours.</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24"/>
        <w:gridCol w:w="3024"/>
        <w:gridCol w:w="3024"/>
      </w:tblGrid>
      <w:tr>
        <w:trPr/>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Niveau</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Sans frein (V)</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Avec frein (V)</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0 %</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0,00</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0,00</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10 %</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3,03</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2,87</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20 %</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6,06</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5,74</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30 %</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9,09</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8,61</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40 %</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12,12</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11,48</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50 %</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15,15</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14,35</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60 %</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18,18</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17,22</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70 %</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21,21</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20,09</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80 %</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24,24</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22,96</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90 %</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27,27</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25,83</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100 %</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30,30</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28,70</w:t>
            </w:r>
          </w:p>
        </w:tc>
      </w:tr>
    </w:tbl>
    <w:p>
      <w:pPr>
        <w:pStyle w:val="Normal"/>
        <w:rPr>
          <w:lang w:val="fr-FR"/>
        </w:rPr>
      </w:pPr>
      <w:r>
        <w:rPr>
          <w:lang w:val="fr-FR"/>
        </w:rPr>
      </w:r>
    </w:p>
    <w:p>
      <w:pPr>
        <w:pStyle w:val="Heading2"/>
        <w:rPr>
          <w:lang w:val="fr-FR"/>
        </w:rPr>
      </w:pPr>
      <w:bookmarkStart w:id="20" w:name="__RefHeading___Toc1621_857827966"/>
      <w:bookmarkEnd w:id="20"/>
      <w:r>
        <w:rPr>
          <w:lang w:val="fr-FR"/>
        </w:rPr>
        <w:t>3.5 Choix du label : niveau de tension et non puissance</w:t>
      </w:r>
    </w:p>
    <w:p>
      <w:pPr>
        <w:pStyle w:val="Normal"/>
        <w:rPr>
          <w:lang w:val="fr-FR"/>
        </w:rPr>
      </w:pPr>
      <w:r>
        <w:rPr>
          <w:b w:val="false"/>
          <w:i w:val="false"/>
          <w:lang w:val="fr-FR"/>
        </w:rPr>
        <w:t>Le label appris par le modèle est le niveau de tension appliqué au moteur, exprimé en pourcentage de la tension maximale propre à chaque condition de charge. Ce choix découle d'une contrainte matérielle : la mesure directe de la puissance électrique fournie au moteur exigerait simultanément la tension et le courant (P = U × I), or notre instrumentation ne comporte pas de capteur d'intensité. Plutôt que d'inventer une mesure indirecte fragile, nous prenons assumée la tension comme proxy de la puissance : pour une condition de charge fixée, la tension reste une fonction monotone de la puissance dissipée, ce qui suffit pour caractériser l'effort imposé au moteur et donc sa signature acoustique et vibratoire.</w:t>
      </w:r>
    </w:p>
    <w:p>
      <w:pPr>
        <w:pStyle w:val="Normal"/>
        <w:rPr>
          <w:lang w:val="fr-FR"/>
        </w:rPr>
      </w:pPr>
      <w:r>
        <w:rPr>
          <w:lang w:val="fr-FR"/>
        </w:rPr>
      </w:r>
      <w:r>
        <w:br w:type="page"/>
      </w:r>
    </w:p>
    <w:p>
      <w:pPr>
        <w:pStyle w:val="Heading1"/>
        <w:spacing w:before="0" w:after="120"/>
        <w:rPr>
          <w:lang w:val="fr-FR"/>
        </w:rPr>
      </w:pPr>
      <w:bookmarkStart w:id="21" w:name="__RefHeading___Toc1623_857827966"/>
      <w:bookmarkEnd w:id="21"/>
      <w:r>
        <w:rPr>
          <w:lang w:val="fr-FR"/>
        </w:rPr>
        <w:t>4. Développements unitaires et intégration</w:t>
      </w:r>
    </w:p>
    <w:p>
      <w:pPr>
        <w:pStyle w:val="Normal"/>
        <w:rPr>
          <w:lang w:val="fr-FR"/>
        </w:rPr>
      </w:pPr>
      <w:r>
        <w:rPr>
          <w:b w:val="false"/>
          <w:i w:val="false"/>
          <w:lang w:val="fr-FR"/>
        </w:rPr>
        <w:t>Cette section présente, pour chaque membre de l'équipe, la description des développements unitaires réalisés (logiciels, matériels ou documentaires), leur statut de validation (recettes unitaires) et la phase d'intégration validée par chacun lors de la mise bout-à-bout de la chaîne.</w:t>
      </w:r>
    </w:p>
    <w:p>
      <w:pPr>
        <w:pStyle w:val="Normal"/>
        <w:rPr>
          <w:lang w:val="fr-FR"/>
        </w:rPr>
      </w:pPr>
      <w:r>
        <w:rPr>
          <w:lang w:val="fr-FR"/>
        </w:rPr>
      </w:r>
      <w:r>
        <w:br w:type="page"/>
      </w:r>
    </w:p>
    <w:p>
      <w:pPr>
        <w:pStyle w:val="Heading1"/>
        <w:spacing w:before="0" w:after="120"/>
        <w:rPr>
          <w:lang w:val="fr-FR"/>
        </w:rPr>
      </w:pPr>
      <w:bookmarkStart w:id="22" w:name="__RefHeading___Toc1625_857827966"/>
      <w:bookmarkEnd w:id="22"/>
      <w:r>
        <w:rPr>
          <w:lang w:val="fr-FR"/>
        </w:rPr>
        <w:t>4.1 Partie individuelle — Noa Orand</w:t>
      </w:r>
    </w:p>
    <w:p>
      <w:pPr>
        <w:pStyle w:val="Normal"/>
        <w:rPr>
          <w:lang w:val="fr-FR"/>
        </w:rPr>
      </w:pPr>
      <w:r>
        <w:rPr>
          <w:b w:val="false"/>
          <w:i w:val="false"/>
          <w:lang w:val="fr-FR"/>
        </w:rPr>
        <w:t>Ma contribution couvre deux briques fonctionnelles complémentaires de la chaîne : d'une part, le pipeline d'acquisition logicielle (serveur TCP de métadonnées et client UDP de données), qui constitue le point d'entrée des signaux capteurs et des informations contextuelles dans le système ; d'autre part, le modèle d'intelligence artificielle (architecture double branche convolutive) qui exploite ces signaux pour estimer le niveau de tension appliqué au moteur.</w:t>
      </w:r>
    </w:p>
    <w:p>
      <w:pPr>
        <w:pStyle w:val="Normal"/>
        <w:rPr>
          <w:lang w:val="fr-FR"/>
        </w:rPr>
      </w:pPr>
      <w:r>
        <w:rPr>
          <w:b w:val="false"/>
          <w:i w:val="false"/>
          <w:lang w:val="fr-FR"/>
        </w:rPr>
        <w:t>Cette double responsabilité est cohérente : elle me permet de garantir que le format des données produites en amont est bien adapté à l'apprentissage en aval, sans interface dégradée par une succession d'intermédiaires.</w:t>
      </w:r>
    </w:p>
    <w:p>
      <w:pPr>
        <w:pStyle w:val="Heading2"/>
        <w:rPr>
          <w:lang w:val="fr-FR"/>
        </w:rPr>
      </w:pPr>
      <w:bookmarkStart w:id="23" w:name="__RefHeading___Toc1627_857827966"/>
      <w:bookmarkEnd w:id="23"/>
      <w:r>
        <w:rPr>
          <w:lang w:val="fr-FR"/>
        </w:rPr>
        <w:t>4.1.1 Pipeline d'acquisition logicielle</w:t>
      </w:r>
    </w:p>
    <w:p>
      <w:pPr>
        <w:pStyle w:val="Heading3"/>
        <w:rPr>
          <w:lang w:val="fr-FR"/>
        </w:rPr>
      </w:pPr>
      <w:bookmarkStart w:id="24" w:name="__RefHeading___Toc1629_857827966"/>
      <w:bookmarkEnd w:id="24"/>
      <w:r>
        <w:rPr>
          <w:lang w:val="fr-FR"/>
        </w:rPr>
        <w:t>4.1.1.1 Serveur TCP de métadonnées</w:t>
      </w:r>
    </w:p>
    <w:p>
      <w:pPr>
        <w:pStyle w:val="Normal"/>
        <w:rPr>
          <w:lang w:val="fr-FR"/>
        </w:rPr>
      </w:pPr>
      <w:r>
        <w:rPr>
          <w:b w:val="false"/>
          <w:i w:val="false"/>
          <w:lang w:val="fr-FR"/>
        </w:rPr>
        <w:t>Le fichier serveurTCP_metadonnes_moteur.py implémente un serveur TCP qui écoute sur le port 9090 les métadonnées de session envoyées par l'IHM Qt avant chaque capture. Il fonctionne en mode bloquant à connexion courte : à chaque session, l'IHM ouvre une connexion, envoie un marqueur START suivi d'une ligne CSV de cinq champs séparés par des virgules, puis ferme la connexion.</w:t>
      </w:r>
    </w:p>
    <w:p>
      <w:pPr>
        <w:pStyle w:val="Normal"/>
        <w:rPr>
          <w:lang w:val="fr-FR"/>
        </w:rPr>
      </w:pPr>
      <w:r>
        <w:rPr>
          <w:b w:val="false"/>
          <w:i w:val="false"/>
          <w:lang w:val="fr-FR"/>
        </w:rPr>
        <w:t>Les cinq champs attendus sont, dans l'ordre :</w:t>
      </w:r>
    </w:p>
    <w:p>
      <w:pPr>
        <w:pStyle w:val="ListNumber"/>
        <w:numPr>
          <w:ilvl w:val="0"/>
          <w:numId w:val="4"/>
        </w:numPr>
        <w:rPr>
          <w:lang w:val="fr-FR"/>
        </w:rPr>
      </w:pPr>
      <w:r>
        <w:rPr>
          <w:lang w:val="fr-FR"/>
        </w:rPr>
        <w:t>condition_charge : étiquette de la condition de charge (« Aucune », « Sans », « A_vide » ou « Avec », « Frein », « B_frein » selon les conventions de l'IHM).</w:t>
      </w:r>
    </w:p>
    <w:p>
      <w:pPr>
        <w:pStyle w:val="ListNumber"/>
        <w:numPr>
          <w:ilvl w:val="0"/>
          <w:numId w:val="4"/>
        </w:numPr>
        <w:rPr>
          <w:lang w:val="fr-FR"/>
        </w:rPr>
      </w:pPr>
      <w:r>
        <w:rPr>
          <w:lang w:val="fr-FR"/>
        </w:rPr>
        <w:t>duree : durée nominale de la capture en secondes (15 par défaut).</w:t>
      </w:r>
    </w:p>
    <w:p>
      <w:pPr>
        <w:pStyle w:val="ListNumber"/>
        <w:numPr>
          <w:ilvl w:val="0"/>
          <w:numId w:val="4"/>
        </w:numPr>
        <w:rPr>
          <w:lang w:val="fr-FR"/>
        </w:rPr>
      </w:pPr>
      <w:r>
        <w:rPr>
          <w:lang w:val="fr-FR"/>
        </w:rPr>
        <w:t>frequence_son : fréquence d'échantillonnage déclarée par l'opérateur côté son, en Hz.</w:t>
      </w:r>
    </w:p>
    <w:p>
      <w:pPr>
        <w:pStyle w:val="ListNumber"/>
        <w:numPr>
          <w:ilvl w:val="0"/>
          <w:numId w:val="4"/>
        </w:numPr>
        <w:rPr>
          <w:lang w:val="fr-FR"/>
        </w:rPr>
      </w:pPr>
      <w:r>
        <w:rPr>
          <w:lang w:val="fr-FR"/>
        </w:rPr>
        <w:t>frequence_vibration : fréquence d'échantillonnage déclarée côté vibration, en Hz.</w:t>
      </w:r>
    </w:p>
    <w:p>
      <w:pPr>
        <w:pStyle w:val="ListNumber"/>
        <w:numPr>
          <w:ilvl w:val="0"/>
          <w:numId w:val="4"/>
        </w:numPr>
        <w:rPr>
          <w:lang w:val="fr-FR"/>
        </w:rPr>
      </w:pPr>
      <w:r>
        <w:rPr>
          <w:lang w:val="fr-FR"/>
        </w:rPr>
        <w:t>niveau_tension : valeur entière du label IA, entre 0 et 100, correspondant au pourcentage de la tension maximale appliqué.</w:t>
      </w:r>
    </w:p>
    <w:p>
      <w:pPr>
        <w:pStyle w:val="Normal"/>
        <w:rPr>
          <w:b w:val="false"/>
          <w:i w:val="false"/>
          <w:lang w:val="fr-FR"/>
        </w:rPr>
      </w:pPr>
      <w:r>
        <w:rPr>
          <w:b w:val="false"/>
          <w:i w:val="false"/>
          <w:lang w:val="fr-FR"/>
        </w:rPr>
        <w:t>À réception, le serveur calcule automatiquement l'identifiant de session (get_next_id sur le nombre de lignes existantes dans le CSV maître), horodate la session, normalise la condition de charge à travers un dictionnaire de synonymes (CONDITION_MAP) pour aboutir aux valeurs canoniques « A_vide » ou « B_frein » attendues par le modèle IA, puis écrit une ligne complète dans le fichier maître metadata_captures_moteur.csv. Les noms des fichiers son et vibration sont déduits de l'identifiant (son_N.csv et vib_N.csv) pour garantir la cohérence avec le client UDP.</w:t>
      </w:r>
    </w:p>
    <w:p>
      <w:pPr>
        <w:pStyle w:val="Normal"/>
        <w:rPr>
          <w:b w:val="false"/>
          <w:i w:val="false"/>
          <w:lang w:val="fr-FR"/>
        </w:rPr>
      </w:pPr>
      <w:r>
        <w:rPr>
          <w:b w:val="false"/>
          <w:i w:val="false"/>
          <w:lang w:val="fr-FR"/>
        </w:rPr>
        <w:t>Un diagramme de séquence a été crée afin de mieux visualiser l’acquisition des données :</w:t>
      </w:r>
    </w:p>
    <w:p>
      <w:pPr>
        <w:pStyle w:val="Normal"/>
        <w:rPr>
          <w:b w:val="false"/>
          <w:i w:val="false"/>
          <w:lang w:val="fr-FR"/>
        </w:rPr>
      </w:pPr>
      <w:r>
        <w:rPr>
          <w:b w:val="false"/>
          <w:i w:val="false"/>
          <w:lang w:val="fr-F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60720" cy="39490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60720" cy="3949065"/>
                    </a:xfrm>
                    <a:prstGeom prst="rect">
                      <a:avLst/>
                    </a:prstGeom>
                    <a:noFill/>
                  </pic:spPr>
                </pic:pic>
              </a:graphicData>
            </a:graphic>
          </wp:anchor>
        </w:drawing>
      </w:r>
    </w:p>
    <w:p>
      <w:pPr>
        <w:pStyle w:val="Heading3"/>
        <w:rPr>
          <w:lang w:val="fr-FR"/>
        </w:rPr>
      </w:pPr>
      <w:bookmarkStart w:id="25" w:name="__RefHeading___Toc1631_857827966"/>
      <w:bookmarkEnd w:id="25"/>
      <w:r>
        <w:rPr>
          <w:lang w:val="fr-FR"/>
        </w:rPr>
        <w:t>4.1.1.2 Client UDP de données capteurs</w:t>
      </w:r>
    </w:p>
    <w:p>
      <w:pPr>
        <w:pStyle w:val="Normal"/>
        <w:rPr>
          <w:lang w:val="fr-FR"/>
        </w:rPr>
      </w:pPr>
      <w:r>
        <w:rPr>
          <w:b w:val="false"/>
          <w:i w:val="false"/>
          <w:lang w:val="fr-FR"/>
        </w:rPr>
        <w:t>Le fichier clientUDP_données.py écoute sur le port 9091 les paquets UDP envoyés par l'ESP32. Deux types de trames sont attendus, distingués par leur premier champ après séparation par virgule :</w:t>
      </w:r>
    </w:p>
    <w:p>
      <w:pPr>
        <w:pStyle w:val="ListBullet"/>
        <w:numPr>
          <w:ilvl w:val="0"/>
          <w:numId w:val="1"/>
        </w:numPr>
        <w:rPr>
          <w:lang w:val="fr-FR"/>
        </w:rPr>
      </w:pPr>
      <w:r>
        <w:rPr>
          <w:lang w:val="fr-FR"/>
        </w:rPr>
        <w:t>« SOUND, timestamp, amp1, amp2, …, ampN » : trame audio contenant un horodatage milliseconde et N échantillons d'amplitude (typiquement N = 128 par paquet à 16 kHz).</w:t>
      </w:r>
    </w:p>
    <w:p>
      <w:pPr>
        <w:pStyle w:val="ListBullet"/>
        <w:numPr>
          <w:ilvl w:val="0"/>
          <w:numId w:val="1"/>
        </w:numPr>
        <w:rPr>
          <w:lang w:val="fr-FR"/>
        </w:rPr>
      </w:pPr>
      <w:r>
        <w:rPr>
          <w:lang w:val="fr-FR"/>
        </w:rPr>
        <w:t>« VIB, timestamp, VX, VY, VZ, ADX, ADY, ADZ, TEMP, DX, DY, DZ, HZX, HZY, HZZ » : trame vibration contenant un horodatage et treize valeurs issues du capteur WTVB01-BT50.</w:t>
      </w:r>
    </w:p>
    <w:p>
      <w:pPr>
        <w:pStyle w:val="Normal"/>
        <w:rPr>
          <w:lang w:val="fr-FR"/>
        </w:rPr>
      </w:pPr>
      <w:r>
        <w:rPr>
          <w:b w:val="false"/>
          <w:i w:val="false"/>
          <w:lang w:val="fr-FR"/>
        </w:rPr>
        <w:t xml:space="preserve">Le buffer de réception socket est porté à </w:t>
      </w:r>
      <w:r>
        <w:rPr>
          <w:b w:val="false"/>
          <w:i w:val="false"/>
          <w:lang w:val="fr-FR"/>
        </w:rPr>
        <w:t>8</w:t>
      </w:r>
      <w:r>
        <w:rPr>
          <w:b w:val="false"/>
          <w:i w:val="false"/>
          <w:lang w:val="fr-FR"/>
        </w:rPr>
        <w:t xml:space="preserve"> Mo (SO_RCVBUF) pour absorber les pics de débit audio sans perte de paquet. Une boucle non bloquante avec recvfrom() permet de traiter les deux flux entrelacés en temps réel. Chaque trame VIB est validée strictement (exactement 15 champs après split, sinon rejet et incrément du compteur de corrompus) pour se prémunir contre une éventuelle concaténation de deux trames BLE que la pile FreeRTOS n'aurait pas correctement séparées.</w:t>
      </w:r>
    </w:p>
    <w:p>
      <w:pPr>
        <w:pStyle w:val="Normal"/>
        <w:rPr>
          <w:lang w:val="fr-FR"/>
        </w:rPr>
      </w:pPr>
      <w:r>
        <w:rPr>
          <w:b w:val="false"/>
          <w:i w:val="false"/>
          <w:lang w:val="fr-FR"/>
        </w:rPr>
        <w:t>L'identifiant de session est récupéré dynamiquement à l'arrivée du premier paquet d'une nouvelle capture, en relisant la dernière ligne du fichier maître metadata_captures_moteur.csv produit par le serveur TCP. Si la lecture échoue, l'erreur est désormais journalisée explicitement (FileNotFoundError, header seul, etc.) et l'identifiant est forcé à zéro avec un avertissement bien visible — correction apportée après diagnostic d'un bug où une lecture muette aboutissait à des fichiers son et vibration empilés sur la même session zéro.</w:t>
      </w:r>
    </w:p>
    <w:p>
      <w:pPr>
        <w:pStyle w:val="Normal"/>
        <w:rPr>
          <w:lang w:val="fr-FR"/>
        </w:rPr>
      </w:pPr>
      <w:r>
        <w:rPr>
          <w:b w:val="false"/>
          <w:i w:val="false"/>
          <w:lang w:val="fr-FR"/>
        </w:rPr>
        <w:t>La détection de la fin de capture repose sur un timeout d'inactivité de 3 secondes (TIMEOUT_PRESENCE). À l'expiration de ce timeout, un récapitulatif est imprimé (nombre de paquets reçus, nombre d'échantillons audio, nombre de lignes vibration, paquets corrompus, fréquence audio effective estimée) et le client repasse en attente d'une nouvelle session.</w:t>
      </w:r>
    </w:p>
    <w:p>
      <w:pPr>
        <w:pStyle w:val="Heading3"/>
        <w:rPr>
          <w:lang w:val="fr-FR"/>
        </w:rPr>
      </w:pPr>
      <w:bookmarkStart w:id="26" w:name="__RefHeading___Toc1633_857827966"/>
      <w:bookmarkEnd w:id="26"/>
      <w:r>
        <w:rPr>
          <w:lang w:val="fr-FR"/>
        </w:rPr>
        <w:t>4.1.1.3 Format du fichier maître metadata_captures_moteur.csv</w:t>
      </w:r>
    </w:p>
    <w:p>
      <w:pPr>
        <w:pStyle w:val="Normal"/>
        <w:rPr>
          <w:lang w:val="fr-FR"/>
        </w:rPr>
      </w:pPr>
      <w:r>
        <w:rPr>
          <w:b w:val="false"/>
          <w:i w:val="false"/>
          <w:lang w:val="fr-FR"/>
        </w:rPr>
        <w:t>Le fichier CSV maître constitue la base de données du dataset. Il regroupe en une seule table toutes les sessions enregistrées, avec un identifiant unique et des références vers les fichiers son et vibration associés. Son schéma est :</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024"/>
        <w:gridCol w:w="3024"/>
        <w:gridCol w:w="3024"/>
      </w:tblGrid>
      <w:tr>
        <w:trPr/>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Colonne</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Type</w:t>
            </w:r>
          </w:p>
        </w:tc>
        <w:tc>
          <w:tcPr>
            <w:tcW w:w="3024"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id_session</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entier</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Identifiant auto-incrémenté de la session</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time_session</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texte</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Horodatage ISO court (AAAA-MM-JJ_HH:MM)</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condition_charge</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texte</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Condition canonique : « A_vide » ou « B_frein »</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duree</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entier</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Durée nominale de la capture en secondes</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frequence_son</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entier</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Fréquence d'échantillonnage déclarée côté son (Hz)</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frequence_vibration</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entier</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Fréquence d'échantillonnage déclarée côté vibration (Hz)</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fichier_son</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texte</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Nom relatif du fichier son associé (son_N.csv)</w:t>
            </w:r>
          </w:p>
        </w:tc>
      </w:tr>
      <w:tr>
        <w:trPr/>
        <w:tc>
          <w:tcPr>
            <w:tcW w:w="3024"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fichier_vibration</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texte</w:t>
            </w:r>
          </w:p>
        </w:tc>
        <w:tc>
          <w:tcPr>
            <w:tcW w:w="3024"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Nom relatif du fichier vibration associé (vib_N.csv)</w:t>
            </w:r>
          </w:p>
        </w:tc>
      </w:tr>
      <w:tr>
        <w:trPr/>
        <w:tc>
          <w:tcPr>
            <w:tcW w:w="3024"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niveau_tension</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entier</w:t>
            </w:r>
          </w:p>
        </w:tc>
        <w:tc>
          <w:tcPr>
            <w:tcW w:w="3024"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Label IA, 0 à 100, en pourcentage de Vmax de la condition</w:t>
            </w:r>
          </w:p>
        </w:tc>
      </w:tr>
    </w:tbl>
    <w:p>
      <w:pPr>
        <w:pStyle w:val="Normal"/>
        <w:rPr>
          <w:lang w:val="fr-FR"/>
        </w:rPr>
      </w:pPr>
      <w:r>
        <w:rPr>
          <w:lang w:val="fr-FR"/>
        </w:rPr>
      </w:r>
    </w:p>
    <w:p>
      <w:pPr>
        <w:pStyle w:val="Normal"/>
        <w:rPr>
          <w:lang w:val="fr-FR"/>
        </w:rPr>
      </w:pPr>
      <w:r>
        <w:rPr>
          <w:b w:val="false"/>
          <w:i w:val="false"/>
          <w:lang w:val="fr-FR"/>
        </w:rPr>
        <w:t>Ce format permet, à l'apprentissage, de charger en un seul pandas.read_csv l'ensemble du dataset et d'itérer sur les sessions sans logique de découverte de fichiers. C'est aussi le format qui sera fourni en annexe (base de données) du présent dossier.</w:t>
      </w:r>
    </w:p>
    <w:p>
      <w:pPr>
        <w:pStyle w:val="Heading2"/>
        <w:rPr>
          <w:lang w:val="fr-FR"/>
        </w:rPr>
      </w:pPr>
      <w:bookmarkStart w:id="27" w:name="__RefHeading___Toc1635_857827966"/>
      <w:bookmarkEnd w:id="27"/>
      <w:r>
        <w:rPr>
          <w:lang w:val="fr-FR"/>
        </w:rPr>
        <w:t>4.1.2 Modèle d'intelligence artificielle — architecture double branche</w:t>
      </w:r>
    </w:p>
    <w:p>
      <w:pPr>
        <w:pStyle w:val="Heading3"/>
        <w:rPr>
          <w:lang w:val="fr-FR"/>
        </w:rPr>
      </w:pPr>
      <w:bookmarkStart w:id="28" w:name="__RefHeading___Toc1637_857827966"/>
      <w:bookmarkEnd w:id="28"/>
      <w:r>
        <w:rPr>
          <w:lang w:val="fr-FR"/>
        </w:rPr>
        <w:t>4.1.2.1 Justification de l'architecture double branche</w:t>
      </w:r>
    </w:p>
    <w:p>
      <w:pPr>
        <w:pStyle w:val="Normal"/>
        <w:rPr>
          <w:lang w:val="fr-FR"/>
        </w:rPr>
      </w:pPr>
      <w:r>
        <w:rPr>
          <w:b w:val="false"/>
          <w:i w:val="false"/>
          <w:lang w:val="fr-FR"/>
        </w:rPr>
        <w:t>Les signaux acoustique et vibratoire présentent des caractéristiques physiques fondamentalement différentes : l'un échantillonné à plusieurs kHz, riche en harmoniques mécaniques et bruits aérodynamiques ; l'autre échantillonné à quelques dizaines de Hz, porteur d'une signature de basse fréquence sur les axes vibrants. Concaténer les deux modalités dans un tenseur unique aurait obligé le réseau à apprendre simultanément deux statistiques très distinctes, ce qui dégrade en pratique la convergence et nuit à l'interprétabilité.</w:t>
      </w:r>
    </w:p>
    <w:p>
      <w:pPr>
        <w:pStyle w:val="Normal"/>
        <w:rPr>
          <w:lang w:val="fr-FR"/>
        </w:rPr>
      </w:pPr>
      <w:r>
        <w:rPr>
          <w:b w:val="false"/>
          <w:i w:val="false"/>
          <w:lang w:val="fr-FR"/>
        </w:rPr>
        <w:t>L'architecture retenue, dite double branche, alloue à chaque modalité un sous-réseau convolutif propre, capable d'apprendre des filtres adaptés à son échelle. Les représentations apprises sont ensuite fusionnées par concaténation avant la couche de régression finale. Cette approche est classique dans la littérature multimodale (audio-visuelle notamment) et offre l'avantage majeur d'isoler l'apport de chaque modalité — il devient possible, en désactivant une branche, de mesurer sa contribution réelle à la prédiction.</w:t>
      </w:r>
    </w:p>
    <w:p>
      <w:pPr>
        <w:pStyle w:val="Heading3"/>
        <w:rPr>
          <w:lang w:val="fr-FR"/>
        </w:rPr>
      </w:pPr>
      <w:bookmarkStart w:id="29" w:name="__RefHeading___Toc1639_857827966"/>
      <w:bookmarkEnd w:id="29"/>
      <w:r>
        <w:rPr>
          <w:lang w:val="fr-FR"/>
        </w:rPr>
        <w:t>4.1.2.2 Représentation des signaux : mel-spectrogrammes</w:t>
      </w:r>
    </w:p>
    <w:p>
      <w:pPr>
        <w:pStyle w:val="Normal"/>
        <w:rPr>
          <w:lang w:val="fr-FR"/>
        </w:rPr>
      </w:pPr>
      <w:r>
        <w:rPr>
          <w:b w:val="false"/>
          <w:i w:val="false"/>
          <w:lang w:val="fr-FR"/>
        </w:rPr>
        <w:t>Les signaux temporels bruts ne sont pas exploités directement par le réseau. Ils sont d'abord convertis en mel-spectrogrammes — représentations temps-fréquence à axe fréquentiel perceptuel — au moyen de la bibliothèque librosa.</w:t>
      </w:r>
    </w:p>
    <w:p>
      <w:pPr>
        <w:pStyle w:val="Normal"/>
        <w:rPr>
          <w:lang w:val="fr-FR"/>
        </w:rPr>
      </w:pPr>
      <w:r>
        <w:rPr>
          <w:b w:val="false"/>
          <w:i w:val="false"/>
          <w:lang w:val="fr-FR"/>
        </w:rPr>
        <w:t>Côté son, les paramètres sont ceux par défaut adaptés à un signal de quelques kHz : n_fft = 2048, hop_length = 512, n_mels = 64. Côté vibration, ces paramètres sont explicitement réduits (n_fft = 128, hop_length = 32, n_mels = 32) pour rester compatibles avec la longueur réduite du signal d'entrée (quelques centaines d'échantillons sur 15 s). Sans cet ajustement, librosa retournerait un spectrogramme dégénéré (une seule trame temporelle) inutilisable pour une convolution 2D.</w:t>
      </w:r>
    </w:p>
    <w:p>
      <w:pPr>
        <w:pStyle w:val="Normal"/>
        <w:rPr>
          <w:lang w:val="fr-FR"/>
        </w:rPr>
      </w:pPr>
      <w:r>
        <w:rPr>
          <w:b w:val="false"/>
          <w:i w:val="false"/>
          <w:lang w:val="fr-FR"/>
        </w:rPr>
        <w:t>Chaque mel-spectrogramme est ensuite converti en décibels (power_to_db) puis normalisé entre 0 et 1 par une fonction min-max, et redimensionné à 128 × 128 par tf.image.resize pour que les deux branches du réseau partagent une entrée de même géométrie.</w:t>
      </w:r>
    </w:p>
    <w:p>
      <w:pPr>
        <w:pStyle w:val="Heading3"/>
        <w:rPr>
          <w:lang w:val="fr-FR"/>
        </w:rPr>
      </w:pPr>
      <w:bookmarkStart w:id="30" w:name="__RefHeading___Toc1641_857827966"/>
      <w:bookmarkEnd w:id="30"/>
      <w:r>
        <w:rPr>
          <w:lang w:val="fr-FR"/>
        </w:rPr>
        <w:t>4.1.2.3 Augmentations d'entraînement et anti-fuite</w:t>
      </w:r>
    </w:p>
    <w:p>
      <w:pPr>
        <w:pStyle w:val="Normal"/>
        <w:rPr>
          <w:lang w:val="fr-FR"/>
        </w:rPr>
      </w:pPr>
      <w:r>
        <w:rPr>
          <w:b w:val="false"/>
          <w:i w:val="false"/>
          <w:lang w:val="fr-FR"/>
        </w:rPr>
        <w:t>Au vu du dataset cible relativement modeste (110 sessions de 15 secondes), trois augmentations sont appliquées exclusivement à l'ensemble d'entraînement :</w:t>
      </w:r>
    </w:p>
    <w:p>
      <w:pPr>
        <w:pStyle w:val="ListBullet"/>
        <w:numPr>
          <w:ilvl w:val="0"/>
          <w:numId w:val="1"/>
        </w:numPr>
        <w:rPr>
          <w:lang w:val="fr-FR"/>
        </w:rPr>
      </w:pPr>
      <w:r>
        <w:rPr>
          <w:lang w:val="fr-FR"/>
        </w:rPr>
        <w:t>Bruit gaussien additif paramétré par un rapport signal sur bruit de 25 dB, appliqué au signal temporel avant calcul du mel-spectrogramme.</w:t>
      </w:r>
    </w:p>
    <w:p>
      <w:pPr>
        <w:pStyle w:val="ListBullet"/>
        <w:numPr>
          <w:ilvl w:val="0"/>
          <w:numId w:val="1"/>
        </w:numPr>
        <w:rPr>
          <w:lang w:val="fr-FR"/>
        </w:rPr>
      </w:pPr>
      <w:r>
        <w:rPr>
          <w:lang w:val="fr-FR"/>
        </w:rPr>
        <w:t>Décalage temporel circulaire dans une fenêtre maximale de 10 % de la longueur, qui simule un léger asynchronisme entre l'instant de capture et le démarrage du moteur.</w:t>
      </w:r>
    </w:p>
    <w:p>
      <w:pPr>
        <w:pStyle w:val="ListBullet"/>
        <w:numPr>
          <w:ilvl w:val="0"/>
          <w:numId w:val="1"/>
        </w:numPr>
        <w:rPr>
          <w:lang w:val="fr-FR"/>
        </w:rPr>
      </w:pPr>
      <w:r>
        <w:rPr>
          <w:lang w:val="fr-FR"/>
        </w:rPr>
        <w:t>SpecAugment : deux masques temporels et deux masques fréquentiels d'environ 10 % chacun appliqués directement sur le mel-spectrogramme, technique éprouvée issue de la littérature en reconnaissance audio.</w:t>
      </w:r>
    </w:p>
    <w:p>
      <w:pPr>
        <w:pStyle w:val="Normal"/>
        <w:rPr>
          <w:lang w:val="fr-FR"/>
        </w:rPr>
      </w:pPr>
      <w:r>
        <w:rPr>
          <w:b w:val="false"/>
          <w:i w:val="false"/>
          <w:lang w:val="fr-FR"/>
        </w:rPr>
        <w:t>Pour démultiplier le volume d'apprentissage sans collecter de captures supplémentaires, chaque capture audio est par ailleurs découpée en fenêtres glissantes d'une seconde avec 50 % de recouvrement, ce qui produit environ 29 segments par capture. À l'inférence, les prédictions issues de tous les segments d'une même capture sont moyennées pour fournir une prédiction unique au niveau de la capture entière.</w:t>
      </w:r>
    </w:p>
    <w:tbl>
      <w:tblPr>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072"/>
      </w:tblGrid>
      <w:tr>
        <w:trPr/>
        <w:tc>
          <w:tcPr>
            <w:tcW w:w="9072" w:type="dxa"/>
            <w:tcBorders/>
            <w:shd w:color="auto" w:fill="F2F2F2" w:val="clear"/>
          </w:tcPr>
          <w:p>
            <w:pPr>
              <w:pStyle w:val="Normal"/>
              <w:spacing w:before="0" w:after="120"/>
              <w:rPr>
                <w:lang w:val="fr-FR"/>
              </w:rPr>
            </w:pPr>
            <w:r>
              <w:rPr>
                <w:b/>
                <w:lang w:val="fr-FR"/>
              </w:rPr>
              <w:t xml:space="preserve">Anti-fuite (data leakage) — </w:t>
            </w:r>
            <w:r>
              <w:rPr>
                <w:lang w:val="fr-FR"/>
              </w:rPr>
              <w:t>La séparation train/test se fait au niveau de la capture, pas au niveau du segment. Tous les segments issus d'une capture donnée vont dans le même ensemble (soit train, soit test), jamais distribués des deux côtés. Cette précaution évite la sur-évaluation classique des modèles audio où un même extrait vu sous deux fenêtres différentes serait à la fois dans l'apprentissage et dans la validation.</w:t>
            </w:r>
          </w:p>
        </w:tc>
      </w:tr>
    </w:tbl>
    <w:p>
      <w:pPr>
        <w:pStyle w:val="Normal"/>
        <w:rPr>
          <w:lang w:val="fr-FR"/>
        </w:rPr>
      </w:pPr>
      <w:r>
        <w:rPr>
          <w:lang w:val="fr-FR"/>
        </w:rPr>
      </w:r>
    </w:p>
    <w:p>
      <w:pPr>
        <w:pStyle w:val="Heading3"/>
        <w:rPr>
          <w:lang w:val="fr-FR"/>
        </w:rPr>
      </w:pPr>
      <w:bookmarkStart w:id="31" w:name="__RefHeading___Toc1643_857827966"/>
      <w:bookmarkEnd w:id="31"/>
      <w:r>
        <w:rPr>
          <w:lang w:val="fr-FR"/>
        </w:rPr>
        <w:t>4.1.2.4 Architecture du réseau</w:t>
      </w:r>
    </w:p>
    <w:p>
      <w:pPr>
        <w:pStyle w:val="Normal"/>
        <w:rPr>
          <w:lang w:val="fr-FR"/>
        </w:rPr>
      </w:pPr>
      <w:r>
        <w:rPr>
          <w:b w:val="false"/>
          <w:i w:val="false"/>
          <w:lang w:val="fr-FR"/>
        </w:rPr>
        <w:t>Chaque branche convolutive est constituée de trois blocs successifs Conv2D → BatchNormalization → MaxPooling2D, avec 32, 64 puis 128 filtres de taille 3 × 3 et activation ReLU. Un GlobalAveragePooling2D conclut chaque branche, produisant un vecteur de descripteurs de dimension 128 par modalité.</w:t>
      </w:r>
    </w:p>
    <w:p>
      <w:pPr>
        <w:pStyle w:val="Normal"/>
        <w:rPr>
          <w:lang w:val="fr-FR"/>
        </w:rPr>
      </w:pPr>
      <w:r>
        <w:rPr>
          <w:b w:val="false"/>
          <w:i w:val="false"/>
          <w:lang w:val="fr-FR"/>
        </w:rPr>
        <w:t>Les deux vecteurs sont concaténés en une couche fusion de dimension 256, puis envoyés à travers une couche dense de 64 neurones (ReLU) suivie d'un Dropout de 0,3 pour régularisation. La sortie finale est une couche dense d'un neurone avec activation sigmoïde, dont la valeur dans [0, 1] est multipliée par 100 pour restituer un pourcentage de tension.</w:t>
      </w:r>
    </w:p>
    <w:p>
      <w:pPr>
        <w:pStyle w:val="Normal"/>
        <w:rPr>
          <w:lang w:val="fr-FR"/>
        </w:rPr>
      </w:pPr>
      <w:r>
        <w:rPr>
          <w:b w:val="false"/>
          <w:i w:val="false"/>
          <w:lang w:val="fr-FR"/>
        </w:rPr>
        <w:t>La fonction de perte est l'erreur quadratique moyenne (MSE) et la métrique de suivi est l'erreur absolue moyenne (MAE), facilement interprétable en points de pourcentage de tension. L'optimiseur est Adam avec son taux d'apprentissage par défaut. Trois callbacks Keras sont employés : EarlyStopping (patience 8 sur la perte de validation), ReduceLROnPlateau (réduction de moitié du taux après 4 époques sans amélioration) et ModelCheckpoint (sauvegarde du meilleur modèle).</w:t>
      </w:r>
    </w:p>
    <w:p>
      <w:pPr>
        <w:pStyle w:val="Heading3"/>
        <w:rPr>
          <w:lang w:val="fr-FR"/>
        </w:rPr>
      </w:pPr>
      <w:bookmarkStart w:id="32" w:name="__RefHeading___Toc1645_857827966"/>
      <w:bookmarkEnd w:id="32"/>
      <w:r>
        <w:rPr>
          <w:lang w:val="fr-FR"/>
        </w:rPr>
        <w:t>4.1.2.5 Décision d'ingénierie Option A — utilisation de l'axe Z seul</w:t>
      </w:r>
    </w:p>
    <w:p>
      <w:pPr>
        <w:pStyle w:val="Normal"/>
        <w:rPr>
          <w:lang w:val="fr-FR"/>
        </w:rPr>
      </w:pPr>
      <w:r>
        <w:rPr>
          <w:b w:val="false"/>
          <w:i w:val="false"/>
          <w:lang w:val="fr-FR"/>
        </w:rPr>
        <w:t>Lors des premières captures de validation, l'analyse statistique a révélé un comportement inattendu du capteur WTVB01-BT50 : les axes X et Y reportaient en permanence des valeurs constantes (VX = 271, VY = 1), tandis que l'axe Z présentait une dynamique réelle. La vérification croisée avec le manuel constructeur a confirmé que le protocole et le parsing étaient corrects ; l'explication retenue est physique : dans la configuration de montage du capteur sur le banc, les axes X et Y sont perpendiculaires à la direction principale de vibration du moteur et reportent un bruit MEMS sous seuil quasiment invariant.</w:t>
      </w:r>
    </w:p>
    <w:p>
      <w:pPr>
        <w:pStyle w:val="Normal"/>
        <w:rPr>
          <w:lang w:val="fr-FR"/>
        </w:rPr>
      </w:pPr>
      <w:r>
        <w:rPr>
          <w:b w:val="false"/>
          <w:i w:val="false"/>
          <w:lang w:val="fr-FR"/>
        </w:rPr>
        <w:t>Plutôt que de réorienter le capteur et de reprendre toute la calibration, j'ai opté pour une décision d'ingénierie pragmatique : remplacer la magnitude vectorielle à trois axes √(VX² + VY² + VZ²) — dont le plancher imposé par les valeurs constantes écrasait la dynamique basse — par la valeur absolue de Z seul, |VZ|. Cette modification, limitée à une ligne dans charger_sessions(), restaure la dynamique réelle du signal vibratoire utile et améliore le conditionnement de la régression aux faibles niveaux de tension. L'ancienne ligne est conservée en commentaire pour permettre un retour en arrière immédiat en cas de changement de banc ou de capteur.</w:t>
      </w:r>
    </w:p>
    <w:p>
      <w:pPr>
        <w:pStyle w:val="Heading2"/>
        <w:rPr>
          <w:lang w:val="fr-FR"/>
        </w:rPr>
      </w:pPr>
      <w:bookmarkStart w:id="33" w:name="__RefHeading___Toc1647_857827966"/>
      <w:bookmarkEnd w:id="33"/>
      <w:r>
        <w:rPr>
          <w:lang w:val="fr-FR"/>
        </w:rPr>
        <w:t>4.1.3 Fiches de recette unitaires</w:t>
      </w:r>
    </w:p>
    <w:p>
      <w:pPr>
        <w:pStyle w:val="Normal"/>
        <w:rPr>
          <w:b w:val="false"/>
          <w:i w:val="false"/>
          <w:lang w:val="fr-FR"/>
        </w:rPr>
      </w:pPr>
      <w:r>
        <w:rPr>
          <w:b w:val="false"/>
          <w:i w:val="false"/>
          <w:lang w:val="fr-FR"/>
        </w:rPr>
        <w:t>Chaque brique logicielle a fait l'objet d'une recette unitaire ciblée, exécutée dans des conditions contrôlées avant intégration. Le détail complet des procédures est en annexe ; les tableaux ci-dessous synthétisent l'objectif, les critères de validation et le statut obtenu.</w:t>
      </w:r>
    </w:p>
    <w:p>
      <w:pPr>
        <w:pStyle w:val="Normal"/>
        <w:rPr>
          <w:b w:val="false"/>
          <w:i w:val="false"/>
          <w:lang w:val="fr-FR"/>
        </w:rPr>
      </w:pPr>
      <w:r>
        <w:rPr>
          <w:b w:val="false"/>
          <w:i w:val="false"/>
          <w:lang w:val="fr-FR"/>
        </w:rPr>
      </w:r>
    </w:p>
    <w:p>
      <w:pPr>
        <w:pStyle w:val="Normal"/>
        <w:rPr>
          <w:b w:val="false"/>
          <w:i w:val="false"/>
          <w:lang w:val="fr-FR"/>
        </w:rPr>
      </w:pPr>
      <w:r>
        <w:rPr>
          <w:b w:val="false"/>
          <w:i w:val="false"/>
          <w:lang w:val="fr-FR"/>
        </w:rPr>
      </w:r>
    </w:p>
    <w:p>
      <w:pPr>
        <w:pStyle w:val="Normal"/>
        <w:rPr>
          <w:b w:val="false"/>
          <w:i w:val="false"/>
          <w:lang w:val="fr-FR"/>
        </w:rPr>
      </w:pPr>
      <w:r>
        <w:rPr>
          <w:b w:val="false"/>
          <w:i w:val="false"/>
          <w:lang w:val="fr-FR"/>
        </w:rPr>
      </w:r>
    </w:p>
    <w:p>
      <w:pPr>
        <w:pStyle w:val="Heading3"/>
        <w:rPr>
          <w:lang w:val="fr-FR"/>
        </w:rPr>
      </w:pPr>
      <w:bookmarkStart w:id="34" w:name="__RefHeading___Toc1649_857827966"/>
      <w:bookmarkEnd w:id="34"/>
      <w:r>
        <w:rPr>
          <w:lang w:val="fr-FR"/>
        </w:rPr>
        <w:t>Recette unitaire U1 — Serveur TCP de métadonnées</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536"/>
        <w:gridCol w:w="4536"/>
      </w:tblGrid>
      <w:tr>
        <w:trPr/>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Item</w:t>
            </w:r>
          </w:p>
        </w:tc>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Objectif</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Vérifier que serveurTCP_metadonnes_moteur.py reçoit, parse et indexe correctement une trame IHM de 5 champs.</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Préconditions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Python 3 disponible ; fichier CSV maître inexistant pour forcer la création du header.</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Procédure</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Démarrer le serveur ; envoyer depuis netcat ou un script de test une trame « Aucune,15,16000,50,30 » suivie d'une fermeture de connexion.</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Critères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Une nouvelle ligne dans le CSV avec id auto, time horodaté, condition « A_vide » (normalisée), duree 15, fSon 16000, fVib 50, fichiers son_1.csv et vib_1.csv, niveau 30. Sortie console : « Indexation réussie : Session 1 [A_vide] ».</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Statut</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 xml:space="preserve">✅ </w:t>
            </w:r>
            <w:r>
              <w:rPr>
                <w:rFonts w:eastAsia="ＭＳ 明朝" w:cs=""/>
                <w:kern w:val="0"/>
                <w:szCs w:val="22"/>
                <w:lang w:val="fr-FR" w:eastAsia="en-US" w:bidi="ar-SA"/>
              </w:rPr>
              <w:t>Validée</w:t>
            </w:r>
          </w:p>
        </w:tc>
      </w:tr>
    </w:tbl>
    <w:p>
      <w:pPr>
        <w:pStyle w:val="Normal"/>
        <w:rPr>
          <w:lang w:val="fr-FR"/>
        </w:rPr>
      </w:pPr>
      <w:r>
        <w:rPr>
          <w:lang w:val="fr-FR"/>
        </w:rPr>
      </w:r>
    </w:p>
    <w:p>
      <w:pPr>
        <w:pStyle w:val="Heading3"/>
        <w:rPr>
          <w:lang w:val="fr-FR"/>
        </w:rPr>
      </w:pPr>
      <w:bookmarkStart w:id="35" w:name="__RefHeading___Toc1651_857827966"/>
      <w:bookmarkEnd w:id="35"/>
      <w:r>
        <w:rPr>
          <w:lang w:val="fr-FR"/>
        </w:rPr>
        <w:t>Recette unitaire U2 — Client UDP de données capteurs</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536"/>
        <w:gridCol w:w="4536"/>
      </w:tblGrid>
      <w:tr>
        <w:trPr/>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Item</w:t>
            </w:r>
          </w:p>
        </w:tc>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Objectif</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Vérifier que clientUDP_données.py classe correctement les trames SOUND et VIB et produit deux fichiers CSV cohérents.</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Préconditions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Une ligne existe dans metadata_captures_moteur.csv (id_session pour indexation des fichiers son/vib).</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Procédure</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Démarrer le client ; injecter des paquets UDP test depuis un script Python tiers (10 trames SOUND, 5 trames VIB, 1 trame corrompue).</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Critères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Création de son_N.csv avec header Temps/Amplitude et 10 × 128 lignes ; création de vib_N.csv avec header WIT et 5 lignes ; compteur corrompus = 1 ; récapitulatif final affiché après timeout.</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Statut</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 xml:space="preserve">✅ </w:t>
            </w:r>
            <w:r>
              <w:rPr>
                <w:rFonts w:eastAsia="ＭＳ 明朝" w:cs=""/>
                <w:kern w:val="0"/>
                <w:szCs w:val="22"/>
                <w:lang w:val="fr-FR" w:eastAsia="en-US" w:bidi="ar-SA"/>
              </w:rPr>
              <w:t>Validée</w:t>
            </w:r>
          </w:p>
        </w:tc>
      </w:tr>
    </w:tbl>
    <w:p>
      <w:pPr>
        <w:pStyle w:val="Normal"/>
        <w:rPr>
          <w:lang w:val="fr-FR"/>
        </w:rPr>
      </w:pPr>
      <w:r>
        <w:rPr>
          <w:lang w:val="fr-FR"/>
        </w:rPr>
      </w:r>
    </w:p>
    <w:p>
      <w:pPr>
        <w:pStyle w:val="Heading3"/>
        <w:rPr>
          <w:lang w:val="fr-FR"/>
        </w:rPr>
      </w:pPr>
      <w:bookmarkStart w:id="36" w:name="__RefHeading___Toc1653_857827966"/>
      <w:bookmarkEnd w:id="36"/>
      <w:r>
        <w:rPr>
          <w:lang w:val="fr-FR"/>
        </w:rPr>
        <w:t>Recette unitaire U3 — Chargement du dataset par charger_sessions()</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536"/>
        <w:gridCol w:w="4536"/>
      </w:tblGrid>
      <w:tr>
        <w:trPr/>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Item</w:t>
            </w:r>
          </w:p>
        </w:tc>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Objectif</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Vérifier que arch4_double_branche.py lit correctement le CSV maître et produit des spectrogrammes 128×128 sans erreur.</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Préconditions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Au moins une session présente avec fichiers son et vibration valides.</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Procédure</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Exécuter charger_sessions(CSV_PATH) en mode interactif ; afficher la shape de X_son et X_vib retournés.</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Critères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X_son et X_vib en (n_segments, 128, 128, 1), y en [0, 1], aucun Exception levée. Avertissement éventuel si écart SR &gt; 5 %.</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Statut</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 xml:space="preserve">✅ </w:t>
            </w:r>
            <w:r>
              <w:rPr>
                <w:rFonts w:eastAsia="ＭＳ 明朝" w:cs=""/>
                <w:kern w:val="0"/>
                <w:szCs w:val="22"/>
                <w:lang w:val="fr-FR" w:eastAsia="en-US" w:bidi="ar-SA"/>
              </w:rPr>
              <w:t>Validée</w:t>
            </w:r>
          </w:p>
        </w:tc>
      </w:tr>
    </w:tbl>
    <w:p>
      <w:pPr>
        <w:pStyle w:val="Normal"/>
        <w:rPr>
          <w:lang w:val="fr-FR"/>
        </w:rPr>
      </w:pPr>
      <w:r>
        <w:rPr>
          <w:lang w:val="fr-FR"/>
        </w:rPr>
      </w:r>
    </w:p>
    <w:p>
      <w:pPr>
        <w:pStyle w:val="Heading3"/>
        <w:rPr>
          <w:lang w:val="fr-FR"/>
        </w:rPr>
      </w:pPr>
      <w:bookmarkStart w:id="37" w:name="__RefHeading___Toc1655_857827966"/>
      <w:bookmarkEnd w:id="37"/>
      <w:r>
        <w:rPr>
          <w:lang w:val="fr-FR"/>
        </w:rPr>
        <w:t>Recette unitaire U4 — Augmentations d'entraînement</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536"/>
        <w:gridCol w:w="4536"/>
      </w:tblGrid>
      <w:tr>
        <w:trPr/>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Item</w:t>
            </w:r>
          </w:p>
        </w:tc>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Objectif</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Vérifier que les augmentations (bruit, time shift, SpecAugment) produisent des copies valides et que le compte de segments est multiplié par 1 + N_AUGMENT.</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Préconditions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Recette U3 validée.</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Procédure</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Appeler construire_segments(sessions, augmenter=True) et construire_segments(sessions, augmenter=False) sur le même set ; comparer la taille des deux sorties.</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Critères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Sortie augmentée 3 × plus grande que la version brute ; shape des tenseurs identique ; valeurs dans [0, 1].</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Statut</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 xml:space="preserve">✅ </w:t>
            </w:r>
            <w:r>
              <w:rPr>
                <w:rFonts w:eastAsia="ＭＳ 明朝" w:cs=""/>
                <w:kern w:val="0"/>
                <w:szCs w:val="22"/>
                <w:lang w:val="fr-FR" w:eastAsia="en-US" w:bidi="ar-SA"/>
              </w:rPr>
              <w:t>Validée</w:t>
            </w:r>
          </w:p>
        </w:tc>
      </w:tr>
    </w:tbl>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Heading3"/>
        <w:rPr>
          <w:lang w:val="fr-FR"/>
        </w:rPr>
      </w:pPr>
      <w:bookmarkStart w:id="38" w:name="__RefHeading___Toc1657_857827966"/>
      <w:bookmarkEnd w:id="38"/>
      <w:r>
        <w:rPr>
          <w:lang w:val="fr-FR"/>
        </w:rPr>
        <w:t>Recette unitaire U5 — Entraînement court du modèle</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536"/>
        <w:gridCol w:w="4536"/>
      </w:tblGrid>
      <w:tr>
        <w:trPr/>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Item</w:t>
            </w:r>
          </w:p>
        </w:tc>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Objectif</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Vérifier que le modèle compile, s'entraîne sur 2 époques sans erreur, et produit une prédiction de la bonne shape.</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Préconditions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Recettes U3 et U4 validées.</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Procédure</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Construire le modèle, lancer fit() avec epochs=2 sur un sous-ensemble de 4 captures, appeler predict() sur le set de test.</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Critères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Pas d'erreur Python ; loss décroissante sur les 2 époques (sanity check) ; shape de la sortie predict() = (n_segments_test, 1).</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Statut</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 xml:space="preserve">✅ </w:t>
            </w:r>
            <w:r>
              <w:rPr>
                <w:rFonts w:eastAsia="ＭＳ 明朝" w:cs=""/>
                <w:kern w:val="0"/>
                <w:szCs w:val="22"/>
                <w:lang w:val="fr-FR" w:eastAsia="en-US" w:bidi="ar-SA"/>
              </w:rPr>
              <w:t>Validée (sur dataset de calibration de 4 sessions)</w:t>
            </w:r>
          </w:p>
        </w:tc>
      </w:tr>
    </w:tbl>
    <w:p>
      <w:pPr>
        <w:pStyle w:val="Normal"/>
        <w:rPr>
          <w:lang w:val="fr-FR"/>
        </w:rPr>
      </w:pPr>
      <w:r>
        <w:rPr>
          <w:lang w:val="fr-FR"/>
        </w:rPr>
      </w:r>
    </w:p>
    <w:p>
      <w:pPr>
        <w:pStyle w:val="Heading2"/>
        <w:rPr>
          <w:lang w:val="fr-FR"/>
        </w:rPr>
      </w:pPr>
      <w:bookmarkStart w:id="39" w:name="__RefHeading___Toc1659_857827966"/>
      <w:bookmarkEnd w:id="39"/>
      <w:r>
        <w:rPr>
          <w:lang w:val="fr-FR"/>
        </w:rPr>
        <w:t>4.1.4 Recette d'intégration validée</w:t>
      </w:r>
    </w:p>
    <w:p>
      <w:pPr>
        <w:pStyle w:val="Normal"/>
        <w:rPr>
          <w:lang w:val="fr-FR"/>
        </w:rPr>
      </w:pPr>
      <w:r>
        <w:rPr>
          <w:b w:val="false"/>
          <w:i w:val="false"/>
          <w:lang w:val="fr-FR"/>
        </w:rPr>
        <w:t>L'intégration validée mesure le bon fonctionnement de la chaîne complète, du moteur sous tension jusqu'au CSV exploitable, en passant par l'IHM, le serveur TCP et le client UDP simultanément.</w:t>
      </w:r>
    </w:p>
    <w:tbl>
      <w:tblPr>
        <w:tblStyle w:val="LightGrid-Accent1"/>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536"/>
        <w:gridCol w:w="4536"/>
      </w:tblGrid>
      <w:tr>
        <w:trPr/>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Item</w:t>
            </w:r>
          </w:p>
        </w:tc>
        <w:tc>
          <w:tcPr>
            <w:tcW w:w="4536" w:type="dxa"/>
            <w:tcBorders>
              <w:bottom w:val="single" w:sz="18" w:space="0" w:color="4F81BD"/>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Description</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Objectif</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Réaliser une capture témoin de 15 s à 50 % sans frein puis 50 % avec frein et vérifier l'intégrité de bout en bout du dataset produit.</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Préconditions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ESP32 flashé avec firmware corrigé, capteurs sous tension, IHM Qt ouverte, serveur TCP et client UDP démarrés.</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Procédure</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1) Régler l'alim à 15,15 V (50 % sans frein), saisir les métadonnées dans l'IHM, lancer la capture. 2) Couper, mettre le frein, régler à 14,35 V (50 % avec frein), saisir, capturer. 3) Inspecter les CSV produits.</w:t>
            </w:r>
          </w:p>
        </w:tc>
      </w:tr>
      <w:tr>
        <w:trPr/>
        <w:tc>
          <w:tcPr>
            <w:tcW w:w="4536" w:type="dxa"/>
            <w:tcBorders/>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Critères</w:t>
            </w:r>
          </w:p>
        </w:tc>
        <w:tc>
          <w:tcPr>
            <w:tcW w:w="4536" w:type="dxa"/>
            <w:tcBorders/>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Deux nouvelles lignes dans metadata_captures_moteur.csv avec conditions A_vide puis B_frein. Deux fichiers son_N.csv non vides avec environ 15 × SR_effective lignes. Deux fichiers vib_N.csv avec environ 150 lignes. Aucune trame VIB corrompue signalée.</w:t>
            </w:r>
          </w:p>
        </w:tc>
      </w:tr>
      <w:tr>
        <w:trPr/>
        <w:tc>
          <w:tcPr>
            <w:tcW w:w="4536" w:type="dxa"/>
            <w:tcBorders/>
            <w:shd w:color="auto" w:fill="D3DFEE" w:themeFill="accent1" w:themeFillTint="3f" w:val="clear"/>
          </w:tcPr>
          <w:p>
            <w:pPr>
              <w:pStyle w:val="Normal"/>
              <w:widowControl/>
              <w:spacing w:before="0" w:after="120"/>
              <w:jc w:val="start"/>
              <w:rPr>
                <w:rFonts w:eastAsia="ＭＳ ゴシック" w:cs=""/>
                <w:b/>
                <w:bCs/>
                <w:kern w:val="0"/>
                <w:szCs w:val="22"/>
                <w:lang w:val="fr-FR" w:eastAsia="en-US" w:bidi="ar-SA"/>
              </w:rPr>
            </w:pPr>
            <w:r>
              <w:rPr>
                <w:rFonts w:eastAsia="ＭＳ ゴシック" w:cs=""/>
                <w:b/>
                <w:bCs/>
                <w:kern w:val="0"/>
                <w:szCs w:val="22"/>
                <w:lang w:val="fr-FR" w:eastAsia="en-US" w:bidi="ar-SA"/>
              </w:rPr>
              <w:t>Statut</w:t>
            </w:r>
          </w:p>
        </w:tc>
        <w:tc>
          <w:tcPr>
            <w:tcW w:w="4536" w:type="dxa"/>
            <w:tcBorders/>
            <w:shd w:color="auto" w:fill="D3DFEE" w:themeFill="accent1" w:themeFillTint="3f" w:val="clear"/>
          </w:tcPr>
          <w:p>
            <w:pPr>
              <w:pStyle w:val="Normal"/>
              <w:widowControl/>
              <w:spacing w:before="0" w:after="120"/>
              <w:jc w:val="start"/>
              <w:rPr>
                <w:rFonts w:eastAsia="ＭＳ 明朝" w:cs=""/>
                <w:kern w:val="0"/>
                <w:szCs w:val="22"/>
                <w:lang w:val="fr-FR" w:eastAsia="en-US" w:bidi="ar-SA"/>
              </w:rPr>
            </w:pPr>
            <w:r>
              <w:rPr>
                <w:rFonts w:eastAsia="ＭＳ 明朝" w:cs=""/>
                <w:kern w:val="0"/>
                <w:szCs w:val="22"/>
                <w:lang w:val="fr-FR" w:eastAsia="en-US" w:bidi="ar-SA"/>
              </w:rPr>
              <w:t xml:space="preserve">✅ </w:t>
            </w:r>
            <w:r>
              <w:rPr>
                <w:rFonts w:eastAsia="ＭＳ 明朝" w:cs=""/>
                <w:kern w:val="0"/>
                <w:szCs w:val="22"/>
                <w:lang w:val="fr-FR" w:eastAsia="en-US" w:bidi="ar-SA"/>
              </w:rPr>
              <w:t>Validée le 6 mai 2026 (sessions 4 et 5 du journal de bord). RMS son différent entre les deux conditions (×1,49), confirmant la séparabilité du label par le modèle IA.</w:t>
            </w:r>
          </w:p>
        </w:tc>
      </w:tr>
    </w:tbl>
    <w:p>
      <w:pPr>
        <w:pStyle w:val="Normal"/>
        <w:rPr>
          <w:lang w:val="fr-FR"/>
        </w:rPr>
      </w:pPr>
      <w:r>
        <w:rPr>
          <w:lang w:val="fr-FR"/>
        </w:rPr>
      </w:r>
    </w:p>
    <w:p>
      <w:pPr>
        <w:pStyle w:val="Heading2"/>
        <w:rPr>
          <w:lang w:val="fr-FR"/>
        </w:rPr>
      </w:pPr>
      <w:bookmarkStart w:id="40" w:name="__RefHeading___Toc1661_857827966"/>
      <w:bookmarkEnd w:id="40"/>
      <w:r>
        <w:rPr>
          <w:lang w:val="fr-FR"/>
        </w:rPr>
        <w:t>4.1.5 Difficultés rencontrées et résolutions</w:t>
      </w:r>
    </w:p>
    <w:p>
      <w:pPr>
        <w:pStyle w:val="Normal"/>
        <w:rPr>
          <w:lang w:val="fr-FR"/>
        </w:rPr>
      </w:pPr>
      <w:r>
        <w:rPr>
          <w:b w:val="false"/>
          <w:i w:val="false"/>
          <w:lang w:val="fr-FR"/>
        </w:rPr>
        <w:t>Cette section décrit deux écueils techniques significatifs rencontrés au long du développement, leur diagnostic et leur résolution.</w:t>
      </w:r>
    </w:p>
    <w:p>
      <w:pPr>
        <w:pStyle w:val="Heading3"/>
        <w:rPr>
          <w:lang w:val="fr-FR"/>
        </w:rPr>
      </w:pPr>
      <w:bookmarkStart w:id="41" w:name="__RefHeading___Toc1663_857827966"/>
      <w:bookmarkEnd w:id="41"/>
      <w:r>
        <w:rPr>
          <w:lang w:val="fr-FR"/>
        </w:rPr>
        <w:t>Difficulté A — Fréquence d'échantillonnage son sous-nominale</w:t>
      </w:r>
    </w:p>
    <w:p>
      <w:pPr>
        <w:pStyle w:val="Normal"/>
        <w:rPr>
          <w:lang w:val="fr-FR"/>
        </w:rPr>
      </w:pPr>
      <w:r>
        <w:rPr>
          <w:b w:val="false"/>
          <w:i w:val="false"/>
          <w:lang w:val="fr-FR"/>
        </w:rPr>
        <w:t>Les premières captures donnaient une fréquence effective de l'ordre de 6 300 Hz alors que la cible était 16 000 Hz. Après instrumentation côté ESP32, le goulot d'étranglement a été identifié dans la boucle d'envoi UDP : la concaténation successive de 128 échantillons à un objet String dynamique provoque, sur Arduino, une réallocation quadratique du buffer (complexité O(n²)) qui pénalise gravement la cadence d'envoi. Le remplacement de cette construction par un buffer fixe char[2048] alimenté par snprintf — soit une complexité linéaire O(n) — a porté la fréquence effective à 15 804 Hz mesurée, soit 99 % de la cible nominale. Les ajustements complémentaires (use_apll = true pour stabilité d'horloge, dma_buf_count = 8 pour marge anti-overflow) consolident ce résultat.</w:t>
      </w:r>
    </w:p>
    <w:p>
      <w:pPr>
        <w:pStyle w:val="Heading3"/>
        <w:rPr>
          <w:lang w:val="fr-FR"/>
        </w:rPr>
      </w:pPr>
      <w:bookmarkStart w:id="42" w:name="__RefHeading___Toc1665_857827966"/>
      <w:bookmarkEnd w:id="42"/>
      <w:r>
        <w:rPr>
          <w:lang w:val="fr-FR"/>
        </w:rPr>
        <w:t>Difficulté B — Axes vibratoires X et Y bloqués</w:t>
      </w:r>
    </w:p>
    <w:p>
      <w:pPr>
        <w:pStyle w:val="Normal"/>
        <w:rPr>
          <w:lang w:val="fr-FR"/>
        </w:rPr>
      </w:pPr>
      <w:r>
        <w:rPr>
          <w:b w:val="false"/>
          <w:i w:val="false"/>
          <w:lang w:val="fr-FR"/>
        </w:rPr>
        <w:t>Les axes X et Y du capteur de vibration affichaient en permanence des valeurs constantes (271 et 1 respectivement) sur toutes les captures. La piste d'un défaut de parsing a été méthodiquement écartée : augmentation du MTU BLE à 247, validation explicite du header 0x55 0x61, comparaison avec l'exemple de trame fourni dans le manuel WTVB01-BT50, et activation d'un dump hexadécimal — toutes ces vérifications ont confirmé que la chaîne de communication restituait fidèlement les octets émis par le capteur.</w:t>
      </w:r>
    </w:p>
    <w:p>
      <w:pPr>
        <w:pStyle w:val="Normal"/>
        <w:rPr>
          <w:lang w:val="fr-FR"/>
        </w:rPr>
      </w:pPr>
      <w:r>
        <w:rPr>
          <w:b w:val="false"/>
          <w:i w:val="false"/>
          <w:lang w:val="fr-FR"/>
        </w:rPr>
        <w:t>L'explication retenue est physique et a été validée par recoupement statistique : le capteur est monté de telle sorte que sa direction Z est alignée avec la vibration dominante du moteur, et les directions X et Y, perpendiculaires, ne mesurent qu'un bruit MEMS sous le seuil de détection. Ce diagnostic a conduit à la décision d'ingénierie Option A décrite plus haut (utilisation de |VZ| seul), qui restaure la dynamique signal sans nécessiter de modification du banc.</w:t>
      </w:r>
    </w:p>
    <w:p>
      <w:pPr>
        <w:pStyle w:val="Normal"/>
        <w:rPr>
          <w:lang w:val="fr-FR"/>
        </w:rPr>
      </w:pPr>
      <w:r>
        <w:rPr>
          <w:lang w:val="fr-FR"/>
        </w:rPr>
      </w:r>
      <w:r>
        <w:br w:type="page"/>
      </w:r>
    </w:p>
    <w:p>
      <w:pPr>
        <w:pStyle w:val="Heading1"/>
        <w:spacing w:before="0" w:after="120"/>
        <w:rPr>
          <w:lang w:val="fr-FR"/>
        </w:rPr>
      </w:pPr>
      <w:bookmarkStart w:id="43" w:name="__RefHeading___Toc1667_857827966"/>
      <w:bookmarkEnd w:id="43"/>
      <w:r>
        <w:rPr>
          <w:lang w:val="fr-FR"/>
        </w:rPr>
        <w:t>4.2 Partie individuelle — Hugo Cypr</w:t>
      </w:r>
      <w:r>
        <w:rPr>
          <w:lang w:val="fr-FR"/>
        </w:rPr>
        <w:t>e</w:t>
      </w:r>
    </w:p>
    <w:p>
      <w:pPr>
        <w:pStyle w:val="Heading2"/>
        <w:rPr>
          <w:lang w:val="fr-FR"/>
        </w:rPr>
      </w:pPr>
      <w:bookmarkStart w:id="44" w:name="__RefHeading___Toc1669_857827966"/>
      <w:bookmarkEnd w:id="44"/>
      <w:r>
        <w:rPr>
          <w:lang w:val="fr-FR"/>
        </w:rPr>
        <w:t>4.2.1 Présentation de ma contribution</w:t>
      </w:r>
    </w:p>
    <w:p>
      <w:pPr>
        <w:pStyle w:val="Normal"/>
        <w:rPr>
          <w:lang w:val="fr-FR"/>
        </w:rPr>
      </w:pPr>
      <w:r>
        <w:rPr>
          <w:b w:val="false"/>
          <w:i w:val="false"/>
          <w:lang w:val="fr-FR"/>
        </w:rPr>
        <w:t>[À rédiger : 1 à 2 paragraphes de cadrage de ton périmètre — typiquement la conception et le développement de l'IHM Qt opérateur, ainsi que la couche réseau côté poste (connexions TCP et UDP vers les serveurs Python de Noa).]</w:t>
      </w:r>
    </w:p>
    <w:p>
      <w:pPr>
        <w:pStyle w:val="Heading2"/>
        <w:rPr>
          <w:lang w:val="fr-FR"/>
        </w:rPr>
      </w:pPr>
      <w:bookmarkStart w:id="45" w:name="__RefHeading___Toc1671_857827966"/>
      <w:bookmarkEnd w:id="45"/>
      <w:r>
        <w:rPr>
          <w:lang w:val="fr-FR"/>
        </w:rPr>
        <w:t>4.2.2 Développements unitaires</w:t>
      </w:r>
    </w:p>
    <w:p>
      <w:pPr>
        <w:pStyle w:val="Heading3"/>
        <w:rPr>
          <w:lang w:val="fr-FR"/>
        </w:rPr>
      </w:pPr>
      <w:bookmarkStart w:id="46" w:name="__RefHeading___Toc1673_857827966"/>
      <w:bookmarkEnd w:id="46"/>
      <w:r>
        <w:rPr>
          <w:lang w:val="fr-FR"/>
        </w:rPr>
        <w:t>4.2.2.1 IHM Qt — fenêtre principale et saisie des métadonnées</w:t>
      </w:r>
    </w:p>
    <w:p>
      <w:pPr>
        <w:pStyle w:val="Normal"/>
        <w:rPr>
          <w:lang w:val="fr-FR"/>
        </w:rPr>
      </w:pPr>
      <w:r>
        <w:rPr>
          <w:b w:val="false"/>
          <w:i w:val="false"/>
          <w:lang w:val="fr-FR"/>
        </w:rPr>
        <w:t>[À rédiger : description de l'interface utilisateur, formulaire de saisie des cinq champs de métadonnées, validation des entrées, gestion de la condition de charge, actions du bouton de lancement de capture, retours visuels lors du déroulement de l'acquisition. Mentionner les choix d'ergonomie et les contraintes (compatibilité Qt 5 ou 6, dépendance aux modules utilisés).]</w:t>
      </w:r>
    </w:p>
    <w:p>
      <w:pPr>
        <w:pStyle w:val="Heading3"/>
        <w:rPr>
          <w:lang w:val="fr-FR"/>
        </w:rPr>
      </w:pPr>
      <w:bookmarkStart w:id="47" w:name="__RefHeading___Toc1675_857827966"/>
      <w:bookmarkEnd w:id="47"/>
      <w:r>
        <w:rPr>
          <w:lang w:val="fr-FR"/>
        </w:rPr>
        <w:t>4.2.2.2 Couche réseau de l'IHM</w:t>
      </w:r>
    </w:p>
    <w:p>
      <w:pPr>
        <w:pStyle w:val="Normal"/>
        <w:rPr>
          <w:lang w:val="fr-FR"/>
        </w:rPr>
      </w:pPr>
      <w:r>
        <w:rPr>
          <w:b w:val="false"/>
          <w:i w:val="false"/>
          <w:lang w:val="fr-FR"/>
        </w:rPr>
        <w:t>[À rédiger : ouverture de la connexion TCP vers le serveur de métadonnées, envoi du marqueur START suivi de la ligne CSV à 5 champs, gestion des erreurs réseau et des timeouts, retour de confirmation à l'opérateur.]</w:t>
      </w:r>
    </w:p>
    <w:p>
      <w:pPr>
        <w:pStyle w:val="Heading3"/>
        <w:rPr>
          <w:lang w:val="fr-FR"/>
        </w:rPr>
      </w:pPr>
      <w:bookmarkStart w:id="48" w:name="__RefHeading___Toc1677_857827966"/>
      <w:bookmarkEnd w:id="48"/>
      <w:r>
        <w:rPr>
          <w:lang w:val="fr-FR"/>
        </w:rPr>
        <w:t>4.2.2.3 Pilotage de l'ESP32 et synchronisation</w:t>
      </w:r>
    </w:p>
    <w:p>
      <w:pPr>
        <w:pStyle w:val="Normal"/>
        <w:rPr>
          <w:lang w:val="fr-FR"/>
        </w:rPr>
      </w:pPr>
      <w:r>
        <w:rPr>
          <w:b w:val="false"/>
          <w:i w:val="false"/>
          <w:lang w:val="fr-FR"/>
        </w:rPr>
        <w:t>[À rédiger si applicable : envoi des commandes UDP « START » / « STOP » vers l'ESP32 pour déclencher l'acquisition, ou explication de la séquence côté IHM pour synchroniser l'envoi des métadonnées et le démarrage de la capture sur le terrain.]</w:t>
      </w:r>
    </w:p>
    <w:p>
      <w:pPr>
        <w:pStyle w:val="Heading2"/>
        <w:rPr>
          <w:lang w:val="fr-FR"/>
        </w:rPr>
      </w:pPr>
      <w:bookmarkStart w:id="49" w:name="__RefHeading___Toc1679_857827966"/>
      <w:bookmarkEnd w:id="49"/>
      <w:r>
        <w:rPr>
          <w:lang w:val="fr-FR"/>
        </w:rPr>
        <w:t>4.2.3 Fiches de recette unitaires</w:t>
      </w:r>
    </w:p>
    <w:p>
      <w:pPr>
        <w:pStyle w:val="Normal"/>
        <w:rPr>
          <w:lang w:val="fr-FR"/>
        </w:rPr>
      </w:pPr>
      <w:r>
        <w:rPr>
          <w:b w:val="false"/>
          <w:i w:val="false"/>
          <w:lang w:val="fr-FR"/>
        </w:rPr>
        <w:t>[À rédiger : reprendre le format en tableau utilisé section 4.1.3 (Objectif, Préconditions, Procédure, Critères, Statut), une fiche par brique unitaire (saisie métadonnées, envoi TCP, gestion erreurs, lancement capture).]</w:t>
      </w:r>
    </w:p>
    <w:p>
      <w:pPr>
        <w:pStyle w:val="Heading2"/>
        <w:rPr>
          <w:lang w:val="fr-FR"/>
        </w:rPr>
      </w:pPr>
      <w:bookmarkStart w:id="50" w:name="__RefHeading___Toc1681_857827966"/>
      <w:bookmarkEnd w:id="50"/>
      <w:r>
        <w:rPr>
          <w:lang w:val="fr-FR"/>
        </w:rPr>
        <w:t>4.2.4 Recette d'intégration validée</w:t>
      </w:r>
    </w:p>
    <w:p>
      <w:pPr>
        <w:pStyle w:val="Normal"/>
        <w:rPr>
          <w:lang w:val="fr-FR"/>
        </w:rPr>
      </w:pPr>
      <w:r>
        <w:rPr>
          <w:b w:val="false"/>
          <w:i w:val="false"/>
          <w:lang w:val="fr-FR"/>
        </w:rPr>
        <w:t>[À rédiger : test de la chaîne IHM → serveur TCP de Noa → métadonnées indexées + déclenchement de l'ESP32 → données reçues côté client UDP de Noa. Confirmer que le tout se déroule sans erreur sur une session témoin.]</w:t>
      </w:r>
    </w:p>
    <w:p>
      <w:pPr>
        <w:pStyle w:val="Heading2"/>
        <w:rPr>
          <w:lang w:val="fr-FR"/>
        </w:rPr>
      </w:pPr>
      <w:bookmarkStart w:id="51" w:name="__RefHeading___Toc1683_857827966"/>
      <w:bookmarkEnd w:id="51"/>
      <w:r>
        <w:rPr>
          <w:lang w:val="fr-FR"/>
        </w:rPr>
        <w:t>4.2.5 Difficultés rencontrées</w:t>
      </w:r>
    </w:p>
    <w:p>
      <w:pPr>
        <w:pStyle w:val="Normal"/>
        <w:rPr>
          <w:lang w:val="fr-FR"/>
        </w:rPr>
      </w:pPr>
      <w:r>
        <w:rPr>
          <w:b w:val="false"/>
          <w:i w:val="false"/>
          <w:lang w:val="fr-FR"/>
        </w:rPr>
        <w:t>[À rédiger : 1 ou 2 difficultés notables et leur résolution.]</w:t>
      </w:r>
    </w:p>
    <w:p>
      <w:pPr>
        <w:pStyle w:val="Normal"/>
        <w:rPr>
          <w:lang w:val="fr-FR"/>
        </w:rPr>
      </w:pPr>
      <w:r>
        <w:rPr>
          <w:lang w:val="fr-FR"/>
        </w:rPr>
      </w:r>
      <w:r>
        <w:br w:type="page"/>
      </w:r>
    </w:p>
    <w:p>
      <w:pPr>
        <w:pStyle w:val="Heading1"/>
        <w:spacing w:before="0" w:after="120"/>
        <w:rPr>
          <w:lang w:val="fr-FR"/>
        </w:rPr>
      </w:pPr>
      <w:bookmarkStart w:id="52" w:name="__RefHeading___Toc1685_857827966"/>
      <w:bookmarkEnd w:id="52"/>
      <w:r>
        <w:rPr>
          <w:lang w:val="fr-FR"/>
        </w:rPr>
        <w:t>4.3 Partie individuelle — Mederick</w:t>
      </w:r>
    </w:p>
    <w:tbl>
      <w:tblPr>
        <w:tblW w:w="9072"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072"/>
      </w:tblGrid>
      <w:tr>
        <w:trPr/>
        <w:tc>
          <w:tcPr>
            <w:tcW w:w="9072" w:type="dxa"/>
            <w:tcBorders/>
            <w:shd w:color="auto" w:fill="F2F2F2" w:val="clear"/>
          </w:tcPr>
          <w:p>
            <w:pPr>
              <w:pStyle w:val="Normal"/>
              <w:spacing w:before="0" w:after="120"/>
              <w:rPr>
                <w:lang w:val="fr-FR"/>
              </w:rPr>
            </w:pPr>
            <w:r>
              <w:rPr>
                <w:b/>
                <w:lang w:val="fr-FR"/>
              </w:rPr>
              <w:t xml:space="preserve">À compléter par Mederick — </w:t>
            </w:r>
            <w:r>
              <w:rPr>
                <w:lang w:val="fr-FR"/>
              </w:rPr>
              <w:t>Mederick, même structure que celle utilisée par Noa et Hugo. Adapte les sous-sections à ton périmètre réel (à préciser : firmware ESP32 ? Banc physique ? Documentation ? Capteurs ?). Si tu veux que je rédige une partie sur la base de tes notes, dis-moi quoi.</w:t>
            </w:r>
          </w:p>
        </w:tc>
      </w:tr>
    </w:tbl>
    <w:p>
      <w:pPr>
        <w:pStyle w:val="Normal"/>
        <w:rPr>
          <w:lang w:val="fr-FR"/>
        </w:rPr>
      </w:pPr>
      <w:r>
        <w:rPr>
          <w:lang w:val="fr-FR"/>
        </w:rPr>
      </w:r>
    </w:p>
    <w:p>
      <w:pPr>
        <w:pStyle w:val="Heading2"/>
        <w:rPr>
          <w:lang w:val="fr-FR"/>
        </w:rPr>
      </w:pPr>
      <w:bookmarkStart w:id="53" w:name="__RefHeading___Toc1687_857827966"/>
      <w:bookmarkEnd w:id="53"/>
      <w:r>
        <w:rPr>
          <w:lang w:val="fr-FR"/>
        </w:rPr>
        <w:t>4.3.1 Présentation de ma contribution</w:t>
      </w:r>
    </w:p>
    <w:p>
      <w:pPr>
        <w:pStyle w:val="Normal"/>
        <w:rPr>
          <w:lang w:val="fr-FR"/>
        </w:rPr>
      </w:pPr>
      <w:r>
        <w:rPr>
          <w:b w:val="false"/>
          <w:i w:val="false"/>
          <w:lang w:val="fr-FR"/>
        </w:rPr>
        <w:t>[À rédiger : 1 à 2 paragraphes décrivant ton périmètre et ta valeur ajoutée au projet.]</w:t>
      </w:r>
    </w:p>
    <w:p>
      <w:pPr>
        <w:pStyle w:val="Heading2"/>
        <w:rPr>
          <w:lang w:val="fr-FR"/>
        </w:rPr>
      </w:pPr>
      <w:bookmarkStart w:id="54" w:name="__RefHeading___Toc1689_857827966"/>
      <w:bookmarkEnd w:id="54"/>
      <w:r>
        <w:rPr>
          <w:lang w:val="fr-FR"/>
        </w:rPr>
        <w:t>4.3.2 Développements unitaires</w:t>
      </w:r>
    </w:p>
    <w:p>
      <w:pPr>
        <w:pStyle w:val="Heading3"/>
        <w:rPr>
          <w:lang w:val="fr-FR"/>
        </w:rPr>
      </w:pPr>
      <w:bookmarkStart w:id="55" w:name="__RefHeading___Toc1691_857827966"/>
      <w:bookmarkEnd w:id="55"/>
      <w:r>
        <w:rPr>
          <w:lang w:val="fr-FR"/>
        </w:rPr>
        <w:t>4.3.2.1 [Premier sous-livrable]</w:t>
      </w:r>
    </w:p>
    <w:p>
      <w:pPr>
        <w:pStyle w:val="Normal"/>
        <w:rPr>
          <w:lang w:val="fr-FR"/>
        </w:rPr>
      </w:pPr>
      <w:r>
        <w:rPr>
          <w:b w:val="false"/>
          <w:i w:val="false"/>
          <w:lang w:val="fr-FR"/>
        </w:rPr>
        <w:t>[À rédiger.]</w:t>
      </w:r>
    </w:p>
    <w:p>
      <w:pPr>
        <w:pStyle w:val="Heading3"/>
        <w:rPr>
          <w:lang w:val="fr-FR"/>
        </w:rPr>
      </w:pPr>
      <w:bookmarkStart w:id="56" w:name="__RefHeading___Toc1693_857827966"/>
      <w:bookmarkEnd w:id="56"/>
      <w:r>
        <w:rPr>
          <w:lang w:val="fr-FR"/>
        </w:rPr>
        <w:t>4.3.2.2 [Deuxième sous-livrable]</w:t>
      </w:r>
    </w:p>
    <w:p>
      <w:pPr>
        <w:pStyle w:val="Normal"/>
        <w:rPr>
          <w:lang w:val="fr-FR"/>
        </w:rPr>
      </w:pPr>
      <w:r>
        <w:rPr>
          <w:b w:val="false"/>
          <w:i w:val="false"/>
          <w:lang w:val="fr-FR"/>
        </w:rPr>
        <w:t>[À rédiger.]</w:t>
      </w:r>
    </w:p>
    <w:p>
      <w:pPr>
        <w:pStyle w:val="Heading2"/>
        <w:rPr>
          <w:lang w:val="fr-FR"/>
        </w:rPr>
      </w:pPr>
      <w:bookmarkStart w:id="57" w:name="__RefHeading___Toc1695_857827966"/>
      <w:bookmarkEnd w:id="57"/>
      <w:r>
        <w:rPr>
          <w:lang w:val="fr-FR"/>
        </w:rPr>
        <w:t>4.3.3 Fiches de recette unitaires</w:t>
      </w:r>
    </w:p>
    <w:p>
      <w:pPr>
        <w:pStyle w:val="Normal"/>
        <w:rPr>
          <w:lang w:val="fr-FR"/>
        </w:rPr>
      </w:pPr>
      <w:r>
        <w:rPr>
          <w:b w:val="false"/>
          <w:i w:val="false"/>
          <w:lang w:val="fr-FR"/>
        </w:rPr>
        <w:t>[À rédiger : reprendre le format tableau utilisé section 4.1.3.]</w:t>
      </w:r>
    </w:p>
    <w:p>
      <w:pPr>
        <w:pStyle w:val="Heading2"/>
        <w:rPr>
          <w:lang w:val="fr-FR"/>
        </w:rPr>
      </w:pPr>
      <w:bookmarkStart w:id="58" w:name="__RefHeading___Toc1697_857827966"/>
      <w:bookmarkEnd w:id="58"/>
      <w:r>
        <w:rPr>
          <w:lang w:val="fr-FR"/>
        </w:rPr>
        <w:t>4.3.4 Recette d'intégration validée</w:t>
      </w:r>
    </w:p>
    <w:p>
      <w:pPr>
        <w:pStyle w:val="Normal"/>
        <w:rPr>
          <w:lang w:val="fr-FR"/>
        </w:rPr>
      </w:pPr>
      <w:r>
        <w:rPr>
          <w:b w:val="false"/>
          <w:i w:val="false"/>
          <w:lang w:val="fr-FR"/>
        </w:rPr>
        <w:t>[À rédiger.]</w:t>
      </w:r>
    </w:p>
    <w:p>
      <w:pPr>
        <w:pStyle w:val="Heading2"/>
        <w:rPr>
          <w:lang w:val="fr-FR"/>
        </w:rPr>
      </w:pPr>
      <w:bookmarkStart w:id="59" w:name="__RefHeading___Toc1699_857827966"/>
      <w:bookmarkEnd w:id="59"/>
      <w:r>
        <w:rPr>
          <w:lang w:val="fr-FR"/>
        </w:rPr>
        <w:t>4.3.5 Difficultés rencontrées</w:t>
      </w:r>
    </w:p>
    <w:p>
      <w:pPr>
        <w:pStyle w:val="Normal"/>
        <w:rPr>
          <w:lang w:val="fr-FR"/>
        </w:rPr>
      </w:pPr>
      <w:r>
        <w:rPr>
          <w:b w:val="false"/>
          <w:i w:val="false"/>
          <w:lang w:val="fr-FR"/>
        </w:rPr>
        <w:t>[À rédiger.]</w:t>
      </w:r>
    </w:p>
    <w:p>
      <w:pPr>
        <w:pStyle w:val="Normal"/>
        <w:rPr>
          <w:lang w:val="fr-FR"/>
        </w:rPr>
      </w:pPr>
      <w:r>
        <w:rPr>
          <w:lang w:val="fr-FR"/>
        </w:rPr>
      </w:r>
      <w:r>
        <w:br w:type="page"/>
      </w:r>
    </w:p>
    <w:p>
      <w:pPr>
        <w:pStyle w:val="Heading1"/>
        <w:spacing w:before="0" w:after="120"/>
        <w:rPr>
          <w:lang w:val="fr-FR"/>
        </w:rPr>
      </w:pPr>
      <w:bookmarkStart w:id="60" w:name="__RefHeading___Toc1701_857827966"/>
      <w:bookmarkEnd w:id="60"/>
      <w:r>
        <w:rPr>
          <w:lang w:val="fr-FR"/>
        </w:rPr>
        <w:t>4.4 Partie individuelle — Ege</w:t>
      </w:r>
    </w:p>
    <w:p>
      <w:pPr>
        <w:pStyle w:val="Heading2"/>
        <w:rPr>
          <w:lang w:val="fr-FR"/>
        </w:rPr>
      </w:pPr>
      <w:bookmarkStart w:id="61" w:name="__RefHeading___Toc1703_857827966"/>
      <w:bookmarkEnd w:id="61"/>
      <w:r>
        <w:rPr>
          <w:lang w:val="fr-FR"/>
        </w:rPr>
        <w:t>4.4.1 Présentation de ma contribution</w:t>
      </w:r>
    </w:p>
    <w:p>
      <w:pPr>
        <w:pStyle w:val="Normal"/>
        <w:rPr>
          <w:lang w:val="fr-FR"/>
        </w:rPr>
      </w:pPr>
      <w:r>
        <w:rPr>
          <w:b w:val="false"/>
          <w:i w:val="false"/>
          <w:lang w:val="fr-FR"/>
        </w:rPr>
        <w:t>[À rédiger.]</w:t>
      </w:r>
    </w:p>
    <w:p>
      <w:pPr>
        <w:pStyle w:val="Heading2"/>
        <w:rPr>
          <w:lang w:val="fr-FR"/>
        </w:rPr>
      </w:pPr>
      <w:bookmarkStart w:id="62" w:name="__RefHeading___Toc1705_857827966"/>
      <w:bookmarkEnd w:id="62"/>
      <w:r>
        <w:rPr>
          <w:lang w:val="fr-FR"/>
        </w:rPr>
        <w:t>4.4.2 Développements unitaires</w:t>
      </w:r>
    </w:p>
    <w:p>
      <w:pPr>
        <w:pStyle w:val="Heading3"/>
        <w:rPr>
          <w:lang w:val="fr-FR"/>
        </w:rPr>
      </w:pPr>
      <w:bookmarkStart w:id="63" w:name="__RefHeading___Toc1707_857827966"/>
      <w:bookmarkEnd w:id="63"/>
      <w:r>
        <w:rPr>
          <w:lang w:val="fr-FR"/>
        </w:rPr>
        <w:t>4.4.2.1 [Premier sous-livrable]</w:t>
      </w:r>
    </w:p>
    <w:p>
      <w:pPr>
        <w:pStyle w:val="Normal"/>
        <w:rPr>
          <w:lang w:val="fr-FR"/>
        </w:rPr>
      </w:pPr>
      <w:r>
        <w:rPr>
          <w:b w:val="false"/>
          <w:i w:val="false"/>
          <w:lang w:val="fr-FR"/>
        </w:rPr>
        <w:t>[À rédiger.]</w:t>
      </w:r>
    </w:p>
    <w:p>
      <w:pPr>
        <w:pStyle w:val="Heading3"/>
        <w:rPr>
          <w:lang w:val="fr-FR"/>
        </w:rPr>
      </w:pPr>
      <w:bookmarkStart w:id="64" w:name="__RefHeading___Toc1709_857827966"/>
      <w:bookmarkEnd w:id="64"/>
      <w:r>
        <w:rPr>
          <w:lang w:val="fr-FR"/>
        </w:rPr>
        <w:t>4.4.2.2 [Deuxième sous-livrable]</w:t>
      </w:r>
    </w:p>
    <w:p>
      <w:pPr>
        <w:pStyle w:val="Normal"/>
        <w:rPr>
          <w:lang w:val="fr-FR"/>
        </w:rPr>
      </w:pPr>
      <w:r>
        <w:rPr>
          <w:b w:val="false"/>
          <w:i w:val="false"/>
          <w:lang w:val="fr-FR"/>
        </w:rPr>
        <w:t>[À rédiger.]</w:t>
      </w:r>
    </w:p>
    <w:p>
      <w:pPr>
        <w:pStyle w:val="Heading2"/>
        <w:rPr>
          <w:lang w:val="fr-FR"/>
        </w:rPr>
      </w:pPr>
      <w:bookmarkStart w:id="65" w:name="__RefHeading___Toc1711_857827966"/>
      <w:bookmarkEnd w:id="65"/>
      <w:r>
        <w:rPr>
          <w:lang w:val="fr-FR"/>
        </w:rPr>
        <w:t>4.4.3 Fiches de recette unitaires</w:t>
      </w:r>
    </w:p>
    <w:p>
      <w:pPr>
        <w:pStyle w:val="Normal"/>
        <w:rPr>
          <w:lang w:val="fr-FR"/>
        </w:rPr>
      </w:pPr>
      <w:r>
        <w:rPr>
          <w:b w:val="false"/>
          <w:i w:val="false"/>
          <w:lang w:val="fr-FR"/>
        </w:rPr>
        <w:t>[À rédiger.]</w:t>
      </w:r>
    </w:p>
    <w:p>
      <w:pPr>
        <w:pStyle w:val="Heading2"/>
        <w:rPr>
          <w:lang w:val="fr-FR"/>
        </w:rPr>
      </w:pPr>
      <w:bookmarkStart w:id="66" w:name="__RefHeading___Toc1713_857827966"/>
      <w:bookmarkEnd w:id="66"/>
      <w:r>
        <w:rPr>
          <w:lang w:val="fr-FR"/>
        </w:rPr>
        <w:t>4.4.4 Recette d'intégration validée</w:t>
      </w:r>
    </w:p>
    <w:p>
      <w:pPr>
        <w:pStyle w:val="Normal"/>
        <w:rPr>
          <w:lang w:val="fr-FR"/>
        </w:rPr>
      </w:pPr>
      <w:r>
        <w:rPr>
          <w:b w:val="false"/>
          <w:i w:val="false"/>
          <w:lang w:val="fr-FR"/>
        </w:rPr>
        <w:t>[À rédiger.]</w:t>
      </w:r>
    </w:p>
    <w:p>
      <w:pPr>
        <w:pStyle w:val="Heading2"/>
        <w:rPr>
          <w:lang w:val="fr-FR"/>
        </w:rPr>
      </w:pPr>
      <w:bookmarkStart w:id="67" w:name="__RefHeading___Toc1715_857827966"/>
      <w:bookmarkEnd w:id="67"/>
      <w:r>
        <w:rPr>
          <w:lang w:val="fr-FR"/>
        </w:rPr>
        <w:t>4.4.5 Difficultés rencontrées</w:t>
      </w:r>
    </w:p>
    <w:p>
      <w:pPr>
        <w:pStyle w:val="Normal"/>
        <w:rPr>
          <w:lang w:val="fr-FR"/>
        </w:rPr>
      </w:pPr>
      <w:r>
        <w:rPr>
          <w:b w:val="false"/>
          <w:i w:val="false"/>
          <w:lang w:val="fr-FR"/>
        </w:rPr>
        <w:t>[À rédiger.]</w:t>
      </w:r>
    </w:p>
    <w:p>
      <w:pPr>
        <w:pStyle w:val="Normal"/>
        <w:rPr>
          <w:lang w:val="fr-FR"/>
        </w:rPr>
      </w:pPr>
      <w:r>
        <w:rPr>
          <w:lang w:val="fr-FR"/>
        </w:rPr>
      </w:r>
      <w:r>
        <w:br w:type="page"/>
      </w:r>
    </w:p>
    <w:p>
      <w:pPr>
        <w:pStyle w:val="Heading1"/>
        <w:spacing w:before="0" w:after="120"/>
        <w:rPr>
          <w:lang w:val="fr-FR"/>
        </w:rPr>
      </w:pPr>
      <w:bookmarkStart w:id="68" w:name="__RefHeading___Toc1717_857827966"/>
      <w:bookmarkEnd w:id="68"/>
      <w:r>
        <w:rPr>
          <w:lang w:val="fr-FR"/>
        </w:rPr>
        <w:t>5. Conclusion</w:t>
      </w:r>
    </w:p>
    <w:p>
      <w:pPr>
        <w:pStyle w:val="Heading2"/>
        <w:rPr>
          <w:lang w:val="fr-FR"/>
        </w:rPr>
      </w:pPr>
      <w:bookmarkStart w:id="69" w:name="__RefHeading___Toc1719_857827966"/>
      <w:bookmarkEnd w:id="69"/>
      <w:r>
        <w:rPr>
          <w:lang w:val="fr-FR"/>
        </w:rPr>
        <w:t>5.1 Bilan technique</w:t>
      </w:r>
    </w:p>
    <w:p>
      <w:pPr>
        <w:pStyle w:val="Normal"/>
        <w:rPr>
          <w:lang w:val="fr-FR"/>
        </w:rPr>
      </w:pPr>
      <w:r>
        <w:rPr>
          <w:b w:val="false"/>
          <w:i w:val="false"/>
          <w:lang w:val="fr-FR"/>
        </w:rPr>
        <w:t>Au terme de ce projet, la chaîne complète — du capteur physique jusqu'au modèle d'apprentissage profond capable d'estimer le niveau de tension d'un moteur électrique — est fonctionnelle de bout en bout. Le pipeline d'acquisition logicielle (serveur TCP de métadonnées, client UDP de données) est opérationnel, robuste aux trames corrompues et capable d'écrire un dataset propre dans un format directement exploitable par le modèle. Le firmware ESP32 a été optimisé pour atteindre 99 % de la fréquence d'échantillonnage cible côté son, et le capteur de vibration est intégré avec une décision d'ingénierie documentée pour exploiter pleinement son axe utile. Le modèle d'IA double branche est complètement implémenté avec ses augmentations, son split anti-fuite et ses métriques métier interprétables.</w:t>
      </w:r>
    </w:p>
    <w:p>
      <w:pPr>
        <w:pStyle w:val="Normal"/>
        <w:rPr>
          <w:lang w:val="fr-FR"/>
        </w:rPr>
      </w:pPr>
      <w:r>
        <w:rPr>
          <w:b w:val="false"/>
          <w:i w:val="false"/>
          <w:lang w:val="fr-FR"/>
        </w:rPr>
        <w:t>À la date de rédaction de ce dossier, la campagne de constitution du dataset complet (110 captures) n'est pas encore terminée — son lancement est conditionné par la validation finale de quelques points secondaires de calibration (analyse du signal moteur à l'arrêt, choix d'un éventuel filtrage passe-haut). Les résultats numériques de la régression seront présentés lors de la soutenance orale E6.</w:t>
      </w:r>
    </w:p>
    <w:p>
      <w:pPr>
        <w:pStyle w:val="Heading2"/>
        <w:rPr>
          <w:lang w:val="fr-FR"/>
        </w:rPr>
      </w:pPr>
      <w:bookmarkStart w:id="70" w:name="__RefHeading___Toc1721_857827966"/>
      <w:bookmarkEnd w:id="70"/>
      <w:r>
        <w:rPr>
          <w:lang w:val="fr-FR"/>
        </w:rPr>
        <w:t>5.2 Difficultés et apprentissages</w:t>
      </w:r>
    </w:p>
    <w:p>
      <w:pPr>
        <w:pStyle w:val="Normal"/>
        <w:rPr>
          <w:lang w:val="fr-FR"/>
        </w:rPr>
      </w:pPr>
      <w:r>
        <w:rPr>
          <w:b w:val="false"/>
          <w:i w:val="false"/>
          <w:lang w:val="fr-FR"/>
        </w:rPr>
        <w:t>Le projet a confronté l'équipe à plusieurs difficultés techniques significatives, souvent à l'intersection de domaines (réseaux temps réel, électronique embarquée, apprentissage statistique). Citons en particulier :</w:t>
      </w:r>
    </w:p>
    <w:p>
      <w:pPr>
        <w:pStyle w:val="ListBullet"/>
        <w:numPr>
          <w:ilvl w:val="0"/>
          <w:numId w:val="1"/>
        </w:numPr>
        <w:rPr>
          <w:lang w:val="fr-FR"/>
        </w:rPr>
      </w:pPr>
      <w:r>
        <w:rPr>
          <w:lang w:val="fr-FR"/>
        </w:rPr>
        <w:t>La gestion des contraintes radio sur l'ESP32, où le partage de l'antenne entre Wi-Fi et BLE limite la fréquence d'acquisition de la vibration. Cette limitation, diagnostiquée tôt, a été acceptée et documentée plutôt que combattue à perte.</w:t>
      </w:r>
    </w:p>
    <w:p>
      <w:pPr>
        <w:pStyle w:val="ListBullet"/>
        <w:numPr>
          <w:ilvl w:val="0"/>
          <w:numId w:val="1"/>
        </w:numPr>
        <w:rPr>
          <w:lang w:val="fr-FR"/>
        </w:rPr>
      </w:pPr>
      <w:r>
        <w:rPr>
          <w:lang w:val="fr-FR"/>
        </w:rPr>
        <w:t>L'identification du bottleneck CPU dans le firmware (concaténation O(n²) d'objets String dans la boucle d'envoi UDP), qui a demandé une instrumentation fine et une compréhension de la complexité algorithmique sous-jacente. Le passage à un buffer fixe et snprintf a démontré l'impact massif d'un détail d'implémentation sur les performances d'un système temps réel.</w:t>
      </w:r>
    </w:p>
    <w:p>
      <w:pPr>
        <w:pStyle w:val="ListBullet"/>
        <w:numPr>
          <w:ilvl w:val="0"/>
          <w:numId w:val="1"/>
        </w:numPr>
        <w:rPr>
          <w:lang w:val="fr-FR"/>
        </w:rPr>
      </w:pPr>
      <w:r>
        <w:rPr>
          <w:lang w:val="fr-FR"/>
        </w:rPr>
        <w:t>Le diagnostic du comportement anormal du capteur de vibration (axes X/Y figés), où la résolution est passée par la lecture rigoureuse de la documentation constructeur, une comparaison méthodique des hypothèses (parsing, fragmentation BLE, configuration capteur, orientation physique) et finalement une décision pragmatique documentée qui respecte les contraintes du projet.</w:t>
      </w:r>
    </w:p>
    <w:p>
      <w:pPr>
        <w:pStyle w:val="Normal"/>
        <w:rPr>
          <w:b w:val="false"/>
          <w:i w:val="false"/>
          <w:lang w:val="fr-FR"/>
        </w:rPr>
      </w:pPr>
      <w:r>
        <w:rPr>
          <w:b w:val="false"/>
          <w:i w:val="false"/>
          <w:lang w:val="fr-FR"/>
        </w:rPr>
        <w:t>Ces difficultés ont mobilisé l'ensemble des compétences acquises au cours de la formation, en particulier la rigueur de débogage, la lecture critique de documentation technique, et la capacité à arbitrer entre une solution parfaite irréalisable et une solution honnête livrée à temps.</w:t>
      </w:r>
    </w:p>
    <w:p>
      <w:pPr>
        <w:pStyle w:val="Normal"/>
        <w:rPr>
          <w:b w:val="false"/>
          <w:i w:val="false"/>
          <w:lang w:val="fr-FR"/>
        </w:rPr>
      </w:pPr>
      <w:r>
        <w:rPr>
          <w:b w:val="false"/>
          <w:i w:val="false"/>
          <w:lang w:val="fr-FR"/>
        </w:rPr>
      </w:r>
    </w:p>
    <w:p>
      <w:pPr>
        <w:pStyle w:val="Normal"/>
        <w:rPr>
          <w:b w:val="false"/>
          <w:i w:val="false"/>
          <w:lang w:val="fr-FR"/>
        </w:rPr>
      </w:pPr>
      <w:r>
        <w:rPr>
          <w:b w:val="false"/>
          <w:i w:val="false"/>
          <w:lang w:val="fr-FR"/>
        </w:rPr>
      </w:r>
    </w:p>
    <w:p>
      <w:pPr>
        <w:pStyle w:val="Heading2"/>
        <w:rPr>
          <w:lang w:val="fr-FR"/>
        </w:rPr>
      </w:pPr>
      <w:bookmarkStart w:id="71" w:name="__RefHeading___Toc1723_857827966"/>
      <w:bookmarkEnd w:id="71"/>
      <w:r>
        <w:rPr>
          <w:lang w:val="fr-FR"/>
        </w:rPr>
        <w:t>5.3 Perspectives</w:t>
      </w:r>
    </w:p>
    <w:p>
      <w:pPr>
        <w:pStyle w:val="Normal"/>
        <w:rPr>
          <w:lang w:val="fr-FR"/>
        </w:rPr>
      </w:pPr>
      <w:r>
        <w:rPr>
          <w:b w:val="false"/>
          <w:i w:val="false"/>
          <w:lang w:val="fr-FR"/>
        </w:rPr>
        <w:t>Plusieurs pistes naturelles d'extension prolongent le travail réalisé :</w:t>
      </w:r>
    </w:p>
    <w:p>
      <w:pPr>
        <w:pStyle w:val="ListBullet"/>
        <w:numPr>
          <w:ilvl w:val="0"/>
          <w:numId w:val="1"/>
        </w:numPr>
        <w:rPr>
          <w:lang w:val="fr-FR"/>
        </w:rPr>
      </w:pPr>
      <w:r>
        <w:rPr>
          <w:lang w:val="fr-FR"/>
        </w:rPr>
        <w:t>Compléter la campagne de 110 captures, lancer un premier entraînement du modèle et caractériser sa MAE sur l'ensemble de test indépendant.</w:t>
      </w:r>
    </w:p>
    <w:p>
      <w:pPr>
        <w:pStyle w:val="ListBullet"/>
        <w:numPr>
          <w:ilvl w:val="0"/>
          <w:numId w:val="1"/>
        </w:numPr>
        <w:rPr>
          <w:lang w:val="fr-FR"/>
        </w:rPr>
      </w:pPr>
      <w:r>
        <w:rPr>
          <w:lang w:val="fr-FR"/>
        </w:rPr>
        <w:t>Étendre la métrologie en ajoutant un capteur de courant (par exemple un module à effet Hall) pour passer du proxy « niveau de tension » à la mesure directe de la puissance instantanée. L'architecture logicielle est prête à accueillir une troisième colonne dans le CSV maître sans refonte.</w:t>
      </w:r>
    </w:p>
    <w:p>
      <w:pPr>
        <w:pStyle w:val="ListBullet"/>
        <w:numPr>
          <w:ilvl w:val="0"/>
          <w:numId w:val="1"/>
        </w:numPr>
        <w:rPr>
          <w:lang w:val="fr-FR"/>
        </w:rPr>
      </w:pPr>
      <w:r>
        <w:rPr>
          <w:lang w:val="fr-FR"/>
        </w:rPr>
        <w:t>Comparer la performance du modèle double branche à des architectures plus simples (CNN mono-modalité son seul, mono-modalité vibration seule) pour quantifier l'apport réel de chaque modalité — analyse qui constitue un excellent matériel d'argumentation pour l'oral E6.</w:t>
      </w:r>
    </w:p>
    <w:p>
      <w:pPr>
        <w:pStyle w:val="ListBullet"/>
        <w:numPr>
          <w:ilvl w:val="0"/>
          <w:numId w:val="1"/>
        </w:numPr>
        <w:rPr>
          <w:lang w:val="fr-FR"/>
        </w:rPr>
      </w:pPr>
      <w:r>
        <w:rPr>
          <w:lang w:val="fr-FR"/>
        </w:rPr>
        <w:t>Mettre la chaîne en boîte (compilation des serveurs Python en exécutables autonomes via PyInstaller, packaging de l'IHM Qt en installeur Windows) pour une démonstration portable sur d'autres bancs.</w:t>
      </w:r>
    </w:p>
    <w:p>
      <w:pPr>
        <w:pStyle w:val="Heading2"/>
        <w:rPr>
          <w:lang w:val="fr-FR"/>
        </w:rPr>
      </w:pPr>
      <w:bookmarkStart w:id="72" w:name="__RefHeading___Toc1725_857827966"/>
      <w:bookmarkEnd w:id="72"/>
      <w:r>
        <w:rPr>
          <w:lang w:val="fr-FR"/>
        </w:rPr>
        <w:t>5.4 Apports formation</w:t>
      </w:r>
    </w:p>
    <w:p>
      <w:pPr>
        <w:pStyle w:val="Normal"/>
        <w:rPr>
          <w:lang w:val="fr-FR"/>
        </w:rPr>
      </w:pPr>
      <w:r>
        <w:rPr>
          <w:b w:val="false"/>
          <w:i w:val="false"/>
          <w:lang w:val="fr-FR"/>
        </w:rPr>
        <w:t>Ce projet a constitué une mise en application complète et exigeante des compétences centrales du BTS CIEL option Informatique et Réseaux : programmation système et réseau (protocoles TCP/UDP, sockets Python), électronique embarquée (ESP32, FreeRTOS, I2S, BLE), apprentissage profond (TensorFlow/Keras, mel-spectrogrammes, augmentations), conduite de projet en équipe, rédaction de documentation technique, traçabilité par contrôle de version. Au-delà des compétences techniques, le projet a renforcé notre capacité à arbitrer des compromis d'ingénierie sous contraintes et à présenter honnêtement des résultats partiels — qualités essentielles dans un contexte professionnel.</w:t>
      </w:r>
    </w:p>
    <w:p>
      <w:pPr>
        <w:pStyle w:val="Normal"/>
        <w:rPr>
          <w:lang w:val="fr-FR"/>
        </w:rPr>
      </w:pPr>
      <w:r>
        <w:rPr>
          <w:lang w:val="fr-FR"/>
        </w:rPr>
      </w:r>
      <w:r>
        <w:br w:type="page"/>
      </w:r>
    </w:p>
    <w:p>
      <w:pPr>
        <w:pStyle w:val="Heading1"/>
        <w:spacing w:before="0" w:after="120"/>
        <w:rPr>
          <w:lang w:val="fr-FR"/>
        </w:rPr>
      </w:pPr>
      <w:bookmarkStart w:id="73" w:name="__RefHeading___Toc1727_857827966"/>
      <w:bookmarkEnd w:id="73"/>
      <w:r>
        <w:rPr>
          <w:lang w:val="fr-FR"/>
        </w:rPr>
        <w:t>Annexes en ligne</w:t>
      </w:r>
    </w:p>
    <w:p>
      <w:pPr>
        <w:pStyle w:val="Normal"/>
        <w:rPr>
          <w:lang w:val="fr-FR"/>
        </w:rPr>
      </w:pPr>
      <w:r>
        <w:rPr>
          <w:b w:val="false"/>
          <w:i w:val="false"/>
          <w:lang w:val="fr-FR"/>
        </w:rPr>
        <w:t>L'ensemble des livrables techniques et documentaires complémentaires de ce dossier est mis à disposition à l'adresse suivante :</w:t>
      </w:r>
    </w:p>
    <w:p>
      <w:pPr>
        <w:pStyle w:val="Normal"/>
        <w:jc w:val="center"/>
        <w:rPr>
          <w:lang w:val="fr-FR"/>
        </w:rPr>
      </w:pPr>
      <w:r>
        <w:rPr>
          <w:b/>
          <w:i/>
          <w:lang w:val="fr-FR"/>
        </w:rPr>
        <w:t>[Lien à insérer — GitHub / OneDrive — avant impression]</w:t>
      </w:r>
    </w:p>
    <w:p>
      <w:pPr>
        <w:pStyle w:val="Normal"/>
        <w:rPr>
          <w:lang w:val="fr-FR"/>
        </w:rPr>
      </w:pPr>
      <w:r>
        <w:rPr>
          <w:lang w:val="fr-FR"/>
        </w:rPr>
      </w:r>
    </w:p>
    <w:p>
      <w:pPr>
        <w:pStyle w:val="Normal"/>
        <w:rPr>
          <w:lang w:val="fr-FR"/>
        </w:rPr>
      </w:pPr>
      <w:r>
        <w:rPr>
          <w:b w:val="false"/>
          <w:i w:val="false"/>
          <w:lang w:val="fr-FR"/>
        </w:rPr>
        <w:t>Contenu des annexes en ligne :</w:t>
      </w:r>
    </w:p>
    <w:p>
      <w:pPr>
        <w:pStyle w:val="ListBullet"/>
        <w:numPr>
          <w:ilvl w:val="0"/>
          <w:numId w:val="1"/>
        </w:numPr>
        <w:rPr>
          <w:lang w:val="fr-FR"/>
        </w:rPr>
      </w:pPr>
      <w:r>
        <w:rPr>
          <w:lang w:val="fr-FR"/>
        </w:rPr>
        <w:t>Code source complet du projet (serveurs Python, modèle IA Keras, firmware ESP32, IHM Qt), versionné Git, avec README d'installation.</w:t>
      </w:r>
    </w:p>
    <w:p>
      <w:pPr>
        <w:pStyle w:val="ListBullet"/>
        <w:numPr>
          <w:ilvl w:val="0"/>
          <w:numId w:val="1"/>
        </w:numPr>
        <w:rPr>
          <w:lang w:val="fr-FR"/>
        </w:rPr>
      </w:pPr>
      <w:r>
        <w:rPr>
          <w:lang w:val="fr-FR"/>
        </w:rPr>
        <w:t>Base de données : fichier maître metadata_captures_moteur.csv et l'ensemble des fichiers son_N.csv et vib_N.csv des sessions enregistrées.</w:t>
      </w:r>
    </w:p>
    <w:p>
      <w:pPr>
        <w:pStyle w:val="ListBullet"/>
        <w:numPr>
          <w:ilvl w:val="0"/>
          <w:numId w:val="1"/>
        </w:numPr>
        <w:rPr>
          <w:lang w:val="fr-FR"/>
        </w:rPr>
      </w:pPr>
      <w:r>
        <w:rPr>
          <w:lang w:val="fr-FR"/>
        </w:rPr>
        <w:t>Fiches de recette unitaires détaillées (5 fiches pour le périmètre Noa, plus celles des autres membres de l'équipe).</w:t>
      </w:r>
    </w:p>
    <w:p>
      <w:pPr>
        <w:pStyle w:val="ListBullet"/>
        <w:numPr>
          <w:ilvl w:val="0"/>
          <w:numId w:val="1"/>
        </w:numPr>
        <w:rPr>
          <w:lang w:val="fr-FR"/>
        </w:rPr>
      </w:pPr>
      <w:r>
        <w:rPr>
          <w:lang w:val="fr-FR"/>
        </w:rPr>
        <w:t>Fiches de recette d'intégration validée par chaque membre.</w:t>
      </w:r>
    </w:p>
    <w:p>
      <w:pPr>
        <w:pStyle w:val="ListBullet"/>
        <w:numPr>
          <w:ilvl w:val="0"/>
          <w:numId w:val="1"/>
        </w:numPr>
        <w:rPr>
          <w:lang w:val="fr-FR"/>
        </w:rPr>
      </w:pPr>
      <w:r>
        <w:rPr>
          <w:lang w:val="fr-FR"/>
        </w:rPr>
        <w:t>Notice d'installation : prérequis (Python 3.11, Visual Studio Community 2026, Arduino IDE 2.x, Qt Creator), procédure de compilation des exécutables avec PyInstaller, configuration réseau du poste opérateur, flashage de l'ESP32.</w:t>
      </w:r>
    </w:p>
    <w:p>
      <w:pPr>
        <w:pStyle w:val="ListBullet"/>
        <w:numPr>
          <w:ilvl w:val="0"/>
          <w:numId w:val="1"/>
        </w:numPr>
        <w:rPr>
          <w:lang w:val="fr-FR"/>
        </w:rPr>
      </w:pPr>
      <w:r>
        <w:rPr>
          <w:lang w:val="fr-FR"/>
        </w:rPr>
        <w:t>Notice d'utilisation : procédure complète depuis le démarrage du banc moteur jusqu'à la lecture des prédictions du modèle, copie d'écran de l'IHM, tableau des tensions cibles à imprimer.</w:t>
      </w:r>
    </w:p>
    <w:p>
      <w:pPr>
        <w:pStyle w:val="ListBullet"/>
        <w:numPr>
          <w:ilvl w:val="0"/>
          <w:numId w:val="1"/>
        </w:numPr>
        <w:spacing w:before="0" w:after="120"/>
        <w:contextualSpacing/>
        <w:rPr>
          <w:lang w:val="fr-FR"/>
        </w:rPr>
      </w:pPr>
      <w:r>
        <w:rPr>
          <w:lang w:val="fr-FR"/>
        </w:rPr>
        <w:t>Documentation technique : schémas électriques du banc, datasheet du capteur WTVB01-BT50, plan d'expérience détaillé, journal de bord des décisions d'ingénierie.</w:t>
      </w:r>
    </w:p>
    <w:sectPr>
      <w:footerReference w:type="even" r:id="rId4"/>
      <w:footerReference w:type="default" r:id="rId5"/>
      <w:footerReference w:type="first" r:id="rId6"/>
      <w:type w:val="nextPage"/>
      <w:pgSz w:w="11906" w:h="16838"/>
      <w:pgMar w:left="1417" w:right="1417"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1F3A5F"/>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1F3A5F"/>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1F3A5F"/>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072" w:leader="dot"/>
      </w:tabs>
      <w:ind w:hanging="0" w:start="0"/>
    </w:pPr>
    <w:rPr/>
  </w:style>
  <w:style w:type="paragraph" w:styleId="TOC2">
    <w:name w:val="toc 2"/>
    <w:basedOn w:val="Index"/>
    <w:pPr>
      <w:tabs>
        <w:tab w:val="clear" w:pos="720"/>
        <w:tab w:val="right" w:pos="8789" w:leader="dot"/>
      </w:tabs>
      <w:ind w:hanging="0" w:start="283"/>
    </w:pPr>
    <w:rPr/>
  </w:style>
  <w:style w:type="paragraph" w:styleId="TOC3">
    <w:name w:val="toc 3"/>
    <w:basedOn w:val="Index"/>
    <w:pPr>
      <w:tabs>
        <w:tab w:val="clear" w:pos="720"/>
        <w:tab w:val="right" w:pos="8505" w:leader="dot"/>
      </w:tabs>
      <w:ind w:hanging="0" w:start="567"/>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Application>LibreOffice/25.8.6.2$Windows_X86_64 LibreOffice_project/b4b39682cd9868fa725bc664aff94278d315bd04</Application>
  <AppVersion>15.0000</AppVersion>
  <Pages>28</Pages>
  <Words>6434</Words>
  <Characters>36599</Characters>
  <CharactersWithSpaces>42604</CharactersWithSpaces>
  <Paragraphs>453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2026-05-21T11:46:41Z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