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12066" w14:textId="228C1B36" w:rsidR="00CA1784" w:rsidRPr="00342D9A" w:rsidRDefault="00CA1784" w:rsidP="00CA1784">
      <w:pPr>
        <w:rPr>
          <w:b/>
          <w:sz w:val="26"/>
          <w:szCs w:val="26"/>
        </w:rPr>
      </w:pPr>
      <w:r w:rsidRPr="00342D9A">
        <w:rPr>
          <w:b/>
          <w:sz w:val="26"/>
          <w:szCs w:val="26"/>
        </w:rPr>
        <w:t xml:space="preserve">Syphilis </w:t>
      </w:r>
    </w:p>
    <w:p w14:paraId="4804E908" w14:textId="77777777" w:rsidR="00502238" w:rsidRPr="00342D9A" w:rsidRDefault="00502238" w:rsidP="00CA1784">
      <w:pPr>
        <w:rPr>
          <w:b/>
          <w:sz w:val="26"/>
          <w:szCs w:val="26"/>
        </w:rPr>
      </w:pPr>
    </w:p>
    <w:p w14:paraId="7F6CBB08" w14:textId="77777777" w:rsidR="00CA1784" w:rsidRPr="001C77EB" w:rsidRDefault="00CA1784" w:rsidP="00CA1784">
      <w:pPr>
        <w:rPr>
          <w:i/>
        </w:rPr>
      </w:pPr>
      <w:r w:rsidRPr="001C77EB">
        <w:rPr>
          <w:i/>
        </w:rPr>
        <w:t>Model structure</w:t>
      </w:r>
    </w:p>
    <w:p w14:paraId="09502E07" w14:textId="77777777" w:rsidR="00CA1784" w:rsidRDefault="00CA1784" w:rsidP="00CA1784">
      <w:r>
        <w:t xml:space="preserve">Markov cohort model simulates progression of primary syphilis infection to tertiary syphilis. Our model structure aligns with </w:t>
      </w:r>
      <w:r w:rsidR="005D33DC">
        <w:t xml:space="preserve">the model </w:t>
      </w:r>
      <w:r>
        <w:t xml:space="preserve">configurations in previous syphilis modeling studies. The model consists of 10 states; primary, secondary, tertiary syphilis, early and late latent syphilis, early and late neurosyphilis, and dead. Everyone starts at primary syphilis. </w:t>
      </w:r>
    </w:p>
    <w:p w14:paraId="6402696E" w14:textId="77777777" w:rsidR="005D33DC" w:rsidRDefault="005D33DC" w:rsidP="00CA1784"/>
    <w:p w14:paraId="4B938537" w14:textId="3E7417E2" w:rsidR="00CA1784" w:rsidRDefault="00342D9A" w:rsidP="00342D9A">
      <w:pPr>
        <w:pStyle w:val="ListParagraph"/>
        <w:numPr>
          <w:ilvl w:val="0"/>
          <w:numId w:val="26"/>
        </w:numPr>
      </w:pPr>
      <w:r>
        <w:t>Markov cohort model</w:t>
      </w:r>
    </w:p>
    <w:p w14:paraId="756A6A2A" w14:textId="03F55714" w:rsidR="00CA1784" w:rsidRDefault="00C75446" w:rsidP="00CA1784">
      <w:pPr>
        <w:rPr>
          <w:lang w:eastAsia="ko-KR"/>
        </w:rPr>
      </w:pPr>
      <w:r>
        <w:rPr>
          <w:noProof/>
          <w:lang w:eastAsia="ko-KR"/>
        </w:rPr>
        <w:drawing>
          <wp:inline distT="0" distB="0" distL="0" distR="0" wp14:anchorId="3CE3A001" wp14:editId="4FE446D3">
            <wp:extent cx="6219825" cy="3808231"/>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224139" cy="3810872"/>
                    </a:xfrm>
                    <a:prstGeom prst="rect">
                      <a:avLst/>
                    </a:prstGeom>
                    <a:noFill/>
                  </pic:spPr>
                </pic:pic>
              </a:graphicData>
            </a:graphic>
          </wp:inline>
        </w:drawing>
      </w:r>
    </w:p>
    <w:p w14:paraId="0E77CFA3" w14:textId="77777777" w:rsidR="00CA1784" w:rsidRDefault="00CA1784" w:rsidP="00CA1784">
      <w:pPr>
        <w:rPr>
          <w:lang w:eastAsia="ko-KR"/>
        </w:rPr>
      </w:pPr>
    </w:p>
    <w:p w14:paraId="256555CA" w14:textId="176A323D" w:rsidR="00502238" w:rsidRDefault="00342D9A" w:rsidP="00342D9A">
      <w:pPr>
        <w:pStyle w:val="ListParagraph"/>
        <w:numPr>
          <w:ilvl w:val="0"/>
          <w:numId w:val="26"/>
        </w:numPr>
        <w:rPr>
          <w:lang w:eastAsia="ko-KR"/>
        </w:rPr>
      </w:pPr>
      <w:r>
        <w:rPr>
          <w:lang w:eastAsia="ko-KR"/>
        </w:rPr>
        <w:t>Health states</w:t>
      </w:r>
    </w:p>
    <w:tbl>
      <w:tblPr>
        <w:tblStyle w:val="TableGrid"/>
        <w:tblW w:w="0" w:type="auto"/>
        <w:tblLook w:val="04A0" w:firstRow="1" w:lastRow="0" w:firstColumn="1" w:lastColumn="0" w:noHBand="0" w:noVBand="1"/>
      </w:tblPr>
      <w:tblGrid>
        <w:gridCol w:w="2335"/>
        <w:gridCol w:w="7015"/>
      </w:tblGrid>
      <w:tr w:rsidR="00CA1784" w14:paraId="5DC5EBBC" w14:textId="77777777" w:rsidTr="00CA1784">
        <w:tc>
          <w:tcPr>
            <w:tcW w:w="2335" w:type="dxa"/>
          </w:tcPr>
          <w:p w14:paraId="3B98FB5A" w14:textId="77777777" w:rsidR="00CA1784" w:rsidRDefault="00CA1784" w:rsidP="00CA1784">
            <w:pPr>
              <w:rPr>
                <w:lang w:eastAsia="ko-KR"/>
              </w:rPr>
            </w:pPr>
            <w:r>
              <w:rPr>
                <w:lang w:eastAsia="ko-KR"/>
              </w:rPr>
              <w:t>Health State</w:t>
            </w:r>
          </w:p>
        </w:tc>
        <w:tc>
          <w:tcPr>
            <w:tcW w:w="7015" w:type="dxa"/>
          </w:tcPr>
          <w:p w14:paraId="76EF84C8" w14:textId="77777777" w:rsidR="00CA1784" w:rsidRDefault="00CA1784" w:rsidP="00CA1784">
            <w:pPr>
              <w:rPr>
                <w:lang w:eastAsia="ko-KR"/>
              </w:rPr>
            </w:pPr>
            <w:r>
              <w:rPr>
                <w:lang w:eastAsia="ko-KR"/>
              </w:rPr>
              <w:t>Definition</w:t>
            </w:r>
          </w:p>
        </w:tc>
      </w:tr>
      <w:tr w:rsidR="00CA1784" w14:paraId="23F208DC" w14:textId="77777777" w:rsidTr="00CA1784">
        <w:tc>
          <w:tcPr>
            <w:tcW w:w="2335" w:type="dxa"/>
          </w:tcPr>
          <w:p w14:paraId="0CF16789" w14:textId="77777777" w:rsidR="00CA1784" w:rsidRDefault="00CA1784" w:rsidP="00CA1784">
            <w:pPr>
              <w:rPr>
                <w:lang w:eastAsia="ko-KR"/>
              </w:rPr>
            </w:pPr>
            <w:r>
              <w:rPr>
                <w:lang w:eastAsia="ko-KR"/>
              </w:rPr>
              <w:t>Primary syphilis</w:t>
            </w:r>
          </w:p>
        </w:tc>
        <w:tc>
          <w:tcPr>
            <w:tcW w:w="7015" w:type="dxa"/>
          </w:tcPr>
          <w:p w14:paraId="241DBD40" w14:textId="77777777" w:rsidR="00CA1784" w:rsidRDefault="00CA1784" w:rsidP="00CA1784">
            <w:pPr>
              <w:rPr>
                <w:lang w:eastAsia="ko-KR"/>
              </w:rPr>
            </w:pPr>
            <w:r>
              <w:rPr>
                <w:lang w:eastAsia="ko-KR"/>
              </w:rPr>
              <w:t>T</w:t>
            </w:r>
            <w:r w:rsidRPr="00CA1784">
              <w:rPr>
                <w:lang w:eastAsia="ko-KR"/>
              </w:rPr>
              <w:t>he first stage of syphilis that presents painless sores. Symptoms usually lasts 3-6 weeks</w:t>
            </w:r>
          </w:p>
        </w:tc>
      </w:tr>
      <w:tr w:rsidR="00CA1784" w14:paraId="4CAEA76A" w14:textId="77777777" w:rsidTr="00CA1784">
        <w:tc>
          <w:tcPr>
            <w:tcW w:w="2335" w:type="dxa"/>
          </w:tcPr>
          <w:p w14:paraId="174A93C6" w14:textId="77777777" w:rsidR="00CA1784" w:rsidRDefault="00CA1784" w:rsidP="00CA1784">
            <w:pPr>
              <w:rPr>
                <w:lang w:eastAsia="ko-KR"/>
              </w:rPr>
            </w:pPr>
            <w:r>
              <w:rPr>
                <w:lang w:eastAsia="ko-KR"/>
              </w:rPr>
              <w:t>Secondary syphilis</w:t>
            </w:r>
          </w:p>
        </w:tc>
        <w:tc>
          <w:tcPr>
            <w:tcW w:w="7015" w:type="dxa"/>
          </w:tcPr>
          <w:p w14:paraId="2313E115" w14:textId="77777777" w:rsidR="00CA1784" w:rsidRDefault="00CA1784" w:rsidP="00CA1784">
            <w:pPr>
              <w:rPr>
                <w:lang w:eastAsia="ko-KR"/>
              </w:rPr>
            </w:pPr>
            <w:r>
              <w:rPr>
                <w:lang w:eastAsia="ko-KR"/>
              </w:rPr>
              <w:t>S</w:t>
            </w:r>
            <w:r w:rsidRPr="00CA1784">
              <w:rPr>
                <w:lang w:eastAsia="ko-KR"/>
              </w:rPr>
              <w:t>econdary stage of syphilis that involves skin rashes, lesions in mouth, vagina, or anus. Usually mid symptoms but often involves mild systemic symptoms such as fever, sore throat, headache, muscle aches, and fatigue.</w:t>
            </w:r>
          </w:p>
        </w:tc>
      </w:tr>
      <w:tr w:rsidR="00CA1784" w14:paraId="30F8A0F8" w14:textId="77777777" w:rsidTr="00CA1784">
        <w:tc>
          <w:tcPr>
            <w:tcW w:w="2335" w:type="dxa"/>
          </w:tcPr>
          <w:p w14:paraId="63595D9B" w14:textId="77777777" w:rsidR="00CA1784" w:rsidRDefault="00CA1784" w:rsidP="00CA1784">
            <w:pPr>
              <w:rPr>
                <w:lang w:eastAsia="ko-KR"/>
              </w:rPr>
            </w:pPr>
            <w:r>
              <w:rPr>
                <w:lang w:eastAsia="ko-KR"/>
              </w:rPr>
              <w:t>Early latent syphilis</w:t>
            </w:r>
          </w:p>
        </w:tc>
        <w:tc>
          <w:tcPr>
            <w:tcW w:w="7015" w:type="dxa"/>
          </w:tcPr>
          <w:p w14:paraId="7668E3D0" w14:textId="77777777" w:rsidR="00CA1784" w:rsidRDefault="00CA1784" w:rsidP="00CA1784">
            <w:pPr>
              <w:rPr>
                <w:lang w:eastAsia="ko-KR"/>
              </w:rPr>
            </w:pPr>
            <w:r>
              <w:rPr>
                <w:lang w:eastAsia="ko-KR"/>
              </w:rPr>
              <w:t>Presence of serological evidence for syphilis without clinical manifestations of syphilis. Infection occurred within the past 12 months</w:t>
            </w:r>
          </w:p>
        </w:tc>
      </w:tr>
      <w:tr w:rsidR="00CA1784" w14:paraId="00DC6E75" w14:textId="77777777" w:rsidTr="00CA1784">
        <w:tc>
          <w:tcPr>
            <w:tcW w:w="2335" w:type="dxa"/>
          </w:tcPr>
          <w:p w14:paraId="4D440E0E" w14:textId="77777777" w:rsidR="00CA1784" w:rsidRDefault="00CA1784" w:rsidP="00CA1784">
            <w:pPr>
              <w:rPr>
                <w:lang w:eastAsia="ko-KR"/>
              </w:rPr>
            </w:pPr>
            <w:r>
              <w:rPr>
                <w:lang w:eastAsia="ko-KR"/>
              </w:rPr>
              <w:t>Late latent syphilis</w:t>
            </w:r>
          </w:p>
        </w:tc>
        <w:tc>
          <w:tcPr>
            <w:tcW w:w="7015" w:type="dxa"/>
          </w:tcPr>
          <w:p w14:paraId="46DBFF42" w14:textId="77777777" w:rsidR="00CA1784" w:rsidRDefault="00CA1784" w:rsidP="00CA1784">
            <w:pPr>
              <w:rPr>
                <w:lang w:eastAsia="ko-KR"/>
              </w:rPr>
            </w:pPr>
            <w:r>
              <w:rPr>
                <w:lang w:eastAsia="ko-KR"/>
              </w:rPr>
              <w:t>Presence of serological evidence for syphilis without clinical manifestations of syphilis. Infection occurred more than 12 months ago</w:t>
            </w:r>
          </w:p>
        </w:tc>
      </w:tr>
      <w:tr w:rsidR="00CA1784" w14:paraId="76A27816" w14:textId="77777777" w:rsidTr="00CA1784">
        <w:tc>
          <w:tcPr>
            <w:tcW w:w="2335" w:type="dxa"/>
          </w:tcPr>
          <w:p w14:paraId="23862C10" w14:textId="77777777" w:rsidR="00CA1784" w:rsidRDefault="00CA1784" w:rsidP="00CA1784">
            <w:pPr>
              <w:rPr>
                <w:lang w:eastAsia="ko-KR"/>
              </w:rPr>
            </w:pPr>
            <w:r>
              <w:rPr>
                <w:lang w:eastAsia="ko-KR"/>
              </w:rPr>
              <w:t>Tertiary syphilis</w:t>
            </w:r>
          </w:p>
        </w:tc>
        <w:tc>
          <w:tcPr>
            <w:tcW w:w="7015" w:type="dxa"/>
          </w:tcPr>
          <w:p w14:paraId="6D552612" w14:textId="77777777" w:rsidR="00CA1784" w:rsidRDefault="00CA1784" w:rsidP="00CA1784">
            <w:pPr>
              <w:rPr>
                <w:lang w:eastAsia="ko-KR"/>
              </w:rPr>
            </w:pPr>
            <w:r>
              <w:rPr>
                <w:lang w:eastAsia="ko-KR"/>
              </w:rPr>
              <w:t>Untreated syphilis that leads to systemic symptoms affecting multiple organ systems including blood vessels (cardiovascular syphilis), skins, bone, and liver (late benign syphilis). Patients with tertiary syphilis have consequent long-term disability</w:t>
            </w:r>
          </w:p>
        </w:tc>
      </w:tr>
      <w:tr w:rsidR="00CA1784" w14:paraId="1AC014B6" w14:textId="77777777" w:rsidTr="00CA1784">
        <w:tc>
          <w:tcPr>
            <w:tcW w:w="2335" w:type="dxa"/>
          </w:tcPr>
          <w:p w14:paraId="51E5C9AB" w14:textId="77777777" w:rsidR="00CA1784" w:rsidRDefault="00CA1784" w:rsidP="00CA1784">
            <w:pPr>
              <w:rPr>
                <w:lang w:eastAsia="ko-KR"/>
              </w:rPr>
            </w:pPr>
            <w:r>
              <w:rPr>
                <w:lang w:eastAsia="ko-KR"/>
              </w:rPr>
              <w:lastRenderedPageBreak/>
              <w:t>Early neurosyphilis</w:t>
            </w:r>
          </w:p>
        </w:tc>
        <w:tc>
          <w:tcPr>
            <w:tcW w:w="7015" w:type="dxa"/>
          </w:tcPr>
          <w:p w14:paraId="777691B0" w14:textId="77777777" w:rsidR="00CA1784" w:rsidRDefault="00CA1784" w:rsidP="00CA1784">
            <w:pPr>
              <w:rPr>
                <w:lang w:eastAsia="ko-KR"/>
              </w:rPr>
            </w:pPr>
            <w:r>
              <w:rPr>
                <w:lang w:eastAsia="ko-KR"/>
              </w:rPr>
              <w:t>Early stage of syphilis infection in central nerve system, mostly asymptomatic but can have acute meningitis (headache, fever, and stiff neck)</w:t>
            </w:r>
          </w:p>
        </w:tc>
      </w:tr>
      <w:tr w:rsidR="00CA1784" w14:paraId="37F941C9" w14:textId="77777777" w:rsidTr="00CA1784">
        <w:tc>
          <w:tcPr>
            <w:tcW w:w="2335" w:type="dxa"/>
          </w:tcPr>
          <w:p w14:paraId="55E742B0" w14:textId="77777777" w:rsidR="00CA1784" w:rsidRDefault="00CA1784" w:rsidP="00CA1784">
            <w:pPr>
              <w:rPr>
                <w:lang w:eastAsia="ko-KR"/>
              </w:rPr>
            </w:pPr>
            <w:r>
              <w:rPr>
                <w:lang w:eastAsia="ko-KR"/>
              </w:rPr>
              <w:t>Late neurosyphilis</w:t>
            </w:r>
          </w:p>
        </w:tc>
        <w:tc>
          <w:tcPr>
            <w:tcW w:w="7015" w:type="dxa"/>
          </w:tcPr>
          <w:p w14:paraId="23F63919" w14:textId="77777777" w:rsidR="00CA1784" w:rsidRDefault="00CA1784" w:rsidP="00CA1784">
            <w:pPr>
              <w:rPr>
                <w:lang w:eastAsia="ko-KR"/>
              </w:rPr>
            </w:pPr>
            <w:r>
              <w:rPr>
                <w:lang w:eastAsia="ko-KR"/>
              </w:rPr>
              <w:t xml:space="preserve">Late stage of syphilis infection in central nerve system, involving seizure, ataxia, aphasia, paresis, </w:t>
            </w:r>
            <w:proofErr w:type="spellStart"/>
            <w:r>
              <w:rPr>
                <w:lang w:eastAsia="ko-KR"/>
              </w:rPr>
              <w:t>tabe</w:t>
            </w:r>
            <w:proofErr w:type="spellEnd"/>
            <w:r>
              <w:rPr>
                <w:lang w:eastAsia="ko-KR"/>
              </w:rPr>
              <w:t xml:space="preserve"> dorsalis Resulted in long-term disability</w:t>
            </w:r>
          </w:p>
        </w:tc>
      </w:tr>
      <w:tr w:rsidR="00CA1784" w14:paraId="043CBD82" w14:textId="77777777" w:rsidTr="00CA1784">
        <w:tc>
          <w:tcPr>
            <w:tcW w:w="2335" w:type="dxa"/>
          </w:tcPr>
          <w:p w14:paraId="445A7B89" w14:textId="4434E1CA" w:rsidR="00CA1784" w:rsidRDefault="00CA1784" w:rsidP="004C2100">
            <w:pPr>
              <w:rPr>
                <w:lang w:eastAsia="ko-KR"/>
              </w:rPr>
            </w:pPr>
            <w:r>
              <w:rPr>
                <w:lang w:eastAsia="ko-KR"/>
              </w:rPr>
              <w:t xml:space="preserve">Treated </w:t>
            </w:r>
          </w:p>
        </w:tc>
        <w:tc>
          <w:tcPr>
            <w:tcW w:w="7015" w:type="dxa"/>
          </w:tcPr>
          <w:p w14:paraId="2924CF98" w14:textId="060EF84F" w:rsidR="004C2100" w:rsidRDefault="00CA1784" w:rsidP="004C2100">
            <w:pPr>
              <w:rPr>
                <w:lang w:eastAsia="ko-KR"/>
              </w:rPr>
            </w:pPr>
            <w:r>
              <w:rPr>
                <w:lang w:eastAsia="ko-KR"/>
              </w:rPr>
              <w:t xml:space="preserve">Those who were treated </w:t>
            </w:r>
            <w:r w:rsidR="004C2100">
              <w:rPr>
                <w:lang w:eastAsia="ko-KR"/>
              </w:rPr>
              <w:t xml:space="preserve">in syphilis stages earlier than tertiary syphilis </w:t>
            </w:r>
          </w:p>
        </w:tc>
      </w:tr>
      <w:tr w:rsidR="00CA1784" w14:paraId="0CABCADD" w14:textId="77777777" w:rsidTr="00CA1784">
        <w:tc>
          <w:tcPr>
            <w:tcW w:w="2335" w:type="dxa"/>
          </w:tcPr>
          <w:p w14:paraId="293EDC0D" w14:textId="77777777" w:rsidR="00CA1784" w:rsidRDefault="00CA1784" w:rsidP="00CA1784">
            <w:pPr>
              <w:rPr>
                <w:lang w:eastAsia="ko-KR"/>
              </w:rPr>
            </w:pPr>
            <w:r>
              <w:rPr>
                <w:lang w:eastAsia="ko-KR"/>
              </w:rPr>
              <w:t>Dead</w:t>
            </w:r>
          </w:p>
        </w:tc>
        <w:tc>
          <w:tcPr>
            <w:tcW w:w="7015" w:type="dxa"/>
          </w:tcPr>
          <w:p w14:paraId="6B8C9E8F" w14:textId="77777777" w:rsidR="00CA1784" w:rsidRDefault="00A33421" w:rsidP="00CA1784">
            <w:pPr>
              <w:rPr>
                <w:lang w:eastAsia="ko-KR"/>
              </w:rPr>
            </w:pPr>
            <w:r>
              <w:rPr>
                <w:lang w:eastAsia="ko-KR"/>
              </w:rPr>
              <w:t>People who died from baseline mortality or disease-specific mortality</w:t>
            </w:r>
          </w:p>
        </w:tc>
      </w:tr>
    </w:tbl>
    <w:p w14:paraId="35923DF4" w14:textId="77777777" w:rsidR="00CA1784" w:rsidRDefault="00CA1784" w:rsidP="00CA1784">
      <w:pPr>
        <w:rPr>
          <w:lang w:eastAsia="ko-KR"/>
        </w:rPr>
      </w:pPr>
    </w:p>
    <w:p w14:paraId="465F7FEC" w14:textId="77777777" w:rsidR="00CA1784" w:rsidRDefault="00CA1784" w:rsidP="00CA1784">
      <w:pPr>
        <w:rPr>
          <w:lang w:eastAsia="ko-KR"/>
        </w:rPr>
      </w:pPr>
    </w:p>
    <w:p w14:paraId="58BB691C" w14:textId="77777777" w:rsidR="005D33DC" w:rsidRDefault="005D33DC" w:rsidP="00342D9A">
      <w:pPr>
        <w:pStyle w:val="ListParagraph"/>
        <w:numPr>
          <w:ilvl w:val="0"/>
          <w:numId w:val="26"/>
        </w:numPr>
      </w:pPr>
      <w:r>
        <w:t xml:space="preserve">Tree structure below illustrates events that lead one health state to another. </w:t>
      </w:r>
    </w:p>
    <w:p w14:paraId="28BC31FD" w14:textId="77777777" w:rsidR="00CA1784" w:rsidRDefault="00CA1784" w:rsidP="00CA1784"/>
    <w:p w14:paraId="56D67014" w14:textId="77777777" w:rsidR="00CA1784" w:rsidRDefault="00CA1784" w:rsidP="00CA1784">
      <w:r>
        <w:rPr>
          <w:noProof/>
          <w:lang w:eastAsia="ko-KR"/>
        </w:rPr>
        <w:drawing>
          <wp:inline distT="0" distB="0" distL="0" distR="0" wp14:anchorId="5859FA70" wp14:editId="0EE990DA">
            <wp:extent cx="6048375" cy="21801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57545" cy="2183459"/>
                    </a:xfrm>
                    <a:prstGeom prst="rect">
                      <a:avLst/>
                    </a:prstGeom>
                    <a:noFill/>
                  </pic:spPr>
                </pic:pic>
              </a:graphicData>
            </a:graphic>
          </wp:inline>
        </w:drawing>
      </w:r>
    </w:p>
    <w:p w14:paraId="7B969FCE" w14:textId="77777777" w:rsidR="00CA1784" w:rsidRDefault="00CA1784" w:rsidP="00CA1784"/>
    <w:p w14:paraId="5C7D9B4B" w14:textId="77777777" w:rsidR="00CA1784" w:rsidRDefault="00CA1784" w:rsidP="00CA1784">
      <w:r>
        <w:rPr>
          <w:noProof/>
          <w:lang w:eastAsia="ko-KR"/>
        </w:rPr>
        <w:drawing>
          <wp:inline distT="0" distB="0" distL="0" distR="0" wp14:anchorId="3166BFD5" wp14:editId="4DDA108A">
            <wp:extent cx="5904865" cy="245762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09560" cy="2459581"/>
                    </a:xfrm>
                    <a:prstGeom prst="rect">
                      <a:avLst/>
                    </a:prstGeom>
                    <a:noFill/>
                  </pic:spPr>
                </pic:pic>
              </a:graphicData>
            </a:graphic>
          </wp:inline>
        </w:drawing>
      </w:r>
    </w:p>
    <w:p w14:paraId="59BB7705" w14:textId="77777777" w:rsidR="00CA1784" w:rsidRDefault="00CA1784" w:rsidP="00CA1784"/>
    <w:p w14:paraId="07D1CE71" w14:textId="77777777" w:rsidR="00CA1784" w:rsidRDefault="00CA1784" w:rsidP="00CA1784"/>
    <w:p w14:paraId="16E96D71" w14:textId="77777777" w:rsidR="00CA1784" w:rsidRDefault="00CA1784" w:rsidP="00CA1784">
      <w:r>
        <w:rPr>
          <w:noProof/>
          <w:lang w:eastAsia="ko-KR"/>
        </w:rPr>
        <w:lastRenderedPageBreak/>
        <w:drawing>
          <wp:inline distT="0" distB="0" distL="0" distR="0" wp14:anchorId="41B966E2" wp14:editId="00ACC366">
            <wp:extent cx="5687695" cy="193628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8168" cy="1946654"/>
                    </a:xfrm>
                    <a:prstGeom prst="rect">
                      <a:avLst/>
                    </a:prstGeom>
                    <a:noFill/>
                  </pic:spPr>
                </pic:pic>
              </a:graphicData>
            </a:graphic>
          </wp:inline>
        </w:drawing>
      </w:r>
    </w:p>
    <w:p w14:paraId="141837DC" w14:textId="77777777" w:rsidR="00CA1784" w:rsidRDefault="00CA1784" w:rsidP="00CA1784"/>
    <w:p w14:paraId="0023A20E" w14:textId="77777777" w:rsidR="00CA1784" w:rsidRDefault="00CA1784" w:rsidP="00CA1784">
      <w:r>
        <w:rPr>
          <w:noProof/>
          <w:lang w:eastAsia="ko-KR"/>
        </w:rPr>
        <w:drawing>
          <wp:inline distT="0" distB="0" distL="0" distR="0" wp14:anchorId="7ED0C49E" wp14:editId="2A13D3D1">
            <wp:extent cx="5814060" cy="2398064"/>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41756" cy="2409487"/>
                    </a:xfrm>
                    <a:prstGeom prst="rect">
                      <a:avLst/>
                    </a:prstGeom>
                    <a:noFill/>
                  </pic:spPr>
                </pic:pic>
              </a:graphicData>
            </a:graphic>
          </wp:inline>
        </w:drawing>
      </w:r>
    </w:p>
    <w:p w14:paraId="720CB03A" w14:textId="3CA5A70A" w:rsidR="00CA1784" w:rsidRDefault="00CA1784" w:rsidP="00CA1784"/>
    <w:p w14:paraId="6BD1834D" w14:textId="7C1B6D30" w:rsidR="00CA1784" w:rsidRDefault="00C75446" w:rsidP="00CA1784">
      <w:pPr>
        <w:rPr>
          <w:i/>
        </w:rPr>
      </w:pPr>
      <w:r>
        <w:rPr>
          <w:i/>
          <w:noProof/>
          <w:lang w:eastAsia="ko-KR"/>
        </w:rPr>
        <w:drawing>
          <wp:inline distT="0" distB="0" distL="0" distR="0" wp14:anchorId="15817523" wp14:editId="2AF7B079">
            <wp:extent cx="2409825" cy="16225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27275" cy="1634347"/>
                    </a:xfrm>
                    <a:prstGeom prst="rect">
                      <a:avLst/>
                    </a:prstGeom>
                    <a:noFill/>
                  </pic:spPr>
                </pic:pic>
              </a:graphicData>
            </a:graphic>
          </wp:inline>
        </w:drawing>
      </w:r>
    </w:p>
    <w:p w14:paraId="5FA70E4B" w14:textId="77777777" w:rsidR="00CA1784" w:rsidRDefault="00CA1784" w:rsidP="00CA1784"/>
    <w:p w14:paraId="26DC2DB0" w14:textId="77777777" w:rsidR="00CA1784" w:rsidRDefault="00CA1784" w:rsidP="00CA1784"/>
    <w:p w14:paraId="67D175A1" w14:textId="311F66E7" w:rsidR="00A33421" w:rsidRDefault="005D33DC" w:rsidP="00342D9A">
      <w:pPr>
        <w:pStyle w:val="ListParagraph"/>
        <w:numPr>
          <w:ilvl w:val="0"/>
          <w:numId w:val="26"/>
        </w:numPr>
        <w:rPr>
          <w:lang w:eastAsia="ko-KR"/>
        </w:rPr>
      </w:pPr>
      <w:r>
        <w:t xml:space="preserve">For </w:t>
      </w:r>
      <w:r w:rsidRPr="00342D9A">
        <w:rPr>
          <w:u w:val="single"/>
        </w:rPr>
        <w:t>pregnant women</w:t>
      </w:r>
      <w:r>
        <w:t xml:space="preserve">, we added </w:t>
      </w:r>
      <w:r w:rsidR="005D6899">
        <w:t xml:space="preserve">a </w:t>
      </w:r>
      <w:r>
        <w:t>tree structure to describe</w:t>
      </w:r>
      <w:r w:rsidR="005D6899">
        <w:t xml:space="preserve"> the</w:t>
      </w:r>
      <w:r>
        <w:t xml:space="preserve"> </w:t>
      </w:r>
      <w:r w:rsidR="00A33421">
        <w:t xml:space="preserve">stage of syphilis at pregnancy, screening and treatment coverage which will determine the risk of vertical transmission and consequent adverse pregnancy outcomes. Among pregnant women who are infected with syphilis, ‘infection during pregnancy’ indicates the subpopulation who </w:t>
      </w:r>
      <w:r w:rsidR="001D26A2">
        <w:rPr>
          <w:rFonts w:hint="eastAsia"/>
          <w:lang w:eastAsia="ko-KR"/>
        </w:rPr>
        <w:t>have early stage syphilis</w:t>
      </w:r>
      <w:r w:rsidR="001D26A2">
        <w:rPr>
          <w:lang w:eastAsia="ko-KR"/>
        </w:rPr>
        <w:t xml:space="preserve"> (primary, secondary, or early latent). Most of pregnant women receive screening during first trimester and treatment if test positive. Those who failed to have screening and appropriate treatment have the risk of vertical transmission and consequent adverse pregnancy outcomes, whereas those who received screening and treatment </w:t>
      </w:r>
      <w:r w:rsidR="00842D65">
        <w:rPr>
          <w:lang w:eastAsia="ko-KR"/>
        </w:rPr>
        <w:t>would not have those outcomes. The r</w:t>
      </w:r>
      <w:r w:rsidR="001D26A2">
        <w:rPr>
          <w:lang w:eastAsia="ko-KR"/>
        </w:rPr>
        <w:t xml:space="preserve">isk </w:t>
      </w:r>
      <w:r w:rsidR="001D26A2">
        <w:rPr>
          <w:lang w:eastAsia="ko-KR"/>
        </w:rPr>
        <w:lastRenderedPageBreak/>
        <w:t>of vertical transmission is very low among women who are in late stage of syphilis (late latent and tertiary</w:t>
      </w:r>
      <w:r w:rsidR="00842D65">
        <w:rPr>
          <w:lang w:eastAsia="ko-KR"/>
        </w:rPr>
        <w:t>, ‘Infection before pregnancy’</w:t>
      </w:r>
      <w:r w:rsidR="001D26A2">
        <w:rPr>
          <w:lang w:eastAsia="ko-KR"/>
        </w:rPr>
        <w:t>).</w:t>
      </w:r>
    </w:p>
    <w:p w14:paraId="0016AC01" w14:textId="4800A25A" w:rsidR="0095068A" w:rsidRDefault="0095068A" w:rsidP="0095068A">
      <w:pPr>
        <w:rPr>
          <w:lang w:eastAsia="ko-KR"/>
        </w:rPr>
      </w:pPr>
    </w:p>
    <w:p w14:paraId="6F50A777" w14:textId="33B0A48C" w:rsidR="00842D65" w:rsidRPr="00855807" w:rsidRDefault="005C5D01" w:rsidP="00842D65">
      <w:pPr>
        <w:pStyle w:val="ListParagraph"/>
        <w:rPr>
          <w:lang w:eastAsia="ko-KR"/>
        </w:rPr>
      </w:pPr>
      <w:r w:rsidRPr="005C5D01">
        <w:rPr>
          <w:b/>
          <w:bCs/>
          <w:noProof/>
        </w:rPr>
        <w:t xml:space="preserve"> </w:t>
      </w:r>
      <w:r>
        <w:rPr>
          <w:b/>
          <w:bCs/>
          <w:noProof/>
        </w:rPr>
        <w:drawing>
          <wp:inline distT="0" distB="0" distL="0" distR="0" wp14:anchorId="65DF6D47" wp14:editId="6697339C">
            <wp:extent cx="5943600" cy="219358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193581"/>
                    </a:xfrm>
                    <a:prstGeom prst="rect">
                      <a:avLst/>
                    </a:prstGeom>
                    <a:noFill/>
                  </pic:spPr>
                </pic:pic>
              </a:graphicData>
            </a:graphic>
          </wp:inline>
        </w:drawing>
      </w:r>
    </w:p>
    <w:p w14:paraId="699A8045" w14:textId="42978435" w:rsidR="00CA1784" w:rsidRDefault="00CA1784" w:rsidP="00CA1784">
      <w:pPr>
        <w:rPr>
          <w:i/>
        </w:rPr>
      </w:pPr>
    </w:p>
    <w:p w14:paraId="6737CEA6" w14:textId="26FDBE69" w:rsidR="00CA1784" w:rsidRPr="0095068A" w:rsidRDefault="0095068A" w:rsidP="00CA1784">
      <w:r w:rsidRPr="0095068A">
        <w:t>(CS: congenital syphilis; PS: Primary Syphilis)</w:t>
      </w:r>
    </w:p>
    <w:p w14:paraId="07359B4F" w14:textId="77777777" w:rsidR="00342D9A" w:rsidRDefault="00342D9A" w:rsidP="00CA1784">
      <w:pPr>
        <w:rPr>
          <w:i/>
        </w:rPr>
      </w:pPr>
    </w:p>
    <w:p w14:paraId="62FFB29C" w14:textId="77777777" w:rsidR="00CA1784" w:rsidRPr="00EA4EA7" w:rsidRDefault="00CA1784" w:rsidP="00CA1784">
      <w:pPr>
        <w:rPr>
          <w:i/>
        </w:rPr>
      </w:pPr>
      <w:r w:rsidRPr="00EA4EA7">
        <w:rPr>
          <w:i/>
        </w:rPr>
        <w:t>Assumptions</w:t>
      </w:r>
    </w:p>
    <w:p w14:paraId="090058D1" w14:textId="77777777" w:rsidR="00F02BBD" w:rsidRDefault="00F02BBD" w:rsidP="00F02BBD">
      <w:pPr>
        <w:pStyle w:val="ListParagraph"/>
        <w:numPr>
          <w:ilvl w:val="0"/>
          <w:numId w:val="24"/>
        </w:numPr>
      </w:pPr>
      <w:r>
        <w:t>We do not model reinfection as we measure health outcomes per infection not per infected person (re-infection will be counted as a new infection)</w:t>
      </w:r>
    </w:p>
    <w:p w14:paraId="7FEF493D" w14:textId="65A1B87A" w:rsidR="00F02BBD" w:rsidRDefault="00F02BBD" w:rsidP="00F02BBD">
      <w:pPr>
        <w:pStyle w:val="ListParagraph"/>
        <w:numPr>
          <w:ilvl w:val="0"/>
          <w:numId w:val="24"/>
        </w:numPr>
      </w:pPr>
      <w:r>
        <w:t xml:space="preserve">Sensitivity of the syphilis test is perfect (combination of antibody </w:t>
      </w:r>
      <w:proofErr w:type="gramStart"/>
      <w:r>
        <w:t>testing</w:t>
      </w:r>
      <w:proofErr w:type="gramEnd"/>
      <w:r>
        <w:t xml:space="preserve"> and antigen testing has fairly high sensitivity)</w:t>
      </w:r>
    </w:p>
    <w:p w14:paraId="33FEE2AD" w14:textId="566BF47F" w:rsidR="00234CB2" w:rsidRDefault="00234CB2" w:rsidP="00234CB2">
      <w:pPr>
        <w:pStyle w:val="ListParagraph"/>
        <w:numPr>
          <w:ilvl w:val="0"/>
          <w:numId w:val="24"/>
        </w:numPr>
      </w:pPr>
      <w:r>
        <w:t>Late neurosyphilis results in lifetime disutility and enter tertiary syphilis in the next cycle</w:t>
      </w:r>
      <w:r w:rsidR="00822A28">
        <w:t xml:space="preserve"> if treatment is successful</w:t>
      </w:r>
    </w:p>
    <w:p w14:paraId="54527F3C" w14:textId="048D5E3F" w:rsidR="00234CB2" w:rsidRDefault="00234CB2" w:rsidP="00234CB2">
      <w:pPr>
        <w:pStyle w:val="ListParagraph"/>
        <w:numPr>
          <w:ilvl w:val="0"/>
          <w:numId w:val="24"/>
        </w:numPr>
      </w:pPr>
      <w:r>
        <w:t>Tertiary syphilis</w:t>
      </w:r>
      <w:r w:rsidR="00822A28">
        <w:t xml:space="preserve"> will have treatment every month but can be unsuccessful. Those who failed to get successful treatment will have higher mortality whereas those who received treatment successfully will have normal level of mortality but live with </w:t>
      </w:r>
      <w:r>
        <w:t>lifetime disutility (cannot go back to treated state)</w:t>
      </w:r>
    </w:p>
    <w:p w14:paraId="65671198" w14:textId="77777777" w:rsidR="00CA1784" w:rsidRDefault="00CA1784" w:rsidP="00CA1784">
      <w:pPr>
        <w:pStyle w:val="ListParagraph"/>
        <w:numPr>
          <w:ilvl w:val="0"/>
          <w:numId w:val="24"/>
        </w:numPr>
      </w:pPr>
      <w:r>
        <w:t>Rate of mother-to-baby transmission is higher if infection occurred during pregnancy</w:t>
      </w:r>
    </w:p>
    <w:p w14:paraId="27B5CC39" w14:textId="77777777" w:rsidR="00CA1784" w:rsidRDefault="00CA1784" w:rsidP="00CA1784">
      <w:pPr>
        <w:pStyle w:val="ListParagraph"/>
        <w:numPr>
          <w:ilvl w:val="0"/>
          <w:numId w:val="24"/>
        </w:numPr>
      </w:pPr>
      <w:r>
        <w:t>Pregnancy does not alter the natural history of syphilis in women except for screening and treatment coverage</w:t>
      </w:r>
    </w:p>
    <w:p w14:paraId="046872EA" w14:textId="45E3BEED" w:rsidR="00CA1784" w:rsidRDefault="00693567" w:rsidP="00693567">
      <w:pPr>
        <w:pStyle w:val="ListParagraph"/>
        <w:numPr>
          <w:ilvl w:val="0"/>
          <w:numId w:val="24"/>
        </w:numPr>
      </w:pPr>
      <w:r>
        <w:t xml:space="preserve">Pregnant women who </w:t>
      </w:r>
      <w:r w:rsidR="00CA1784">
        <w:t xml:space="preserve">are screened </w:t>
      </w:r>
      <w:r>
        <w:t xml:space="preserve">for syphilis during the first trimester will </w:t>
      </w:r>
      <w:r w:rsidR="00CA1784">
        <w:t xml:space="preserve">receive </w:t>
      </w:r>
      <w:proofErr w:type="gramStart"/>
      <w:r>
        <w:t xml:space="preserve">effective  </w:t>
      </w:r>
      <w:r w:rsidR="00CA1784">
        <w:t>treatment</w:t>
      </w:r>
      <w:proofErr w:type="gramEnd"/>
      <w:r w:rsidR="00CA1784">
        <w:t xml:space="preserve"> </w:t>
      </w:r>
      <w:r>
        <w:t>and hence do not have the risk of vertical transmission and other adverse pregnancy outcomes (Inclusion of syphilis screening in antenatal care by law and simple operation of treatment support this assumption)</w:t>
      </w:r>
    </w:p>
    <w:p w14:paraId="66C552EF" w14:textId="6696D8A6" w:rsidR="00D54A1F" w:rsidRDefault="00D54A1F" w:rsidP="00D54A1F">
      <w:pPr>
        <w:pStyle w:val="ListParagraph"/>
        <w:numPr>
          <w:ilvl w:val="0"/>
          <w:numId w:val="24"/>
        </w:numPr>
      </w:pPr>
      <w:r>
        <w:t>Adverse pregnancy outcomes occur one-time utility loss for mothers</w:t>
      </w:r>
    </w:p>
    <w:p w14:paraId="4180A26F" w14:textId="69214DA8" w:rsidR="00D54A1F" w:rsidRDefault="00D54A1F" w:rsidP="00D54A1F">
      <w:pPr>
        <w:pStyle w:val="ListParagraph"/>
        <w:numPr>
          <w:ilvl w:val="0"/>
          <w:numId w:val="24"/>
        </w:numPr>
      </w:pPr>
      <w:r>
        <w:t>Congenital syphilis will be treated in any time during lifetime.</w:t>
      </w:r>
    </w:p>
    <w:p w14:paraId="75D476AC" w14:textId="77777777" w:rsidR="0022071E" w:rsidRDefault="00CA1784" w:rsidP="00CA1784">
      <w:pPr>
        <w:pStyle w:val="ListParagraph"/>
        <w:numPr>
          <w:ilvl w:val="0"/>
          <w:numId w:val="24"/>
        </w:numPr>
      </w:pPr>
      <w:r>
        <w:t>Natural history of syphilis among men who have sex with men and men who have sex with women are the same except (maybe different screening frequency – higher screening rates among MSM</w:t>
      </w:r>
      <w:commentRangeStart w:id="0"/>
      <w:commentRangeStart w:id="1"/>
      <w:commentRangeStart w:id="2"/>
      <w:r>
        <w:t>)</w:t>
      </w:r>
      <w:commentRangeEnd w:id="0"/>
      <w:r w:rsidR="00444C41">
        <w:rPr>
          <w:rStyle w:val="CommentReference"/>
        </w:rPr>
        <w:commentReference w:id="0"/>
      </w:r>
      <w:commentRangeEnd w:id="1"/>
    </w:p>
    <w:p w14:paraId="360D2412" w14:textId="601941D7" w:rsidR="00CA1784" w:rsidRDefault="0022071E" w:rsidP="00CA1784">
      <w:pPr>
        <w:pStyle w:val="ListParagraph"/>
        <w:numPr>
          <w:ilvl w:val="0"/>
          <w:numId w:val="24"/>
        </w:numPr>
      </w:pPr>
      <w:r>
        <w:t>Baseline mortality for MSM population is same as that among MSW population (MSM population may have higher prevalence of HIV but in recent years, given improved mortality among HIV-infected patients, we here assume same all-cause mortality rate)</w:t>
      </w:r>
      <w:r w:rsidR="00444C41">
        <w:rPr>
          <w:rStyle w:val="CommentReference"/>
        </w:rPr>
        <w:commentReference w:id="1"/>
      </w:r>
      <w:commentRangeEnd w:id="2"/>
      <w:r w:rsidR="000D57B9">
        <w:rPr>
          <w:rStyle w:val="CommentReference"/>
        </w:rPr>
        <w:commentReference w:id="2"/>
      </w:r>
    </w:p>
    <w:p w14:paraId="3BC8196E" w14:textId="77777777" w:rsidR="00CA1784" w:rsidRDefault="00CA1784" w:rsidP="00693567">
      <w:pPr>
        <w:pStyle w:val="ListParagraph"/>
      </w:pPr>
    </w:p>
    <w:p w14:paraId="383C3159" w14:textId="77777777" w:rsidR="005C5D01" w:rsidRDefault="005C5D01" w:rsidP="005C5D01">
      <w:pPr>
        <w:rPr>
          <w:i/>
        </w:rPr>
      </w:pPr>
      <w:r>
        <w:rPr>
          <w:i/>
        </w:rPr>
        <w:lastRenderedPageBreak/>
        <w:t>Model variables (for all subpopulations)</w:t>
      </w:r>
    </w:p>
    <w:p w14:paraId="204A28C6" w14:textId="77777777" w:rsidR="005C5D01" w:rsidRDefault="005C5D01" w:rsidP="005C5D01">
      <w:pPr>
        <w:rPr>
          <w:i/>
        </w:rPr>
      </w:pPr>
      <w:r>
        <w:t>V</w:t>
      </w:r>
      <w:r w:rsidRPr="00EF48EB">
        <w:t>ariables below are applicable for all subpopulations of interest (MSM, MSW, non-pregnant women, pregnant women)</w:t>
      </w:r>
    </w:p>
    <w:p w14:paraId="723BAD27" w14:textId="77777777" w:rsidR="005C5D01" w:rsidRDefault="005C5D01" w:rsidP="005C5D01">
      <w:pPr>
        <w:rPr>
          <w:b/>
          <w:bCs/>
        </w:rPr>
      </w:pPr>
    </w:p>
    <w:tbl>
      <w:tblPr>
        <w:tblStyle w:val="TableGrid"/>
        <w:tblW w:w="0" w:type="auto"/>
        <w:tblLook w:val="04A0" w:firstRow="1" w:lastRow="0" w:firstColumn="1" w:lastColumn="0" w:noHBand="0" w:noVBand="1"/>
      </w:tblPr>
      <w:tblGrid>
        <w:gridCol w:w="6295"/>
        <w:gridCol w:w="1710"/>
      </w:tblGrid>
      <w:tr w:rsidR="005C5D01" w:rsidRPr="006E00AF" w14:paraId="0F60F8A9" w14:textId="77777777" w:rsidTr="005B4D82">
        <w:tc>
          <w:tcPr>
            <w:tcW w:w="6295" w:type="dxa"/>
          </w:tcPr>
          <w:p w14:paraId="766EADC5" w14:textId="77777777" w:rsidR="005C5D01" w:rsidRPr="006E00AF" w:rsidRDefault="005C5D01" w:rsidP="005B4D82">
            <w:pPr>
              <w:rPr>
                <w:rFonts w:cstheme="minorHAnsi"/>
                <w:sz w:val="18"/>
                <w:szCs w:val="18"/>
              </w:rPr>
            </w:pPr>
            <w:r w:rsidRPr="006E00AF">
              <w:rPr>
                <w:rFonts w:cstheme="minorHAnsi"/>
                <w:sz w:val="18"/>
                <w:szCs w:val="18"/>
              </w:rPr>
              <w:t xml:space="preserve">Variable </w:t>
            </w:r>
          </w:p>
        </w:tc>
        <w:tc>
          <w:tcPr>
            <w:tcW w:w="1710" w:type="dxa"/>
          </w:tcPr>
          <w:p w14:paraId="0F0D6178" w14:textId="77777777" w:rsidR="005C5D01" w:rsidRPr="006E00AF" w:rsidRDefault="005C5D01" w:rsidP="005B4D82">
            <w:pPr>
              <w:rPr>
                <w:rFonts w:cstheme="minorHAnsi"/>
                <w:sz w:val="18"/>
                <w:szCs w:val="18"/>
              </w:rPr>
            </w:pPr>
            <w:r w:rsidRPr="006E00AF">
              <w:rPr>
                <w:rFonts w:cstheme="minorHAnsi"/>
                <w:sz w:val="18"/>
                <w:szCs w:val="18"/>
              </w:rPr>
              <w:t>Values [uncertainty]</w:t>
            </w:r>
          </w:p>
        </w:tc>
      </w:tr>
      <w:tr w:rsidR="005C5D01" w:rsidRPr="006E00AF" w14:paraId="706A8A04" w14:textId="77777777" w:rsidTr="005B4D82">
        <w:tc>
          <w:tcPr>
            <w:tcW w:w="6295" w:type="dxa"/>
          </w:tcPr>
          <w:p w14:paraId="16302A7D" w14:textId="77777777" w:rsidR="005C5D01" w:rsidRPr="006E00AF" w:rsidRDefault="005C5D01" w:rsidP="005B4D82">
            <w:pPr>
              <w:rPr>
                <w:rFonts w:cstheme="minorHAnsi"/>
                <w:b/>
                <w:bCs/>
                <w:sz w:val="18"/>
                <w:szCs w:val="18"/>
              </w:rPr>
            </w:pPr>
            <w:r w:rsidRPr="006E00AF">
              <w:rPr>
                <w:rFonts w:cstheme="minorHAnsi"/>
                <w:b/>
                <w:bCs/>
                <w:sz w:val="18"/>
                <w:szCs w:val="18"/>
              </w:rPr>
              <w:t>Natural history</w:t>
            </w:r>
          </w:p>
        </w:tc>
        <w:tc>
          <w:tcPr>
            <w:tcW w:w="1710" w:type="dxa"/>
          </w:tcPr>
          <w:p w14:paraId="50DAAEA3" w14:textId="77777777" w:rsidR="005C5D01" w:rsidRPr="006E00AF" w:rsidRDefault="005C5D01" w:rsidP="005B4D82">
            <w:pPr>
              <w:rPr>
                <w:rFonts w:cstheme="minorHAnsi"/>
                <w:sz w:val="18"/>
                <w:szCs w:val="18"/>
              </w:rPr>
            </w:pPr>
          </w:p>
        </w:tc>
      </w:tr>
      <w:tr w:rsidR="005C5D01" w:rsidRPr="006E00AF" w14:paraId="2F13AFD3" w14:textId="77777777" w:rsidTr="005B4D82">
        <w:tc>
          <w:tcPr>
            <w:tcW w:w="6295" w:type="dxa"/>
          </w:tcPr>
          <w:p w14:paraId="423D9D62" w14:textId="77777777" w:rsidR="005C5D01" w:rsidRPr="006E00AF" w:rsidRDefault="005C5D01" w:rsidP="005B4D82">
            <w:pPr>
              <w:rPr>
                <w:rFonts w:cstheme="minorHAnsi"/>
                <w:sz w:val="18"/>
                <w:szCs w:val="18"/>
              </w:rPr>
            </w:pPr>
            <w:r w:rsidRPr="006E00AF">
              <w:rPr>
                <w:rFonts w:cstheme="minorHAnsi"/>
                <w:sz w:val="18"/>
                <w:szCs w:val="18"/>
              </w:rPr>
              <w:t>Average duration of infection stage (days)</w:t>
            </w:r>
          </w:p>
        </w:tc>
        <w:tc>
          <w:tcPr>
            <w:tcW w:w="1710" w:type="dxa"/>
          </w:tcPr>
          <w:p w14:paraId="50CBA206" w14:textId="77777777" w:rsidR="005C5D01" w:rsidRPr="006E00AF" w:rsidRDefault="005C5D01" w:rsidP="005B4D82">
            <w:pPr>
              <w:rPr>
                <w:rFonts w:cstheme="minorHAnsi"/>
                <w:sz w:val="18"/>
                <w:szCs w:val="18"/>
              </w:rPr>
            </w:pPr>
          </w:p>
        </w:tc>
      </w:tr>
      <w:tr w:rsidR="005C5D01" w:rsidRPr="006E00AF" w14:paraId="7FC150B3" w14:textId="77777777" w:rsidTr="005B4D82">
        <w:tc>
          <w:tcPr>
            <w:tcW w:w="6295" w:type="dxa"/>
          </w:tcPr>
          <w:p w14:paraId="214CFDDB" w14:textId="77777777" w:rsidR="005C5D01" w:rsidRPr="006E00AF" w:rsidRDefault="005C5D01" w:rsidP="005B4D82">
            <w:pPr>
              <w:rPr>
                <w:rFonts w:cstheme="minorHAnsi"/>
                <w:sz w:val="18"/>
                <w:szCs w:val="18"/>
              </w:rPr>
            </w:pPr>
            <w:r w:rsidRPr="006E00AF">
              <w:rPr>
                <w:rFonts w:cstheme="minorHAnsi"/>
                <w:sz w:val="18"/>
                <w:szCs w:val="18"/>
              </w:rPr>
              <w:t xml:space="preserve">   Primary</w:t>
            </w:r>
          </w:p>
        </w:tc>
        <w:tc>
          <w:tcPr>
            <w:tcW w:w="1710" w:type="dxa"/>
          </w:tcPr>
          <w:p w14:paraId="21B389FC" w14:textId="77777777" w:rsidR="005C5D01" w:rsidRPr="006E00AF" w:rsidRDefault="005C5D01" w:rsidP="005B4D82">
            <w:pPr>
              <w:rPr>
                <w:rFonts w:cstheme="minorHAnsi"/>
                <w:sz w:val="18"/>
                <w:szCs w:val="18"/>
              </w:rPr>
            </w:pPr>
            <w:r w:rsidRPr="006E00AF">
              <w:rPr>
                <w:rFonts w:cstheme="minorHAnsi"/>
                <w:sz w:val="18"/>
                <w:szCs w:val="18"/>
              </w:rPr>
              <w:t>0.7 [0.25 – 3]</w:t>
            </w:r>
          </w:p>
        </w:tc>
      </w:tr>
      <w:tr w:rsidR="005C5D01" w:rsidRPr="006E00AF" w14:paraId="1B164F6D" w14:textId="77777777" w:rsidTr="005B4D82">
        <w:tc>
          <w:tcPr>
            <w:tcW w:w="6295" w:type="dxa"/>
          </w:tcPr>
          <w:p w14:paraId="3641E029" w14:textId="77777777" w:rsidR="005C5D01" w:rsidRPr="006E00AF" w:rsidRDefault="005C5D01" w:rsidP="005B4D82">
            <w:pPr>
              <w:rPr>
                <w:rFonts w:cstheme="minorHAnsi"/>
                <w:sz w:val="18"/>
                <w:szCs w:val="18"/>
              </w:rPr>
            </w:pPr>
            <w:r w:rsidRPr="006E00AF">
              <w:rPr>
                <w:rFonts w:cstheme="minorHAnsi"/>
                <w:sz w:val="18"/>
                <w:szCs w:val="18"/>
              </w:rPr>
              <w:t xml:space="preserve">   Secondary</w:t>
            </w:r>
          </w:p>
        </w:tc>
        <w:tc>
          <w:tcPr>
            <w:tcW w:w="1710" w:type="dxa"/>
          </w:tcPr>
          <w:p w14:paraId="1841458F" w14:textId="77777777" w:rsidR="005C5D01" w:rsidRPr="006E00AF" w:rsidRDefault="005C5D01" w:rsidP="005B4D82">
            <w:pPr>
              <w:rPr>
                <w:rFonts w:cstheme="minorHAnsi"/>
                <w:sz w:val="18"/>
                <w:szCs w:val="18"/>
              </w:rPr>
            </w:pPr>
            <w:r w:rsidRPr="006E00AF">
              <w:rPr>
                <w:rFonts w:cstheme="minorHAnsi"/>
                <w:sz w:val="18"/>
                <w:szCs w:val="18"/>
              </w:rPr>
              <w:t>3.6 [0.5 – 6]</w:t>
            </w:r>
          </w:p>
        </w:tc>
      </w:tr>
      <w:tr w:rsidR="005C5D01" w:rsidRPr="006E00AF" w14:paraId="5D359E33" w14:textId="77777777" w:rsidTr="005B4D82">
        <w:tc>
          <w:tcPr>
            <w:tcW w:w="6295" w:type="dxa"/>
          </w:tcPr>
          <w:p w14:paraId="41F1BF38" w14:textId="77777777" w:rsidR="005C5D01" w:rsidRPr="006E00AF" w:rsidRDefault="005C5D01" w:rsidP="005B4D82">
            <w:pPr>
              <w:rPr>
                <w:rFonts w:cstheme="minorHAnsi"/>
                <w:sz w:val="18"/>
                <w:szCs w:val="18"/>
              </w:rPr>
            </w:pPr>
            <w:r w:rsidRPr="006E00AF">
              <w:rPr>
                <w:rFonts w:cstheme="minorHAnsi"/>
                <w:sz w:val="18"/>
                <w:szCs w:val="18"/>
              </w:rPr>
              <w:t xml:space="preserve">   Early latent</w:t>
            </w:r>
          </w:p>
        </w:tc>
        <w:tc>
          <w:tcPr>
            <w:tcW w:w="1710" w:type="dxa"/>
          </w:tcPr>
          <w:p w14:paraId="7241B124" w14:textId="77777777" w:rsidR="005C5D01" w:rsidRPr="006E00AF" w:rsidRDefault="005C5D01" w:rsidP="005B4D82">
            <w:pPr>
              <w:rPr>
                <w:rFonts w:cstheme="minorHAnsi"/>
                <w:sz w:val="18"/>
                <w:szCs w:val="18"/>
                <w:lang w:eastAsia="ko-KR"/>
              </w:rPr>
            </w:pPr>
            <w:r w:rsidRPr="006E00AF">
              <w:rPr>
                <w:rFonts w:cstheme="minorHAnsi"/>
                <w:sz w:val="18"/>
                <w:szCs w:val="18"/>
              </w:rPr>
              <w:t>7.7 [3 – 11.4]</w:t>
            </w:r>
          </w:p>
        </w:tc>
      </w:tr>
      <w:tr w:rsidR="005C5D01" w:rsidRPr="006E00AF" w14:paraId="673C6AB4" w14:textId="77777777" w:rsidTr="005B4D82">
        <w:tc>
          <w:tcPr>
            <w:tcW w:w="6295" w:type="dxa"/>
          </w:tcPr>
          <w:p w14:paraId="6D02E88F" w14:textId="77777777" w:rsidR="005C5D01" w:rsidRPr="006E00AF" w:rsidRDefault="005C5D01" w:rsidP="005B4D82">
            <w:pPr>
              <w:rPr>
                <w:rFonts w:cstheme="minorHAnsi"/>
                <w:sz w:val="18"/>
                <w:szCs w:val="18"/>
              </w:rPr>
            </w:pPr>
            <w:r w:rsidRPr="006E00AF">
              <w:rPr>
                <w:rFonts w:cstheme="minorHAnsi"/>
                <w:sz w:val="18"/>
                <w:szCs w:val="18"/>
              </w:rPr>
              <w:t>Probability of progressing from early neurosyphilis to tertiary syphilis</w:t>
            </w:r>
          </w:p>
        </w:tc>
        <w:tc>
          <w:tcPr>
            <w:tcW w:w="1710" w:type="dxa"/>
          </w:tcPr>
          <w:p w14:paraId="23A0B495" w14:textId="77777777" w:rsidR="005C5D01" w:rsidRPr="006E00AF" w:rsidRDefault="005C5D01" w:rsidP="005B4D82">
            <w:pPr>
              <w:rPr>
                <w:rFonts w:cstheme="minorHAnsi"/>
                <w:sz w:val="18"/>
                <w:szCs w:val="18"/>
              </w:rPr>
            </w:pPr>
            <w:r w:rsidRPr="006E00AF">
              <w:rPr>
                <w:rFonts w:cstheme="minorHAnsi"/>
                <w:sz w:val="18"/>
                <w:szCs w:val="18"/>
              </w:rPr>
              <w:t>0.25 [0.15 – 0.35]</w:t>
            </w:r>
          </w:p>
        </w:tc>
      </w:tr>
      <w:tr w:rsidR="005C5D01" w:rsidRPr="006E00AF" w14:paraId="5B99AB31" w14:textId="77777777" w:rsidTr="005B4D82">
        <w:tc>
          <w:tcPr>
            <w:tcW w:w="6295" w:type="dxa"/>
          </w:tcPr>
          <w:p w14:paraId="13D66C89" w14:textId="77777777" w:rsidR="005C5D01" w:rsidRPr="006E00AF" w:rsidRDefault="005C5D01" w:rsidP="005B4D82">
            <w:pPr>
              <w:rPr>
                <w:rFonts w:cstheme="minorHAnsi"/>
                <w:sz w:val="18"/>
                <w:szCs w:val="18"/>
              </w:rPr>
            </w:pPr>
            <w:r w:rsidRPr="006E00AF">
              <w:rPr>
                <w:rFonts w:cstheme="minorHAnsi"/>
                <w:sz w:val="18"/>
                <w:szCs w:val="18"/>
              </w:rPr>
              <w:t>Probability of developing neurologic symptoms</w:t>
            </w:r>
          </w:p>
        </w:tc>
        <w:tc>
          <w:tcPr>
            <w:tcW w:w="1710" w:type="dxa"/>
          </w:tcPr>
          <w:p w14:paraId="240E81E3" w14:textId="77777777" w:rsidR="005C5D01" w:rsidRPr="006E00AF" w:rsidRDefault="005C5D01" w:rsidP="005B4D82">
            <w:pPr>
              <w:rPr>
                <w:rFonts w:cstheme="minorHAnsi"/>
                <w:sz w:val="18"/>
                <w:szCs w:val="18"/>
              </w:rPr>
            </w:pPr>
            <w:r w:rsidRPr="006E00AF">
              <w:rPr>
                <w:rFonts w:cstheme="minorHAnsi"/>
                <w:sz w:val="18"/>
                <w:szCs w:val="18"/>
              </w:rPr>
              <w:t>0.33 [0.2 – 0.6]</w:t>
            </w:r>
          </w:p>
        </w:tc>
      </w:tr>
      <w:tr w:rsidR="005C5D01" w:rsidRPr="006E00AF" w14:paraId="7EB57886" w14:textId="77777777" w:rsidTr="005B4D82">
        <w:tc>
          <w:tcPr>
            <w:tcW w:w="6295" w:type="dxa"/>
          </w:tcPr>
          <w:p w14:paraId="31496CD0" w14:textId="77777777" w:rsidR="005C5D01" w:rsidRPr="006E00AF" w:rsidRDefault="005C5D01" w:rsidP="005B4D82">
            <w:pPr>
              <w:rPr>
                <w:rFonts w:cstheme="minorHAnsi"/>
                <w:sz w:val="18"/>
                <w:szCs w:val="18"/>
              </w:rPr>
            </w:pPr>
            <w:r w:rsidRPr="006E00AF">
              <w:rPr>
                <w:rFonts w:cstheme="minorHAnsi"/>
                <w:sz w:val="18"/>
                <w:szCs w:val="18"/>
              </w:rPr>
              <w:t>Probability of developing neurosyphilis given neurologic involvement</w:t>
            </w:r>
          </w:p>
        </w:tc>
        <w:tc>
          <w:tcPr>
            <w:tcW w:w="1710" w:type="dxa"/>
          </w:tcPr>
          <w:p w14:paraId="68E0449F" w14:textId="77777777" w:rsidR="005C5D01" w:rsidRPr="006E00AF" w:rsidRDefault="005C5D01" w:rsidP="005B4D82">
            <w:pPr>
              <w:rPr>
                <w:rFonts w:cstheme="minorHAnsi"/>
                <w:sz w:val="18"/>
                <w:szCs w:val="18"/>
              </w:rPr>
            </w:pPr>
          </w:p>
        </w:tc>
      </w:tr>
      <w:tr w:rsidR="005C5D01" w:rsidRPr="006E00AF" w14:paraId="1F1E51A8" w14:textId="77777777" w:rsidTr="005B4D82">
        <w:tc>
          <w:tcPr>
            <w:tcW w:w="6295" w:type="dxa"/>
          </w:tcPr>
          <w:p w14:paraId="12DDBB0C" w14:textId="77777777" w:rsidR="005C5D01" w:rsidRPr="006E00AF" w:rsidRDefault="005C5D01" w:rsidP="005B4D82">
            <w:pPr>
              <w:rPr>
                <w:rFonts w:cstheme="minorHAnsi"/>
                <w:sz w:val="18"/>
                <w:szCs w:val="18"/>
              </w:rPr>
            </w:pPr>
            <w:r w:rsidRPr="006E00AF">
              <w:rPr>
                <w:rFonts w:cstheme="minorHAnsi"/>
                <w:sz w:val="18"/>
                <w:szCs w:val="18"/>
              </w:rPr>
              <w:t xml:space="preserve">     Primary, secondary, early latent</w:t>
            </w:r>
          </w:p>
        </w:tc>
        <w:tc>
          <w:tcPr>
            <w:tcW w:w="1710" w:type="dxa"/>
          </w:tcPr>
          <w:p w14:paraId="5F5D7354" w14:textId="77777777" w:rsidR="005C5D01" w:rsidRPr="006E00AF" w:rsidRDefault="005C5D01" w:rsidP="005B4D82">
            <w:pPr>
              <w:rPr>
                <w:rFonts w:cstheme="minorHAnsi"/>
                <w:sz w:val="18"/>
                <w:szCs w:val="18"/>
              </w:rPr>
            </w:pPr>
            <w:r w:rsidRPr="006E00AF">
              <w:rPr>
                <w:rFonts w:cstheme="minorHAnsi"/>
                <w:sz w:val="18"/>
                <w:szCs w:val="18"/>
              </w:rPr>
              <w:t>0.05 [0.03 – 0.09]</w:t>
            </w:r>
          </w:p>
        </w:tc>
      </w:tr>
      <w:tr w:rsidR="005C5D01" w:rsidRPr="006E00AF" w14:paraId="76A65F8C" w14:textId="77777777" w:rsidTr="005B4D82">
        <w:tc>
          <w:tcPr>
            <w:tcW w:w="6295" w:type="dxa"/>
          </w:tcPr>
          <w:p w14:paraId="692F6256" w14:textId="77777777" w:rsidR="005C5D01" w:rsidRPr="006E00AF" w:rsidRDefault="005C5D01" w:rsidP="005B4D82">
            <w:pPr>
              <w:rPr>
                <w:rFonts w:cstheme="minorHAnsi"/>
                <w:sz w:val="18"/>
                <w:szCs w:val="18"/>
              </w:rPr>
            </w:pPr>
            <w:r w:rsidRPr="006E00AF">
              <w:rPr>
                <w:rFonts w:cstheme="minorHAnsi"/>
                <w:sz w:val="18"/>
                <w:szCs w:val="18"/>
              </w:rPr>
              <w:t xml:space="preserve">     Late latent</w:t>
            </w:r>
          </w:p>
        </w:tc>
        <w:tc>
          <w:tcPr>
            <w:tcW w:w="1710" w:type="dxa"/>
          </w:tcPr>
          <w:p w14:paraId="59DC61F2" w14:textId="77777777" w:rsidR="005C5D01" w:rsidRPr="006E00AF" w:rsidRDefault="005C5D01" w:rsidP="005B4D82">
            <w:pPr>
              <w:rPr>
                <w:rFonts w:cstheme="minorHAnsi"/>
                <w:sz w:val="18"/>
                <w:szCs w:val="18"/>
              </w:rPr>
            </w:pPr>
            <w:r w:rsidRPr="006E00AF">
              <w:rPr>
                <w:rFonts w:cstheme="minorHAnsi"/>
                <w:sz w:val="18"/>
                <w:szCs w:val="18"/>
              </w:rPr>
              <w:t>0.09</w:t>
            </w:r>
          </w:p>
        </w:tc>
      </w:tr>
      <w:tr w:rsidR="005C5D01" w:rsidRPr="006E00AF" w14:paraId="4A809616" w14:textId="77777777" w:rsidTr="005B4D82">
        <w:tc>
          <w:tcPr>
            <w:tcW w:w="6295" w:type="dxa"/>
          </w:tcPr>
          <w:p w14:paraId="67AC6782" w14:textId="77777777" w:rsidR="005C5D01" w:rsidRPr="006E00AF" w:rsidRDefault="005C5D01" w:rsidP="005B4D82">
            <w:pPr>
              <w:rPr>
                <w:rFonts w:cstheme="minorHAnsi"/>
                <w:sz w:val="18"/>
                <w:szCs w:val="18"/>
              </w:rPr>
            </w:pPr>
            <w:r w:rsidRPr="006E00AF">
              <w:rPr>
                <w:rFonts w:cstheme="minorHAnsi"/>
                <w:sz w:val="18"/>
                <w:szCs w:val="18"/>
              </w:rPr>
              <w:t>Average time to develop tertiary syphilis (</w:t>
            </w:r>
            <w:proofErr w:type="spellStart"/>
            <w:r w:rsidRPr="006E00AF">
              <w:rPr>
                <w:rFonts w:cstheme="minorHAnsi"/>
                <w:sz w:val="18"/>
                <w:szCs w:val="18"/>
              </w:rPr>
              <w:t>yr</w:t>
            </w:r>
            <w:proofErr w:type="spellEnd"/>
            <w:r w:rsidRPr="006E00AF">
              <w:rPr>
                <w:rFonts w:cstheme="minorHAnsi"/>
                <w:sz w:val="18"/>
                <w:szCs w:val="18"/>
              </w:rPr>
              <w:t>)</w:t>
            </w:r>
          </w:p>
        </w:tc>
        <w:tc>
          <w:tcPr>
            <w:tcW w:w="1710" w:type="dxa"/>
          </w:tcPr>
          <w:p w14:paraId="5C0BC48F" w14:textId="77777777" w:rsidR="005C5D01" w:rsidRPr="006E00AF" w:rsidRDefault="005C5D01" w:rsidP="005B4D82">
            <w:pPr>
              <w:rPr>
                <w:rFonts w:cstheme="minorHAnsi"/>
                <w:sz w:val="18"/>
                <w:szCs w:val="18"/>
              </w:rPr>
            </w:pPr>
            <w:r w:rsidRPr="006E00AF">
              <w:rPr>
                <w:rFonts w:cstheme="minorHAnsi"/>
                <w:sz w:val="18"/>
                <w:szCs w:val="18"/>
              </w:rPr>
              <w:t>20 [10 – 30]</w:t>
            </w:r>
          </w:p>
        </w:tc>
      </w:tr>
      <w:tr w:rsidR="005C5D01" w:rsidRPr="006E00AF" w14:paraId="30856DB8" w14:textId="77777777" w:rsidTr="005B4D82">
        <w:tc>
          <w:tcPr>
            <w:tcW w:w="6295" w:type="dxa"/>
          </w:tcPr>
          <w:p w14:paraId="420AB8A9" w14:textId="77777777" w:rsidR="005C5D01" w:rsidRPr="006E00AF" w:rsidRDefault="005C5D01" w:rsidP="005B4D82">
            <w:pPr>
              <w:rPr>
                <w:rFonts w:cstheme="minorHAnsi"/>
                <w:sz w:val="18"/>
                <w:szCs w:val="18"/>
              </w:rPr>
            </w:pPr>
            <w:r w:rsidRPr="006E00AF">
              <w:rPr>
                <w:rFonts w:cstheme="minorHAnsi"/>
                <w:sz w:val="18"/>
                <w:szCs w:val="18"/>
              </w:rPr>
              <w:t>Time to develop late neurosyphilis</w:t>
            </w:r>
          </w:p>
        </w:tc>
        <w:tc>
          <w:tcPr>
            <w:tcW w:w="1710" w:type="dxa"/>
          </w:tcPr>
          <w:p w14:paraId="305B1019" w14:textId="77777777" w:rsidR="005C5D01" w:rsidRPr="006E00AF" w:rsidRDefault="005C5D01" w:rsidP="005B4D82">
            <w:pPr>
              <w:rPr>
                <w:rFonts w:cstheme="minorHAnsi"/>
                <w:sz w:val="18"/>
                <w:szCs w:val="18"/>
              </w:rPr>
            </w:pPr>
            <w:r w:rsidRPr="006E00AF">
              <w:rPr>
                <w:rFonts w:cstheme="minorHAnsi"/>
                <w:sz w:val="18"/>
                <w:szCs w:val="18"/>
              </w:rPr>
              <w:t>15 [2 – 30]</w:t>
            </w:r>
          </w:p>
        </w:tc>
      </w:tr>
      <w:tr w:rsidR="005C5D01" w:rsidRPr="006E00AF" w14:paraId="6058B52F" w14:textId="77777777" w:rsidTr="005B4D82">
        <w:tc>
          <w:tcPr>
            <w:tcW w:w="6295" w:type="dxa"/>
          </w:tcPr>
          <w:p w14:paraId="09CEEF22" w14:textId="77777777" w:rsidR="005C5D01" w:rsidRPr="006E00AF" w:rsidRDefault="005C5D01" w:rsidP="005B4D82">
            <w:pPr>
              <w:rPr>
                <w:rFonts w:cstheme="minorHAnsi"/>
                <w:sz w:val="18"/>
                <w:szCs w:val="18"/>
              </w:rPr>
            </w:pPr>
            <w:r w:rsidRPr="006E00AF">
              <w:rPr>
                <w:rFonts w:cstheme="minorHAnsi"/>
                <w:sz w:val="18"/>
                <w:szCs w:val="18"/>
              </w:rPr>
              <w:t>Probability of developing tertiary syphilis (</w:t>
            </w:r>
            <w:proofErr w:type="spellStart"/>
            <w:r w:rsidRPr="006E00AF">
              <w:rPr>
                <w:rFonts w:cstheme="minorHAnsi"/>
                <w:sz w:val="18"/>
                <w:szCs w:val="18"/>
              </w:rPr>
              <w:t>gummatous</w:t>
            </w:r>
            <w:proofErr w:type="spellEnd"/>
            <w:r w:rsidRPr="006E00AF">
              <w:rPr>
                <w:rFonts w:cstheme="minorHAnsi"/>
                <w:sz w:val="18"/>
                <w:szCs w:val="18"/>
              </w:rPr>
              <w:t xml:space="preserve"> and cardiovascular)</w:t>
            </w:r>
          </w:p>
        </w:tc>
        <w:tc>
          <w:tcPr>
            <w:tcW w:w="1710" w:type="dxa"/>
          </w:tcPr>
          <w:p w14:paraId="62B8A32C" w14:textId="77777777" w:rsidR="005C5D01" w:rsidRPr="006E00AF" w:rsidRDefault="005C5D01" w:rsidP="005B4D82">
            <w:pPr>
              <w:rPr>
                <w:rFonts w:cstheme="minorHAnsi"/>
                <w:sz w:val="18"/>
                <w:szCs w:val="18"/>
              </w:rPr>
            </w:pPr>
            <w:r w:rsidRPr="006E00AF">
              <w:rPr>
                <w:rFonts w:cstheme="minorHAnsi"/>
                <w:sz w:val="18"/>
                <w:szCs w:val="18"/>
              </w:rPr>
              <w:t>0.25</w:t>
            </w:r>
          </w:p>
        </w:tc>
      </w:tr>
      <w:tr w:rsidR="005C5D01" w:rsidRPr="006E00AF" w14:paraId="25E6112E" w14:textId="77777777" w:rsidTr="005B4D82">
        <w:tc>
          <w:tcPr>
            <w:tcW w:w="6295" w:type="dxa"/>
          </w:tcPr>
          <w:p w14:paraId="462BC2FC" w14:textId="77777777" w:rsidR="005C5D01" w:rsidRPr="006E00AF" w:rsidRDefault="005C5D01" w:rsidP="005B4D82">
            <w:pPr>
              <w:rPr>
                <w:rFonts w:cstheme="minorHAnsi"/>
                <w:sz w:val="18"/>
                <w:szCs w:val="18"/>
              </w:rPr>
            </w:pPr>
            <w:r w:rsidRPr="006E00AF">
              <w:rPr>
                <w:rFonts w:cstheme="minorHAnsi"/>
                <w:sz w:val="18"/>
                <w:szCs w:val="18"/>
              </w:rPr>
              <w:t>Probability of seeking treatment for syphilis symptoms</w:t>
            </w:r>
          </w:p>
        </w:tc>
        <w:tc>
          <w:tcPr>
            <w:tcW w:w="1710" w:type="dxa"/>
          </w:tcPr>
          <w:p w14:paraId="17E42181" w14:textId="77777777" w:rsidR="005C5D01" w:rsidRPr="006E00AF" w:rsidRDefault="005C5D01" w:rsidP="005B4D82">
            <w:pPr>
              <w:rPr>
                <w:rFonts w:cstheme="minorHAnsi"/>
                <w:sz w:val="18"/>
                <w:szCs w:val="18"/>
              </w:rPr>
            </w:pPr>
          </w:p>
        </w:tc>
      </w:tr>
      <w:tr w:rsidR="005C5D01" w:rsidRPr="006E00AF" w14:paraId="4BA5CE56" w14:textId="77777777" w:rsidTr="005B4D82">
        <w:tc>
          <w:tcPr>
            <w:tcW w:w="6295" w:type="dxa"/>
          </w:tcPr>
          <w:p w14:paraId="062DD7D9" w14:textId="77777777" w:rsidR="005C5D01" w:rsidRPr="006E00AF" w:rsidRDefault="005C5D01" w:rsidP="005B4D82">
            <w:pPr>
              <w:rPr>
                <w:rFonts w:cstheme="minorHAnsi"/>
                <w:sz w:val="18"/>
                <w:szCs w:val="18"/>
              </w:rPr>
            </w:pPr>
            <w:r w:rsidRPr="006E00AF">
              <w:rPr>
                <w:rFonts w:cstheme="minorHAnsi"/>
                <w:sz w:val="18"/>
                <w:szCs w:val="18"/>
              </w:rPr>
              <w:t xml:space="preserve">     Primary </w:t>
            </w:r>
          </w:p>
        </w:tc>
        <w:tc>
          <w:tcPr>
            <w:tcW w:w="1710" w:type="dxa"/>
          </w:tcPr>
          <w:p w14:paraId="27BE53E9" w14:textId="77777777" w:rsidR="005C5D01" w:rsidRPr="006E00AF" w:rsidRDefault="005C5D01" w:rsidP="005B4D82">
            <w:pPr>
              <w:rPr>
                <w:rFonts w:cstheme="minorHAnsi"/>
                <w:sz w:val="18"/>
                <w:szCs w:val="18"/>
              </w:rPr>
            </w:pPr>
            <w:r w:rsidRPr="006E00AF">
              <w:rPr>
                <w:rFonts w:cstheme="minorHAnsi"/>
                <w:sz w:val="18"/>
                <w:szCs w:val="18"/>
              </w:rPr>
              <w:t>0.35</w:t>
            </w:r>
          </w:p>
        </w:tc>
      </w:tr>
      <w:tr w:rsidR="005C5D01" w:rsidRPr="006E00AF" w14:paraId="54A1D625" w14:textId="77777777" w:rsidTr="005B4D82">
        <w:tc>
          <w:tcPr>
            <w:tcW w:w="6295" w:type="dxa"/>
          </w:tcPr>
          <w:p w14:paraId="32E99807" w14:textId="77777777" w:rsidR="005C5D01" w:rsidRPr="006E00AF" w:rsidRDefault="005C5D01" w:rsidP="005B4D82">
            <w:pPr>
              <w:rPr>
                <w:rFonts w:cstheme="minorHAnsi"/>
                <w:sz w:val="18"/>
                <w:szCs w:val="18"/>
              </w:rPr>
            </w:pPr>
            <w:r w:rsidRPr="006E00AF">
              <w:rPr>
                <w:rFonts w:cstheme="minorHAnsi"/>
                <w:sz w:val="18"/>
                <w:szCs w:val="18"/>
              </w:rPr>
              <w:t xml:space="preserve">     Secondary</w:t>
            </w:r>
          </w:p>
        </w:tc>
        <w:tc>
          <w:tcPr>
            <w:tcW w:w="1710" w:type="dxa"/>
          </w:tcPr>
          <w:p w14:paraId="467A15C4" w14:textId="77777777" w:rsidR="005C5D01" w:rsidRPr="006E00AF" w:rsidRDefault="005C5D01" w:rsidP="005B4D82">
            <w:pPr>
              <w:rPr>
                <w:rFonts w:cstheme="minorHAnsi"/>
                <w:sz w:val="18"/>
                <w:szCs w:val="18"/>
              </w:rPr>
            </w:pPr>
            <w:r w:rsidRPr="006E00AF">
              <w:rPr>
                <w:rFonts w:cstheme="minorHAnsi"/>
                <w:sz w:val="18"/>
                <w:szCs w:val="18"/>
              </w:rPr>
              <w:t>0.6</w:t>
            </w:r>
          </w:p>
        </w:tc>
      </w:tr>
      <w:tr w:rsidR="005C5D01" w:rsidRPr="006E00AF" w14:paraId="7F3FCB45" w14:textId="77777777" w:rsidTr="005B4D82">
        <w:tc>
          <w:tcPr>
            <w:tcW w:w="6295" w:type="dxa"/>
          </w:tcPr>
          <w:p w14:paraId="5FA13064" w14:textId="77777777" w:rsidR="005C5D01" w:rsidRPr="006E00AF" w:rsidRDefault="005C5D01" w:rsidP="005B4D82">
            <w:pPr>
              <w:rPr>
                <w:rFonts w:cstheme="minorHAnsi"/>
                <w:sz w:val="18"/>
                <w:szCs w:val="18"/>
              </w:rPr>
            </w:pPr>
            <w:r w:rsidRPr="006E00AF">
              <w:rPr>
                <w:rFonts w:cstheme="minorHAnsi"/>
                <w:sz w:val="18"/>
                <w:szCs w:val="18"/>
              </w:rPr>
              <w:t xml:space="preserve">     Early latent</w:t>
            </w:r>
          </w:p>
        </w:tc>
        <w:tc>
          <w:tcPr>
            <w:tcW w:w="1710" w:type="dxa"/>
          </w:tcPr>
          <w:p w14:paraId="45CA5C32" w14:textId="77777777" w:rsidR="005C5D01" w:rsidRPr="006E00AF" w:rsidRDefault="005C5D01" w:rsidP="005B4D82">
            <w:pPr>
              <w:rPr>
                <w:rFonts w:cstheme="minorHAnsi"/>
                <w:sz w:val="18"/>
                <w:szCs w:val="18"/>
              </w:rPr>
            </w:pPr>
            <w:r w:rsidRPr="006E00AF">
              <w:rPr>
                <w:rFonts w:cstheme="minorHAnsi"/>
                <w:sz w:val="18"/>
                <w:szCs w:val="18"/>
              </w:rPr>
              <w:t>0.1</w:t>
            </w:r>
          </w:p>
        </w:tc>
      </w:tr>
      <w:tr w:rsidR="005C5D01" w:rsidRPr="006E00AF" w14:paraId="7C4D1B28" w14:textId="77777777" w:rsidTr="005B4D82">
        <w:tc>
          <w:tcPr>
            <w:tcW w:w="6295" w:type="dxa"/>
          </w:tcPr>
          <w:p w14:paraId="4D65FF7D" w14:textId="77777777" w:rsidR="005C5D01" w:rsidRPr="006E00AF" w:rsidRDefault="005C5D01" w:rsidP="005B4D82">
            <w:pPr>
              <w:rPr>
                <w:rFonts w:cstheme="minorHAnsi"/>
                <w:sz w:val="18"/>
                <w:szCs w:val="18"/>
              </w:rPr>
            </w:pPr>
            <w:r w:rsidRPr="006E00AF">
              <w:rPr>
                <w:rFonts w:cstheme="minorHAnsi"/>
                <w:sz w:val="18"/>
                <w:szCs w:val="18"/>
              </w:rPr>
              <w:t xml:space="preserve">     Late latent</w:t>
            </w:r>
          </w:p>
        </w:tc>
        <w:tc>
          <w:tcPr>
            <w:tcW w:w="1710" w:type="dxa"/>
          </w:tcPr>
          <w:p w14:paraId="5D074E20" w14:textId="77777777" w:rsidR="005C5D01" w:rsidRPr="006E00AF" w:rsidRDefault="005C5D01" w:rsidP="005B4D82">
            <w:pPr>
              <w:rPr>
                <w:rFonts w:cstheme="minorHAnsi"/>
                <w:sz w:val="18"/>
                <w:szCs w:val="18"/>
              </w:rPr>
            </w:pPr>
          </w:p>
        </w:tc>
      </w:tr>
      <w:tr w:rsidR="005C5D01" w:rsidRPr="006E00AF" w14:paraId="32538291" w14:textId="77777777" w:rsidTr="005B4D82">
        <w:tc>
          <w:tcPr>
            <w:tcW w:w="6295" w:type="dxa"/>
          </w:tcPr>
          <w:p w14:paraId="3517BF33" w14:textId="77777777" w:rsidR="005C5D01" w:rsidRPr="006E00AF" w:rsidRDefault="005C5D01" w:rsidP="005B4D82">
            <w:pPr>
              <w:rPr>
                <w:rFonts w:cstheme="minorHAnsi"/>
                <w:sz w:val="18"/>
                <w:szCs w:val="18"/>
              </w:rPr>
            </w:pPr>
            <w:r w:rsidRPr="006E00AF">
              <w:rPr>
                <w:rFonts w:cstheme="minorHAnsi"/>
                <w:sz w:val="18"/>
                <w:szCs w:val="18"/>
              </w:rPr>
              <w:t>Probability of recovery from symptomatic early neurosyphilis without disability, following treatment</w:t>
            </w:r>
          </w:p>
        </w:tc>
        <w:tc>
          <w:tcPr>
            <w:tcW w:w="1710" w:type="dxa"/>
          </w:tcPr>
          <w:p w14:paraId="6B0ED021" w14:textId="77777777" w:rsidR="005C5D01" w:rsidRPr="006E00AF" w:rsidRDefault="005C5D01" w:rsidP="005B4D82">
            <w:pPr>
              <w:rPr>
                <w:rFonts w:cstheme="minorHAnsi"/>
                <w:sz w:val="18"/>
                <w:szCs w:val="18"/>
              </w:rPr>
            </w:pPr>
            <w:r w:rsidRPr="006E00AF">
              <w:rPr>
                <w:rFonts w:cstheme="minorHAnsi"/>
                <w:sz w:val="18"/>
                <w:szCs w:val="18"/>
              </w:rPr>
              <w:t>0.7 [0.54 – 0.83]</w:t>
            </w:r>
          </w:p>
        </w:tc>
      </w:tr>
      <w:tr w:rsidR="005C5D01" w:rsidRPr="006E00AF" w14:paraId="3A659F92" w14:textId="77777777" w:rsidTr="005B4D82">
        <w:tc>
          <w:tcPr>
            <w:tcW w:w="6295" w:type="dxa"/>
          </w:tcPr>
          <w:p w14:paraId="48C4C2D3" w14:textId="77777777" w:rsidR="005C5D01" w:rsidRPr="006E00AF" w:rsidRDefault="005C5D01" w:rsidP="005B4D82">
            <w:pPr>
              <w:rPr>
                <w:rFonts w:cstheme="minorHAnsi"/>
                <w:sz w:val="18"/>
                <w:szCs w:val="18"/>
              </w:rPr>
            </w:pPr>
            <w:r w:rsidRPr="006E00AF">
              <w:rPr>
                <w:rFonts w:cstheme="minorHAnsi"/>
                <w:sz w:val="18"/>
                <w:szCs w:val="18"/>
              </w:rPr>
              <w:t>Probability of treatment failure</w:t>
            </w:r>
          </w:p>
        </w:tc>
        <w:tc>
          <w:tcPr>
            <w:tcW w:w="1710" w:type="dxa"/>
          </w:tcPr>
          <w:p w14:paraId="3F7303CD" w14:textId="77777777" w:rsidR="005C5D01" w:rsidRPr="006E00AF" w:rsidRDefault="005C5D01" w:rsidP="005B4D82">
            <w:pPr>
              <w:rPr>
                <w:rFonts w:cstheme="minorHAnsi"/>
                <w:sz w:val="18"/>
                <w:szCs w:val="18"/>
              </w:rPr>
            </w:pPr>
          </w:p>
        </w:tc>
      </w:tr>
      <w:tr w:rsidR="005C5D01" w:rsidRPr="006E00AF" w14:paraId="069F4FCF" w14:textId="77777777" w:rsidTr="005B4D82">
        <w:tc>
          <w:tcPr>
            <w:tcW w:w="6295" w:type="dxa"/>
          </w:tcPr>
          <w:p w14:paraId="67A7848B" w14:textId="77777777" w:rsidR="005C5D01" w:rsidRPr="006E00AF" w:rsidRDefault="005C5D01" w:rsidP="005B4D82">
            <w:pPr>
              <w:rPr>
                <w:rFonts w:cstheme="minorHAnsi"/>
                <w:sz w:val="18"/>
                <w:szCs w:val="18"/>
              </w:rPr>
            </w:pPr>
            <w:r w:rsidRPr="006E00AF">
              <w:rPr>
                <w:rFonts w:cstheme="minorHAnsi"/>
                <w:sz w:val="18"/>
                <w:szCs w:val="18"/>
              </w:rPr>
              <w:t xml:space="preserve">     Primary, secondary, early latent</w:t>
            </w:r>
          </w:p>
        </w:tc>
        <w:tc>
          <w:tcPr>
            <w:tcW w:w="1710" w:type="dxa"/>
          </w:tcPr>
          <w:p w14:paraId="2094C6E7" w14:textId="77777777" w:rsidR="005C5D01" w:rsidRPr="006E00AF" w:rsidRDefault="005C5D01" w:rsidP="005B4D82">
            <w:pPr>
              <w:rPr>
                <w:rFonts w:cstheme="minorHAnsi"/>
                <w:sz w:val="18"/>
                <w:szCs w:val="18"/>
              </w:rPr>
            </w:pPr>
            <w:r w:rsidRPr="006E00AF">
              <w:rPr>
                <w:rFonts w:cstheme="minorHAnsi"/>
                <w:sz w:val="18"/>
                <w:szCs w:val="18"/>
              </w:rPr>
              <w:t>0.05 [0 – 0.09]</w:t>
            </w:r>
          </w:p>
        </w:tc>
      </w:tr>
      <w:tr w:rsidR="005C5D01" w:rsidRPr="006E00AF" w14:paraId="2F57FCFB" w14:textId="77777777" w:rsidTr="005B4D82">
        <w:tc>
          <w:tcPr>
            <w:tcW w:w="6295" w:type="dxa"/>
          </w:tcPr>
          <w:p w14:paraId="28C55B0B" w14:textId="77777777" w:rsidR="005C5D01" w:rsidRPr="006E00AF" w:rsidRDefault="005C5D01" w:rsidP="005B4D82">
            <w:pPr>
              <w:rPr>
                <w:rFonts w:cstheme="minorHAnsi"/>
                <w:sz w:val="18"/>
                <w:szCs w:val="18"/>
              </w:rPr>
            </w:pPr>
            <w:r w:rsidRPr="006E00AF">
              <w:rPr>
                <w:rFonts w:cstheme="minorHAnsi"/>
                <w:sz w:val="18"/>
                <w:szCs w:val="18"/>
              </w:rPr>
              <w:t xml:space="preserve">     Late syphilis (latent syphilis)</w:t>
            </w:r>
          </w:p>
        </w:tc>
        <w:tc>
          <w:tcPr>
            <w:tcW w:w="1710" w:type="dxa"/>
          </w:tcPr>
          <w:p w14:paraId="36427A3B" w14:textId="77777777" w:rsidR="005C5D01" w:rsidRPr="006E00AF" w:rsidRDefault="005C5D01" w:rsidP="005B4D82">
            <w:pPr>
              <w:rPr>
                <w:rFonts w:cstheme="minorHAnsi"/>
                <w:sz w:val="18"/>
                <w:szCs w:val="18"/>
              </w:rPr>
            </w:pPr>
            <w:r w:rsidRPr="006E00AF">
              <w:rPr>
                <w:rFonts w:cstheme="minorHAnsi"/>
                <w:sz w:val="18"/>
                <w:szCs w:val="18"/>
              </w:rPr>
              <w:t>0.19 [0.15 – 0.3]</w:t>
            </w:r>
          </w:p>
        </w:tc>
      </w:tr>
      <w:tr w:rsidR="005C5D01" w:rsidRPr="006E00AF" w14:paraId="6B1BAAEF" w14:textId="77777777" w:rsidTr="005B4D82">
        <w:tc>
          <w:tcPr>
            <w:tcW w:w="6295" w:type="dxa"/>
          </w:tcPr>
          <w:p w14:paraId="5D90F0F7" w14:textId="77777777" w:rsidR="005C5D01" w:rsidRPr="006E00AF" w:rsidRDefault="005C5D01" w:rsidP="005B4D82">
            <w:pPr>
              <w:rPr>
                <w:rFonts w:cstheme="minorHAnsi"/>
                <w:b/>
                <w:bCs/>
                <w:sz w:val="18"/>
                <w:szCs w:val="18"/>
              </w:rPr>
            </w:pPr>
            <w:r w:rsidRPr="006E00AF">
              <w:rPr>
                <w:rFonts w:cstheme="minorHAnsi"/>
                <w:b/>
                <w:bCs/>
                <w:sz w:val="18"/>
                <w:szCs w:val="18"/>
              </w:rPr>
              <w:t>Mortality</w:t>
            </w:r>
          </w:p>
        </w:tc>
        <w:tc>
          <w:tcPr>
            <w:tcW w:w="1710" w:type="dxa"/>
          </w:tcPr>
          <w:p w14:paraId="1C790E06" w14:textId="77777777" w:rsidR="005C5D01" w:rsidRPr="006E00AF" w:rsidRDefault="005C5D01" w:rsidP="005B4D82">
            <w:pPr>
              <w:rPr>
                <w:rFonts w:cstheme="minorHAnsi"/>
                <w:sz w:val="18"/>
                <w:szCs w:val="18"/>
              </w:rPr>
            </w:pPr>
          </w:p>
        </w:tc>
      </w:tr>
      <w:tr w:rsidR="005C5D01" w:rsidRPr="006E00AF" w14:paraId="66A60CFA" w14:textId="77777777" w:rsidTr="005B4D82">
        <w:tc>
          <w:tcPr>
            <w:tcW w:w="6295" w:type="dxa"/>
          </w:tcPr>
          <w:p w14:paraId="1F7979DA" w14:textId="77777777" w:rsidR="005C5D01" w:rsidRPr="006E00AF" w:rsidRDefault="005C5D01" w:rsidP="005B4D82">
            <w:pPr>
              <w:rPr>
                <w:rFonts w:cstheme="minorHAnsi"/>
                <w:sz w:val="18"/>
                <w:szCs w:val="18"/>
              </w:rPr>
            </w:pPr>
            <w:r w:rsidRPr="006E00AF">
              <w:rPr>
                <w:rFonts w:cstheme="minorHAnsi"/>
                <w:sz w:val="18"/>
                <w:szCs w:val="18"/>
              </w:rPr>
              <w:t xml:space="preserve">     Tertiary</w:t>
            </w:r>
          </w:p>
        </w:tc>
        <w:tc>
          <w:tcPr>
            <w:tcW w:w="1710" w:type="dxa"/>
          </w:tcPr>
          <w:p w14:paraId="124470BF" w14:textId="77777777" w:rsidR="005C5D01" w:rsidRPr="006E00AF" w:rsidRDefault="005C5D01" w:rsidP="005B4D82">
            <w:pPr>
              <w:rPr>
                <w:rFonts w:cstheme="minorHAnsi"/>
                <w:sz w:val="18"/>
                <w:szCs w:val="18"/>
              </w:rPr>
            </w:pPr>
            <w:r w:rsidRPr="006E00AF">
              <w:rPr>
                <w:rFonts w:cstheme="minorHAnsi"/>
                <w:sz w:val="18"/>
                <w:szCs w:val="18"/>
              </w:rPr>
              <w:t>Age-specific hazard rate ratio from Tuskegee study</w:t>
            </w:r>
          </w:p>
        </w:tc>
      </w:tr>
      <w:tr w:rsidR="005C5D01" w:rsidRPr="006E00AF" w14:paraId="7F0D3D49" w14:textId="77777777" w:rsidTr="005B4D82">
        <w:tc>
          <w:tcPr>
            <w:tcW w:w="6295" w:type="dxa"/>
          </w:tcPr>
          <w:p w14:paraId="0B4CB880" w14:textId="77777777" w:rsidR="005C5D01" w:rsidRPr="006E00AF" w:rsidRDefault="005C5D01" w:rsidP="005B4D82">
            <w:pPr>
              <w:rPr>
                <w:rFonts w:cstheme="minorHAnsi"/>
                <w:sz w:val="18"/>
                <w:szCs w:val="18"/>
              </w:rPr>
            </w:pPr>
            <w:r w:rsidRPr="006E00AF">
              <w:rPr>
                <w:rFonts w:cstheme="minorHAnsi"/>
                <w:sz w:val="18"/>
                <w:szCs w:val="18"/>
              </w:rPr>
              <w:t xml:space="preserve">     All other states</w:t>
            </w:r>
          </w:p>
        </w:tc>
        <w:tc>
          <w:tcPr>
            <w:tcW w:w="1710" w:type="dxa"/>
          </w:tcPr>
          <w:p w14:paraId="194ECCA3" w14:textId="77777777" w:rsidR="005C5D01" w:rsidRPr="006E00AF" w:rsidRDefault="005C5D01" w:rsidP="005B4D82">
            <w:pPr>
              <w:rPr>
                <w:rFonts w:cstheme="minorHAnsi"/>
                <w:sz w:val="18"/>
                <w:szCs w:val="18"/>
              </w:rPr>
            </w:pPr>
            <w:r w:rsidRPr="006E00AF">
              <w:rPr>
                <w:rFonts w:cstheme="minorHAnsi"/>
                <w:sz w:val="18"/>
                <w:szCs w:val="18"/>
              </w:rPr>
              <w:t>Age-specific baseline mortality</w:t>
            </w:r>
          </w:p>
        </w:tc>
      </w:tr>
      <w:tr w:rsidR="005C5D01" w:rsidRPr="006E00AF" w14:paraId="1524F46C" w14:textId="77777777" w:rsidTr="005B4D82">
        <w:tc>
          <w:tcPr>
            <w:tcW w:w="6295" w:type="dxa"/>
          </w:tcPr>
          <w:p w14:paraId="39F522F0" w14:textId="77777777" w:rsidR="005C5D01" w:rsidRPr="006E00AF" w:rsidRDefault="005C5D01" w:rsidP="005B4D82">
            <w:pPr>
              <w:rPr>
                <w:rFonts w:cstheme="minorHAnsi"/>
                <w:b/>
                <w:bCs/>
                <w:sz w:val="18"/>
                <w:szCs w:val="18"/>
              </w:rPr>
            </w:pPr>
            <w:r w:rsidRPr="006E00AF">
              <w:rPr>
                <w:rFonts w:cstheme="minorHAnsi"/>
                <w:b/>
                <w:bCs/>
                <w:sz w:val="18"/>
                <w:szCs w:val="18"/>
              </w:rPr>
              <w:t>Disutility of syphilis</w:t>
            </w:r>
          </w:p>
        </w:tc>
        <w:tc>
          <w:tcPr>
            <w:tcW w:w="1710" w:type="dxa"/>
          </w:tcPr>
          <w:p w14:paraId="0C4A3020" w14:textId="77777777" w:rsidR="005C5D01" w:rsidRPr="006E00AF" w:rsidRDefault="005C5D01" w:rsidP="005B4D82">
            <w:pPr>
              <w:rPr>
                <w:rFonts w:cstheme="minorHAnsi"/>
                <w:sz w:val="18"/>
                <w:szCs w:val="18"/>
              </w:rPr>
            </w:pPr>
          </w:p>
        </w:tc>
      </w:tr>
      <w:tr w:rsidR="005C5D01" w:rsidRPr="006E00AF" w14:paraId="4F4A7581" w14:textId="77777777" w:rsidTr="005B4D82">
        <w:tc>
          <w:tcPr>
            <w:tcW w:w="6295" w:type="dxa"/>
          </w:tcPr>
          <w:p w14:paraId="45C1A0EF" w14:textId="77777777" w:rsidR="005C5D01" w:rsidRPr="006E00AF" w:rsidRDefault="005C5D01" w:rsidP="005B4D82">
            <w:pPr>
              <w:rPr>
                <w:rFonts w:cstheme="minorHAnsi"/>
                <w:sz w:val="18"/>
                <w:szCs w:val="18"/>
              </w:rPr>
            </w:pPr>
            <w:r w:rsidRPr="006E00AF">
              <w:rPr>
                <w:rFonts w:cstheme="minorHAnsi"/>
                <w:sz w:val="18"/>
                <w:szCs w:val="18"/>
              </w:rPr>
              <w:t xml:space="preserve">     Primary </w:t>
            </w:r>
          </w:p>
        </w:tc>
        <w:tc>
          <w:tcPr>
            <w:tcW w:w="1710" w:type="dxa"/>
          </w:tcPr>
          <w:p w14:paraId="3047D887" w14:textId="77777777" w:rsidR="005C5D01" w:rsidRPr="006E00AF" w:rsidRDefault="005C5D01" w:rsidP="005B4D82">
            <w:pPr>
              <w:rPr>
                <w:rFonts w:cstheme="minorHAnsi"/>
                <w:sz w:val="18"/>
                <w:szCs w:val="18"/>
              </w:rPr>
            </w:pPr>
            <w:r w:rsidRPr="006E00AF">
              <w:rPr>
                <w:rFonts w:cstheme="minorHAnsi"/>
                <w:sz w:val="18"/>
                <w:szCs w:val="18"/>
              </w:rPr>
              <w:t>0.0072</w:t>
            </w:r>
          </w:p>
        </w:tc>
      </w:tr>
      <w:tr w:rsidR="005C5D01" w:rsidRPr="006E00AF" w14:paraId="51F6CCD3" w14:textId="77777777" w:rsidTr="005B4D82">
        <w:tc>
          <w:tcPr>
            <w:tcW w:w="6295" w:type="dxa"/>
          </w:tcPr>
          <w:p w14:paraId="768AB41F" w14:textId="77777777" w:rsidR="005C5D01" w:rsidRPr="006E00AF" w:rsidRDefault="005C5D01" w:rsidP="005B4D82">
            <w:pPr>
              <w:rPr>
                <w:rFonts w:cstheme="minorHAnsi"/>
                <w:sz w:val="18"/>
                <w:szCs w:val="18"/>
              </w:rPr>
            </w:pPr>
            <w:r w:rsidRPr="006E00AF">
              <w:rPr>
                <w:rFonts w:cstheme="minorHAnsi"/>
                <w:sz w:val="18"/>
                <w:szCs w:val="18"/>
              </w:rPr>
              <w:t xml:space="preserve">     Secondary</w:t>
            </w:r>
          </w:p>
        </w:tc>
        <w:tc>
          <w:tcPr>
            <w:tcW w:w="1710" w:type="dxa"/>
          </w:tcPr>
          <w:p w14:paraId="422CF66F" w14:textId="77777777" w:rsidR="005C5D01" w:rsidRPr="006E00AF" w:rsidRDefault="005C5D01" w:rsidP="005B4D82">
            <w:pPr>
              <w:rPr>
                <w:rFonts w:cstheme="minorHAnsi"/>
                <w:sz w:val="18"/>
                <w:szCs w:val="18"/>
              </w:rPr>
            </w:pPr>
            <w:r w:rsidRPr="006E00AF">
              <w:rPr>
                <w:rFonts w:cstheme="minorHAnsi"/>
                <w:sz w:val="18"/>
                <w:szCs w:val="18"/>
              </w:rPr>
              <w:t>0.041</w:t>
            </w:r>
          </w:p>
        </w:tc>
      </w:tr>
      <w:tr w:rsidR="005C5D01" w:rsidRPr="006E00AF" w14:paraId="47FE8A54" w14:textId="77777777" w:rsidTr="005B4D82">
        <w:tc>
          <w:tcPr>
            <w:tcW w:w="6295" w:type="dxa"/>
          </w:tcPr>
          <w:p w14:paraId="041CA5F4" w14:textId="77777777" w:rsidR="005C5D01" w:rsidRPr="006E00AF" w:rsidRDefault="005C5D01" w:rsidP="005B4D82">
            <w:pPr>
              <w:rPr>
                <w:rFonts w:cstheme="minorHAnsi"/>
                <w:sz w:val="18"/>
                <w:szCs w:val="18"/>
              </w:rPr>
            </w:pPr>
            <w:r w:rsidRPr="006E00AF">
              <w:rPr>
                <w:rFonts w:cstheme="minorHAnsi"/>
                <w:sz w:val="18"/>
                <w:szCs w:val="18"/>
              </w:rPr>
              <w:t xml:space="preserve">     Early latent</w:t>
            </w:r>
          </w:p>
        </w:tc>
        <w:tc>
          <w:tcPr>
            <w:tcW w:w="1710" w:type="dxa"/>
          </w:tcPr>
          <w:p w14:paraId="5A173950" w14:textId="77777777" w:rsidR="005C5D01" w:rsidRPr="006E00AF" w:rsidRDefault="005C5D01" w:rsidP="005B4D82">
            <w:pPr>
              <w:rPr>
                <w:rFonts w:cstheme="minorHAnsi"/>
                <w:sz w:val="18"/>
                <w:szCs w:val="18"/>
              </w:rPr>
            </w:pPr>
            <w:r w:rsidRPr="006E00AF">
              <w:rPr>
                <w:rFonts w:cstheme="minorHAnsi"/>
                <w:sz w:val="18"/>
                <w:szCs w:val="18"/>
              </w:rPr>
              <w:t>0</w:t>
            </w:r>
          </w:p>
        </w:tc>
      </w:tr>
      <w:tr w:rsidR="005C5D01" w:rsidRPr="006E00AF" w14:paraId="7994DADA" w14:textId="77777777" w:rsidTr="005B4D82">
        <w:tc>
          <w:tcPr>
            <w:tcW w:w="6295" w:type="dxa"/>
          </w:tcPr>
          <w:p w14:paraId="0B0D914F" w14:textId="77777777" w:rsidR="005C5D01" w:rsidRPr="006E00AF" w:rsidRDefault="005C5D01" w:rsidP="005B4D82">
            <w:pPr>
              <w:rPr>
                <w:rFonts w:cstheme="minorHAnsi"/>
                <w:sz w:val="18"/>
                <w:szCs w:val="18"/>
              </w:rPr>
            </w:pPr>
            <w:r w:rsidRPr="006E00AF">
              <w:rPr>
                <w:rFonts w:cstheme="minorHAnsi"/>
                <w:sz w:val="18"/>
                <w:szCs w:val="18"/>
              </w:rPr>
              <w:t xml:space="preserve">     Late latent</w:t>
            </w:r>
          </w:p>
        </w:tc>
        <w:tc>
          <w:tcPr>
            <w:tcW w:w="1710" w:type="dxa"/>
          </w:tcPr>
          <w:p w14:paraId="228C408B" w14:textId="77777777" w:rsidR="005C5D01" w:rsidRPr="006E00AF" w:rsidRDefault="005C5D01" w:rsidP="005B4D82">
            <w:pPr>
              <w:rPr>
                <w:rFonts w:cstheme="minorHAnsi"/>
                <w:sz w:val="18"/>
                <w:szCs w:val="18"/>
              </w:rPr>
            </w:pPr>
            <w:r w:rsidRPr="006E00AF">
              <w:rPr>
                <w:rFonts w:cstheme="minorHAnsi"/>
                <w:sz w:val="18"/>
                <w:szCs w:val="18"/>
              </w:rPr>
              <w:t>0</w:t>
            </w:r>
          </w:p>
        </w:tc>
      </w:tr>
      <w:tr w:rsidR="005C5D01" w:rsidRPr="006E00AF" w14:paraId="2FAF5E4E" w14:textId="77777777" w:rsidTr="005B4D82">
        <w:tc>
          <w:tcPr>
            <w:tcW w:w="6295" w:type="dxa"/>
          </w:tcPr>
          <w:p w14:paraId="5E9CCC8A" w14:textId="77777777" w:rsidR="005C5D01" w:rsidRPr="006E00AF" w:rsidRDefault="005C5D01" w:rsidP="005B4D82">
            <w:pPr>
              <w:rPr>
                <w:rFonts w:cstheme="minorHAnsi"/>
                <w:sz w:val="18"/>
                <w:szCs w:val="18"/>
              </w:rPr>
            </w:pPr>
            <w:r w:rsidRPr="006E00AF">
              <w:rPr>
                <w:rFonts w:cstheme="minorHAnsi"/>
                <w:sz w:val="18"/>
                <w:szCs w:val="18"/>
              </w:rPr>
              <w:t xml:space="preserve">     Neurosyphilis and tertiary</w:t>
            </w:r>
          </w:p>
        </w:tc>
        <w:tc>
          <w:tcPr>
            <w:tcW w:w="1710" w:type="dxa"/>
          </w:tcPr>
          <w:p w14:paraId="405FA0FA" w14:textId="77777777" w:rsidR="005C5D01" w:rsidRPr="006E00AF" w:rsidRDefault="005C5D01" w:rsidP="005B4D82">
            <w:pPr>
              <w:rPr>
                <w:rFonts w:cstheme="minorHAnsi"/>
                <w:sz w:val="18"/>
                <w:szCs w:val="18"/>
              </w:rPr>
            </w:pPr>
            <w:r w:rsidRPr="006E00AF">
              <w:rPr>
                <w:rFonts w:cstheme="minorHAnsi"/>
                <w:sz w:val="18"/>
                <w:szCs w:val="18"/>
              </w:rPr>
              <w:t>0.094</w:t>
            </w:r>
          </w:p>
        </w:tc>
      </w:tr>
      <w:tr w:rsidR="005C5D01" w:rsidRPr="006E00AF" w14:paraId="73E0B538" w14:textId="77777777" w:rsidTr="005B4D82">
        <w:tc>
          <w:tcPr>
            <w:tcW w:w="6295" w:type="dxa"/>
            <w:vAlign w:val="bottom"/>
          </w:tcPr>
          <w:p w14:paraId="75C194C0" w14:textId="77777777" w:rsidR="005C5D01" w:rsidRPr="006E00AF" w:rsidRDefault="005C5D01" w:rsidP="005B4D82">
            <w:pPr>
              <w:rPr>
                <w:rFonts w:cstheme="minorHAnsi"/>
                <w:sz w:val="18"/>
                <w:szCs w:val="18"/>
              </w:rPr>
            </w:pPr>
            <w:r w:rsidRPr="006E00AF">
              <w:rPr>
                <w:rFonts w:cstheme="minorHAnsi"/>
                <w:b/>
                <w:bCs/>
                <w:color w:val="000000"/>
                <w:sz w:val="18"/>
                <w:szCs w:val="18"/>
              </w:rPr>
              <w:t>Probability of seeking treatment for syphilis symptoms* (annual rate of screening and treatment)</w:t>
            </w:r>
          </w:p>
        </w:tc>
        <w:tc>
          <w:tcPr>
            <w:tcW w:w="1710" w:type="dxa"/>
            <w:vAlign w:val="bottom"/>
          </w:tcPr>
          <w:p w14:paraId="1E746F5B" w14:textId="77777777" w:rsidR="005C5D01" w:rsidRPr="006E00AF" w:rsidRDefault="005C5D01" w:rsidP="005B4D82">
            <w:pPr>
              <w:rPr>
                <w:rFonts w:cstheme="minorHAnsi"/>
                <w:sz w:val="18"/>
                <w:szCs w:val="18"/>
              </w:rPr>
            </w:pPr>
            <w:r w:rsidRPr="006E00AF">
              <w:rPr>
                <w:rFonts w:cstheme="minorHAnsi"/>
                <w:color w:val="000000"/>
                <w:sz w:val="18"/>
                <w:szCs w:val="18"/>
              </w:rPr>
              <w:t>0.11</w:t>
            </w:r>
          </w:p>
        </w:tc>
      </w:tr>
      <w:tr w:rsidR="005C5D01" w:rsidRPr="006E00AF" w14:paraId="487532A6" w14:textId="77777777" w:rsidTr="005B4D82">
        <w:tc>
          <w:tcPr>
            <w:tcW w:w="6295" w:type="dxa"/>
            <w:vAlign w:val="bottom"/>
          </w:tcPr>
          <w:p w14:paraId="0E952A45" w14:textId="77777777" w:rsidR="005C5D01" w:rsidRPr="006E00AF" w:rsidRDefault="005C5D01" w:rsidP="005B4D82">
            <w:pPr>
              <w:rPr>
                <w:rFonts w:cstheme="minorHAnsi"/>
                <w:sz w:val="18"/>
                <w:szCs w:val="18"/>
              </w:rPr>
            </w:pPr>
            <w:r w:rsidRPr="006E00AF">
              <w:rPr>
                <w:rFonts w:cstheme="minorHAnsi"/>
                <w:color w:val="000000"/>
                <w:sz w:val="18"/>
                <w:szCs w:val="18"/>
              </w:rPr>
              <w:t xml:space="preserve">     Primary (MSW)</w:t>
            </w:r>
          </w:p>
        </w:tc>
        <w:tc>
          <w:tcPr>
            <w:tcW w:w="1710" w:type="dxa"/>
            <w:vAlign w:val="bottom"/>
          </w:tcPr>
          <w:p w14:paraId="0B835589" w14:textId="77777777" w:rsidR="005C5D01" w:rsidRPr="006E00AF" w:rsidRDefault="005C5D01" w:rsidP="005B4D82">
            <w:pPr>
              <w:rPr>
                <w:rFonts w:cstheme="minorHAnsi"/>
                <w:sz w:val="18"/>
                <w:szCs w:val="18"/>
              </w:rPr>
            </w:pPr>
            <w:r w:rsidRPr="006E00AF">
              <w:rPr>
                <w:rFonts w:cstheme="minorHAnsi"/>
                <w:color w:val="000000"/>
                <w:sz w:val="18"/>
                <w:szCs w:val="18"/>
              </w:rPr>
              <w:t>0.4</w:t>
            </w:r>
          </w:p>
        </w:tc>
      </w:tr>
      <w:tr w:rsidR="005C5D01" w:rsidRPr="006E00AF" w14:paraId="5496AD75" w14:textId="77777777" w:rsidTr="005B4D82">
        <w:tc>
          <w:tcPr>
            <w:tcW w:w="6295" w:type="dxa"/>
            <w:vAlign w:val="bottom"/>
          </w:tcPr>
          <w:p w14:paraId="5324E7E4" w14:textId="77777777" w:rsidR="005C5D01" w:rsidRPr="006E00AF" w:rsidRDefault="005C5D01" w:rsidP="005B4D82">
            <w:pPr>
              <w:rPr>
                <w:rFonts w:cstheme="minorHAnsi"/>
                <w:sz w:val="18"/>
                <w:szCs w:val="18"/>
              </w:rPr>
            </w:pPr>
            <w:r w:rsidRPr="006E00AF">
              <w:rPr>
                <w:rFonts w:cstheme="minorHAnsi"/>
                <w:color w:val="000000"/>
                <w:sz w:val="18"/>
                <w:szCs w:val="18"/>
              </w:rPr>
              <w:t xml:space="preserve">     Secondary (MSW)</w:t>
            </w:r>
          </w:p>
        </w:tc>
        <w:tc>
          <w:tcPr>
            <w:tcW w:w="1710" w:type="dxa"/>
            <w:vAlign w:val="bottom"/>
          </w:tcPr>
          <w:p w14:paraId="49E0EAA6" w14:textId="77777777" w:rsidR="005C5D01" w:rsidRPr="006E00AF" w:rsidRDefault="005C5D01" w:rsidP="005B4D82">
            <w:pPr>
              <w:rPr>
                <w:rFonts w:cstheme="minorHAnsi"/>
                <w:sz w:val="18"/>
                <w:szCs w:val="18"/>
              </w:rPr>
            </w:pPr>
            <w:r w:rsidRPr="006E00AF">
              <w:rPr>
                <w:rFonts w:cstheme="minorHAnsi"/>
                <w:color w:val="000000"/>
                <w:sz w:val="18"/>
                <w:szCs w:val="18"/>
              </w:rPr>
              <w:t>0.19</w:t>
            </w:r>
          </w:p>
        </w:tc>
      </w:tr>
      <w:tr w:rsidR="005C5D01" w:rsidRPr="006E00AF" w14:paraId="082D6896" w14:textId="77777777" w:rsidTr="005B4D82">
        <w:tc>
          <w:tcPr>
            <w:tcW w:w="6295" w:type="dxa"/>
            <w:vAlign w:val="bottom"/>
          </w:tcPr>
          <w:p w14:paraId="33894276" w14:textId="77777777" w:rsidR="005C5D01" w:rsidRPr="006E00AF" w:rsidRDefault="005C5D01" w:rsidP="005B4D82">
            <w:pPr>
              <w:rPr>
                <w:rFonts w:cstheme="minorHAnsi"/>
                <w:sz w:val="18"/>
                <w:szCs w:val="18"/>
              </w:rPr>
            </w:pPr>
            <w:r w:rsidRPr="006E00AF">
              <w:rPr>
                <w:rFonts w:cstheme="minorHAnsi"/>
                <w:color w:val="000000"/>
                <w:sz w:val="18"/>
                <w:szCs w:val="18"/>
              </w:rPr>
              <w:t xml:space="preserve">     Early latent (MSW)</w:t>
            </w:r>
          </w:p>
        </w:tc>
        <w:tc>
          <w:tcPr>
            <w:tcW w:w="1710" w:type="dxa"/>
            <w:vAlign w:val="bottom"/>
          </w:tcPr>
          <w:p w14:paraId="33C7845B" w14:textId="77777777" w:rsidR="005C5D01" w:rsidRPr="006E00AF" w:rsidRDefault="005C5D01" w:rsidP="005B4D82">
            <w:pPr>
              <w:rPr>
                <w:rFonts w:cstheme="minorHAnsi"/>
                <w:sz w:val="18"/>
                <w:szCs w:val="18"/>
              </w:rPr>
            </w:pPr>
            <w:r w:rsidRPr="006E00AF">
              <w:rPr>
                <w:rFonts w:cstheme="minorHAnsi"/>
                <w:color w:val="000000"/>
                <w:sz w:val="18"/>
                <w:szCs w:val="18"/>
              </w:rPr>
              <w:t>0.08</w:t>
            </w:r>
          </w:p>
        </w:tc>
      </w:tr>
      <w:tr w:rsidR="005C5D01" w:rsidRPr="006E00AF" w14:paraId="66BF5995" w14:textId="77777777" w:rsidTr="005B4D82">
        <w:tc>
          <w:tcPr>
            <w:tcW w:w="6295" w:type="dxa"/>
            <w:vAlign w:val="bottom"/>
          </w:tcPr>
          <w:p w14:paraId="5111E795" w14:textId="77777777" w:rsidR="005C5D01" w:rsidRPr="006E00AF" w:rsidRDefault="005C5D01" w:rsidP="005B4D82">
            <w:pPr>
              <w:rPr>
                <w:rFonts w:cstheme="minorHAnsi"/>
                <w:sz w:val="18"/>
                <w:szCs w:val="18"/>
              </w:rPr>
            </w:pPr>
            <w:r w:rsidRPr="006E00AF">
              <w:rPr>
                <w:rFonts w:cstheme="minorHAnsi"/>
                <w:color w:val="000000"/>
                <w:sz w:val="18"/>
                <w:szCs w:val="18"/>
              </w:rPr>
              <w:t xml:space="preserve">     Late latent (MSW)</w:t>
            </w:r>
          </w:p>
        </w:tc>
        <w:tc>
          <w:tcPr>
            <w:tcW w:w="1710" w:type="dxa"/>
            <w:vAlign w:val="bottom"/>
          </w:tcPr>
          <w:p w14:paraId="36EE1599" w14:textId="77777777" w:rsidR="005C5D01" w:rsidRPr="006E00AF" w:rsidRDefault="005C5D01" w:rsidP="005B4D82">
            <w:pPr>
              <w:rPr>
                <w:rFonts w:cstheme="minorHAnsi"/>
                <w:sz w:val="18"/>
                <w:szCs w:val="18"/>
              </w:rPr>
            </w:pPr>
            <w:r w:rsidRPr="006E00AF">
              <w:rPr>
                <w:rFonts w:cstheme="minorHAnsi"/>
                <w:color w:val="000000"/>
                <w:sz w:val="18"/>
                <w:szCs w:val="18"/>
              </w:rPr>
              <w:t>0.36</w:t>
            </w:r>
          </w:p>
        </w:tc>
      </w:tr>
      <w:tr w:rsidR="005C5D01" w:rsidRPr="006E00AF" w14:paraId="757C9D8F" w14:textId="77777777" w:rsidTr="005B4D82">
        <w:tc>
          <w:tcPr>
            <w:tcW w:w="6295" w:type="dxa"/>
            <w:vAlign w:val="bottom"/>
          </w:tcPr>
          <w:p w14:paraId="55DCA283" w14:textId="77777777" w:rsidR="005C5D01" w:rsidRPr="006E00AF" w:rsidRDefault="005C5D01" w:rsidP="005B4D82">
            <w:pPr>
              <w:rPr>
                <w:rFonts w:cstheme="minorHAnsi"/>
                <w:sz w:val="18"/>
                <w:szCs w:val="18"/>
              </w:rPr>
            </w:pPr>
            <w:r w:rsidRPr="006E00AF">
              <w:rPr>
                <w:rFonts w:cstheme="minorHAnsi"/>
                <w:color w:val="000000"/>
                <w:sz w:val="18"/>
                <w:szCs w:val="18"/>
              </w:rPr>
              <w:t xml:space="preserve">     Primary (MSM)</w:t>
            </w:r>
          </w:p>
        </w:tc>
        <w:tc>
          <w:tcPr>
            <w:tcW w:w="1710" w:type="dxa"/>
            <w:vAlign w:val="bottom"/>
          </w:tcPr>
          <w:p w14:paraId="0C535F53" w14:textId="77777777" w:rsidR="005C5D01" w:rsidRPr="006E00AF" w:rsidRDefault="005C5D01" w:rsidP="005B4D82">
            <w:pPr>
              <w:rPr>
                <w:rFonts w:cstheme="minorHAnsi"/>
                <w:sz w:val="18"/>
                <w:szCs w:val="18"/>
              </w:rPr>
            </w:pPr>
            <w:r w:rsidRPr="006E00AF">
              <w:rPr>
                <w:rFonts w:cstheme="minorHAnsi"/>
                <w:color w:val="000000"/>
                <w:sz w:val="18"/>
                <w:szCs w:val="18"/>
              </w:rPr>
              <w:t>0.4</w:t>
            </w:r>
          </w:p>
        </w:tc>
      </w:tr>
      <w:tr w:rsidR="005C5D01" w:rsidRPr="006E00AF" w14:paraId="576E3C14" w14:textId="77777777" w:rsidTr="005B4D82">
        <w:tc>
          <w:tcPr>
            <w:tcW w:w="6295" w:type="dxa"/>
            <w:vAlign w:val="bottom"/>
          </w:tcPr>
          <w:p w14:paraId="48B56FCF" w14:textId="77777777" w:rsidR="005C5D01" w:rsidRPr="006E00AF" w:rsidRDefault="005C5D01" w:rsidP="005B4D82">
            <w:pPr>
              <w:rPr>
                <w:rFonts w:cstheme="minorHAnsi"/>
                <w:sz w:val="18"/>
                <w:szCs w:val="18"/>
              </w:rPr>
            </w:pPr>
            <w:r w:rsidRPr="006E00AF">
              <w:rPr>
                <w:rFonts w:cstheme="minorHAnsi"/>
                <w:color w:val="000000"/>
                <w:sz w:val="18"/>
                <w:szCs w:val="18"/>
              </w:rPr>
              <w:t xml:space="preserve">     Secondary (MSM)</w:t>
            </w:r>
          </w:p>
        </w:tc>
        <w:tc>
          <w:tcPr>
            <w:tcW w:w="1710" w:type="dxa"/>
            <w:vAlign w:val="bottom"/>
          </w:tcPr>
          <w:p w14:paraId="738F3196" w14:textId="77777777" w:rsidR="005C5D01" w:rsidRPr="006E00AF" w:rsidRDefault="005C5D01" w:rsidP="005B4D82">
            <w:pPr>
              <w:rPr>
                <w:rFonts w:cstheme="minorHAnsi"/>
                <w:sz w:val="18"/>
                <w:szCs w:val="18"/>
              </w:rPr>
            </w:pPr>
            <w:r w:rsidRPr="006E00AF">
              <w:rPr>
                <w:rFonts w:cstheme="minorHAnsi"/>
                <w:color w:val="000000"/>
                <w:sz w:val="18"/>
                <w:szCs w:val="18"/>
              </w:rPr>
              <w:t>0.19</w:t>
            </w:r>
          </w:p>
        </w:tc>
      </w:tr>
      <w:tr w:rsidR="005C5D01" w:rsidRPr="006E00AF" w14:paraId="23D922A6" w14:textId="77777777" w:rsidTr="005B4D82">
        <w:tc>
          <w:tcPr>
            <w:tcW w:w="6295" w:type="dxa"/>
            <w:vAlign w:val="bottom"/>
          </w:tcPr>
          <w:p w14:paraId="3B03BD62" w14:textId="77777777" w:rsidR="005C5D01" w:rsidRPr="006E00AF" w:rsidRDefault="005C5D01" w:rsidP="005B4D82">
            <w:pPr>
              <w:rPr>
                <w:rFonts w:cstheme="minorHAnsi"/>
                <w:sz w:val="18"/>
                <w:szCs w:val="18"/>
              </w:rPr>
            </w:pPr>
            <w:r w:rsidRPr="006E00AF">
              <w:rPr>
                <w:rFonts w:cstheme="minorHAnsi"/>
                <w:color w:val="000000"/>
                <w:sz w:val="18"/>
                <w:szCs w:val="18"/>
              </w:rPr>
              <w:t xml:space="preserve">     Early latent (MSM)</w:t>
            </w:r>
          </w:p>
        </w:tc>
        <w:tc>
          <w:tcPr>
            <w:tcW w:w="1710" w:type="dxa"/>
            <w:vAlign w:val="bottom"/>
          </w:tcPr>
          <w:p w14:paraId="19852495" w14:textId="77777777" w:rsidR="005C5D01" w:rsidRPr="006E00AF" w:rsidRDefault="005C5D01" w:rsidP="005B4D82">
            <w:pPr>
              <w:rPr>
                <w:rFonts w:cstheme="minorHAnsi"/>
                <w:sz w:val="18"/>
                <w:szCs w:val="18"/>
              </w:rPr>
            </w:pPr>
            <w:r w:rsidRPr="006E00AF">
              <w:rPr>
                <w:rFonts w:cstheme="minorHAnsi"/>
                <w:color w:val="000000"/>
                <w:sz w:val="18"/>
                <w:szCs w:val="18"/>
              </w:rPr>
              <w:t>0.08</w:t>
            </w:r>
          </w:p>
        </w:tc>
      </w:tr>
      <w:tr w:rsidR="005C5D01" w:rsidRPr="006E00AF" w14:paraId="61C250B0" w14:textId="77777777" w:rsidTr="005B4D82">
        <w:tc>
          <w:tcPr>
            <w:tcW w:w="6295" w:type="dxa"/>
            <w:vAlign w:val="bottom"/>
          </w:tcPr>
          <w:p w14:paraId="5C130ED3" w14:textId="77777777" w:rsidR="005C5D01" w:rsidRPr="006E00AF" w:rsidRDefault="005C5D01" w:rsidP="005B4D82">
            <w:pPr>
              <w:rPr>
                <w:rFonts w:cstheme="minorHAnsi"/>
                <w:sz w:val="18"/>
                <w:szCs w:val="18"/>
              </w:rPr>
            </w:pPr>
            <w:r w:rsidRPr="006E00AF">
              <w:rPr>
                <w:rFonts w:cstheme="minorHAnsi"/>
                <w:color w:val="000000"/>
                <w:sz w:val="18"/>
                <w:szCs w:val="18"/>
              </w:rPr>
              <w:t xml:space="preserve">     Late latent (MSM)</w:t>
            </w:r>
          </w:p>
        </w:tc>
        <w:tc>
          <w:tcPr>
            <w:tcW w:w="1710" w:type="dxa"/>
            <w:vAlign w:val="bottom"/>
          </w:tcPr>
          <w:p w14:paraId="622C8A4B" w14:textId="77777777" w:rsidR="005C5D01" w:rsidRPr="006E00AF" w:rsidRDefault="005C5D01" w:rsidP="005B4D82">
            <w:pPr>
              <w:rPr>
                <w:rFonts w:cstheme="minorHAnsi"/>
                <w:sz w:val="18"/>
                <w:szCs w:val="18"/>
              </w:rPr>
            </w:pPr>
            <w:r w:rsidRPr="006E00AF">
              <w:rPr>
                <w:rFonts w:cstheme="minorHAnsi"/>
                <w:color w:val="000000"/>
                <w:sz w:val="18"/>
                <w:szCs w:val="18"/>
              </w:rPr>
              <w:t>0.11</w:t>
            </w:r>
          </w:p>
        </w:tc>
      </w:tr>
      <w:tr w:rsidR="005C5D01" w:rsidRPr="006E00AF" w14:paraId="1F9A38E7" w14:textId="77777777" w:rsidTr="005B4D82">
        <w:tc>
          <w:tcPr>
            <w:tcW w:w="6295" w:type="dxa"/>
            <w:vAlign w:val="bottom"/>
          </w:tcPr>
          <w:p w14:paraId="769E49EC" w14:textId="77777777" w:rsidR="005C5D01" w:rsidRPr="006E00AF" w:rsidRDefault="005C5D01" w:rsidP="005B4D82">
            <w:pPr>
              <w:rPr>
                <w:rFonts w:cstheme="minorHAnsi"/>
                <w:sz w:val="18"/>
                <w:szCs w:val="18"/>
              </w:rPr>
            </w:pPr>
            <w:r w:rsidRPr="006E00AF">
              <w:rPr>
                <w:rFonts w:cstheme="minorHAnsi"/>
                <w:color w:val="000000"/>
                <w:sz w:val="18"/>
                <w:szCs w:val="18"/>
              </w:rPr>
              <w:t xml:space="preserve">     Primary (Non-pregnant women)</w:t>
            </w:r>
          </w:p>
        </w:tc>
        <w:tc>
          <w:tcPr>
            <w:tcW w:w="1710" w:type="dxa"/>
            <w:vAlign w:val="bottom"/>
          </w:tcPr>
          <w:p w14:paraId="3186E8B5" w14:textId="77777777" w:rsidR="005C5D01" w:rsidRPr="006E00AF" w:rsidRDefault="005C5D01" w:rsidP="005B4D82">
            <w:pPr>
              <w:rPr>
                <w:rFonts w:cstheme="minorHAnsi"/>
                <w:sz w:val="18"/>
                <w:szCs w:val="18"/>
              </w:rPr>
            </w:pPr>
            <w:r w:rsidRPr="006E00AF">
              <w:rPr>
                <w:rFonts w:cstheme="minorHAnsi"/>
                <w:color w:val="000000"/>
                <w:sz w:val="18"/>
                <w:szCs w:val="18"/>
              </w:rPr>
              <w:t>0.4</w:t>
            </w:r>
          </w:p>
        </w:tc>
      </w:tr>
      <w:tr w:rsidR="005C5D01" w:rsidRPr="006E00AF" w14:paraId="2922EC20" w14:textId="77777777" w:rsidTr="005B4D82">
        <w:tc>
          <w:tcPr>
            <w:tcW w:w="6295" w:type="dxa"/>
            <w:vAlign w:val="bottom"/>
          </w:tcPr>
          <w:p w14:paraId="7A85C4E4" w14:textId="77777777" w:rsidR="005C5D01" w:rsidRPr="006E00AF" w:rsidRDefault="005C5D01" w:rsidP="005B4D82">
            <w:pPr>
              <w:rPr>
                <w:rFonts w:cstheme="minorHAnsi"/>
                <w:sz w:val="18"/>
                <w:szCs w:val="18"/>
              </w:rPr>
            </w:pPr>
            <w:r w:rsidRPr="006E00AF">
              <w:rPr>
                <w:rFonts w:cstheme="minorHAnsi"/>
                <w:color w:val="000000"/>
                <w:sz w:val="18"/>
                <w:szCs w:val="18"/>
              </w:rPr>
              <w:t xml:space="preserve">     Secondary (Non-pregnant women)</w:t>
            </w:r>
          </w:p>
        </w:tc>
        <w:tc>
          <w:tcPr>
            <w:tcW w:w="1710" w:type="dxa"/>
            <w:vAlign w:val="bottom"/>
          </w:tcPr>
          <w:p w14:paraId="78DF49E6" w14:textId="77777777" w:rsidR="005C5D01" w:rsidRPr="006E00AF" w:rsidRDefault="005C5D01" w:rsidP="005B4D82">
            <w:pPr>
              <w:rPr>
                <w:rFonts w:cstheme="minorHAnsi"/>
                <w:sz w:val="18"/>
                <w:szCs w:val="18"/>
              </w:rPr>
            </w:pPr>
            <w:r w:rsidRPr="006E00AF">
              <w:rPr>
                <w:rFonts w:cstheme="minorHAnsi"/>
                <w:color w:val="000000"/>
                <w:sz w:val="18"/>
                <w:szCs w:val="18"/>
              </w:rPr>
              <w:t>0.19</w:t>
            </w:r>
          </w:p>
        </w:tc>
      </w:tr>
      <w:tr w:rsidR="005C5D01" w:rsidRPr="006E00AF" w14:paraId="77529843" w14:textId="77777777" w:rsidTr="005B4D82">
        <w:tc>
          <w:tcPr>
            <w:tcW w:w="6295" w:type="dxa"/>
            <w:vAlign w:val="bottom"/>
          </w:tcPr>
          <w:p w14:paraId="3BC94CEF" w14:textId="77777777" w:rsidR="005C5D01" w:rsidRPr="006E00AF" w:rsidRDefault="005C5D01" w:rsidP="005B4D82">
            <w:pPr>
              <w:rPr>
                <w:rFonts w:cstheme="minorHAnsi"/>
                <w:sz w:val="18"/>
                <w:szCs w:val="18"/>
              </w:rPr>
            </w:pPr>
            <w:r w:rsidRPr="006E00AF">
              <w:rPr>
                <w:rFonts w:cstheme="minorHAnsi"/>
                <w:color w:val="000000"/>
                <w:sz w:val="18"/>
                <w:szCs w:val="18"/>
              </w:rPr>
              <w:t xml:space="preserve">     Early latent (Non-pregnant women)</w:t>
            </w:r>
          </w:p>
        </w:tc>
        <w:tc>
          <w:tcPr>
            <w:tcW w:w="1710" w:type="dxa"/>
            <w:vAlign w:val="bottom"/>
          </w:tcPr>
          <w:p w14:paraId="34994757" w14:textId="77777777" w:rsidR="005C5D01" w:rsidRPr="006E00AF" w:rsidRDefault="005C5D01" w:rsidP="005B4D82">
            <w:pPr>
              <w:rPr>
                <w:rFonts w:cstheme="minorHAnsi"/>
                <w:sz w:val="18"/>
                <w:szCs w:val="18"/>
              </w:rPr>
            </w:pPr>
            <w:r w:rsidRPr="006E00AF">
              <w:rPr>
                <w:rFonts w:cstheme="minorHAnsi"/>
                <w:color w:val="000000"/>
                <w:sz w:val="18"/>
                <w:szCs w:val="18"/>
              </w:rPr>
              <w:t>0.08</w:t>
            </w:r>
          </w:p>
        </w:tc>
      </w:tr>
      <w:tr w:rsidR="005C5D01" w:rsidRPr="006E00AF" w14:paraId="12D2B78D" w14:textId="77777777" w:rsidTr="005B4D82">
        <w:tc>
          <w:tcPr>
            <w:tcW w:w="6295" w:type="dxa"/>
            <w:vAlign w:val="bottom"/>
          </w:tcPr>
          <w:p w14:paraId="36A8435E" w14:textId="77777777" w:rsidR="005C5D01" w:rsidRPr="006E00AF" w:rsidRDefault="005C5D01" w:rsidP="005B4D82">
            <w:pPr>
              <w:rPr>
                <w:rFonts w:cstheme="minorHAnsi"/>
                <w:sz w:val="18"/>
                <w:szCs w:val="18"/>
              </w:rPr>
            </w:pPr>
            <w:r w:rsidRPr="006E00AF">
              <w:rPr>
                <w:rFonts w:cstheme="minorHAnsi"/>
                <w:color w:val="000000"/>
                <w:sz w:val="18"/>
                <w:szCs w:val="18"/>
              </w:rPr>
              <w:t xml:space="preserve">     Late latent (Non-pregnant women)</w:t>
            </w:r>
          </w:p>
        </w:tc>
        <w:tc>
          <w:tcPr>
            <w:tcW w:w="1710" w:type="dxa"/>
            <w:vAlign w:val="bottom"/>
          </w:tcPr>
          <w:p w14:paraId="702D3EE5" w14:textId="77777777" w:rsidR="005C5D01" w:rsidRPr="006E00AF" w:rsidRDefault="005C5D01" w:rsidP="005B4D82">
            <w:pPr>
              <w:rPr>
                <w:rFonts w:cstheme="minorHAnsi"/>
                <w:sz w:val="18"/>
                <w:szCs w:val="18"/>
              </w:rPr>
            </w:pPr>
            <w:r w:rsidRPr="006E00AF">
              <w:rPr>
                <w:rFonts w:cstheme="minorHAnsi"/>
                <w:color w:val="000000"/>
                <w:sz w:val="18"/>
                <w:szCs w:val="18"/>
              </w:rPr>
              <w:t>0.11</w:t>
            </w:r>
          </w:p>
        </w:tc>
      </w:tr>
      <w:tr w:rsidR="005C5D01" w:rsidRPr="006E00AF" w14:paraId="13AD062E" w14:textId="77777777" w:rsidTr="005B4D82">
        <w:tc>
          <w:tcPr>
            <w:tcW w:w="6295" w:type="dxa"/>
            <w:vAlign w:val="center"/>
          </w:tcPr>
          <w:p w14:paraId="38D8667A" w14:textId="77777777" w:rsidR="005C5D01" w:rsidRPr="006E00AF" w:rsidRDefault="005C5D01" w:rsidP="005B4D82">
            <w:pPr>
              <w:rPr>
                <w:rFonts w:cstheme="minorHAnsi"/>
                <w:color w:val="000000"/>
                <w:sz w:val="18"/>
                <w:szCs w:val="18"/>
              </w:rPr>
            </w:pPr>
            <w:r w:rsidRPr="006E00AF">
              <w:rPr>
                <w:rFonts w:cstheme="minorHAnsi"/>
                <w:b/>
                <w:bCs/>
                <w:color w:val="000000"/>
                <w:sz w:val="18"/>
                <w:szCs w:val="18"/>
              </w:rPr>
              <w:t>Probabilities of Screening and treatment for syphilis during pregnancy</w:t>
            </w:r>
          </w:p>
        </w:tc>
        <w:tc>
          <w:tcPr>
            <w:tcW w:w="1710" w:type="dxa"/>
            <w:vAlign w:val="bottom"/>
          </w:tcPr>
          <w:p w14:paraId="60E03062" w14:textId="77777777" w:rsidR="005C5D01" w:rsidRPr="006E00AF" w:rsidRDefault="005C5D01" w:rsidP="005B4D82">
            <w:pPr>
              <w:rPr>
                <w:rFonts w:cstheme="minorHAnsi"/>
                <w:color w:val="000000"/>
                <w:sz w:val="18"/>
                <w:szCs w:val="18"/>
              </w:rPr>
            </w:pPr>
          </w:p>
        </w:tc>
      </w:tr>
      <w:tr w:rsidR="005C5D01" w:rsidRPr="006E00AF" w14:paraId="703EA55A" w14:textId="77777777" w:rsidTr="005B4D82">
        <w:tc>
          <w:tcPr>
            <w:tcW w:w="6295" w:type="dxa"/>
            <w:vAlign w:val="center"/>
          </w:tcPr>
          <w:p w14:paraId="6FD2DFBC" w14:textId="77777777" w:rsidR="005C5D01" w:rsidRPr="006E00AF" w:rsidRDefault="005C5D01" w:rsidP="005B4D82">
            <w:pPr>
              <w:rPr>
                <w:rFonts w:cstheme="minorHAnsi"/>
                <w:color w:val="000000"/>
                <w:sz w:val="18"/>
                <w:szCs w:val="18"/>
              </w:rPr>
            </w:pPr>
            <w:r w:rsidRPr="006E00AF">
              <w:rPr>
                <w:rFonts w:cstheme="minorHAnsi"/>
                <w:color w:val="000000"/>
                <w:sz w:val="18"/>
                <w:szCs w:val="18"/>
              </w:rPr>
              <w:lastRenderedPageBreak/>
              <w:t xml:space="preserve">   Attending antenatal care</w:t>
            </w:r>
          </w:p>
        </w:tc>
        <w:tc>
          <w:tcPr>
            <w:tcW w:w="1710" w:type="dxa"/>
            <w:vAlign w:val="center"/>
          </w:tcPr>
          <w:p w14:paraId="07DE2503" w14:textId="77777777" w:rsidR="005C5D01" w:rsidRPr="006E00AF" w:rsidRDefault="005C5D01" w:rsidP="005B4D82">
            <w:pPr>
              <w:rPr>
                <w:rFonts w:cstheme="minorHAnsi"/>
                <w:color w:val="000000"/>
                <w:sz w:val="18"/>
                <w:szCs w:val="18"/>
              </w:rPr>
            </w:pPr>
            <w:r w:rsidRPr="006E00AF">
              <w:rPr>
                <w:rFonts w:cstheme="minorHAnsi"/>
                <w:color w:val="000000"/>
                <w:sz w:val="18"/>
                <w:szCs w:val="18"/>
              </w:rPr>
              <w:t>0.94</w:t>
            </w:r>
          </w:p>
        </w:tc>
      </w:tr>
      <w:tr w:rsidR="005C5D01" w:rsidRPr="006E00AF" w14:paraId="0531DE7D" w14:textId="77777777" w:rsidTr="005B4D82">
        <w:tc>
          <w:tcPr>
            <w:tcW w:w="6295" w:type="dxa"/>
            <w:vAlign w:val="center"/>
          </w:tcPr>
          <w:p w14:paraId="2E5A4F8E"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Screening for syphilis during antenatal care visit</w:t>
            </w:r>
          </w:p>
        </w:tc>
        <w:tc>
          <w:tcPr>
            <w:tcW w:w="1710" w:type="dxa"/>
            <w:vAlign w:val="center"/>
          </w:tcPr>
          <w:p w14:paraId="59AAB6C1" w14:textId="77777777" w:rsidR="005C5D01" w:rsidRPr="006E00AF" w:rsidRDefault="005C5D01" w:rsidP="005B4D82">
            <w:pPr>
              <w:rPr>
                <w:rFonts w:cstheme="minorHAnsi"/>
                <w:color w:val="000000"/>
                <w:sz w:val="18"/>
                <w:szCs w:val="18"/>
              </w:rPr>
            </w:pPr>
            <w:r w:rsidRPr="006E00AF">
              <w:rPr>
                <w:rFonts w:cstheme="minorHAnsi"/>
                <w:color w:val="000000"/>
                <w:sz w:val="18"/>
                <w:szCs w:val="18"/>
              </w:rPr>
              <w:t>0.85</w:t>
            </w:r>
          </w:p>
        </w:tc>
      </w:tr>
      <w:tr w:rsidR="005C5D01" w:rsidRPr="006E00AF" w14:paraId="4B967090" w14:textId="77777777" w:rsidTr="005B4D82">
        <w:tc>
          <w:tcPr>
            <w:tcW w:w="6295" w:type="dxa"/>
            <w:vAlign w:val="center"/>
          </w:tcPr>
          <w:p w14:paraId="653102C0"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Receiving treatment for syphilis if test positive</w:t>
            </w:r>
          </w:p>
        </w:tc>
        <w:tc>
          <w:tcPr>
            <w:tcW w:w="1710" w:type="dxa"/>
            <w:vAlign w:val="center"/>
          </w:tcPr>
          <w:p w14:paraId="24437970" w14:textId="77777777" w:rsidR="005C5D01" w:rsidRPr="006E00AF" w:rsidRDefault="005C5D01" w:rsidP="005B4D82">
            <w:pPr>
              <w:rPr>
                <w:rFonts w:cstheme="minorHAnsi"/>
                <w:color w:val="000000"/>
                <w:sz w:val="18"/>
                <w:szCs w:val="18"/>
              </w:rPr>
            </w:pPr>
            <w:r w:rsidRPr="006E00AF">
              <w:rPr>
                <w:rFonts w:cstheme="minorHAnsi"/>
                <w:color w:val="000000"/>
                <w:sz w:val="18"/>
                <w:szCs w:val="18"/>
              </w:rPr>
              <w:t>1</w:t>
            </w:r>
          </w:p>
        </w:tc>
      </w:tr>
      <w:tr w:rsidR="005C5D01" w:rsidRPr="006E00AF" w14:paraId="7BC1BFCC" w14:textId="77777777" w:rsidTr="005B4D82">
        <w:tc>
          <w:tcPr>
            <w:tcW w:w="6295" w:type="dxa"/>
            <w:vAlign w:val="center"/>
          </w:tcPr>
          <w:p w14:paraId="65692AF6"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Probability that treatment was successful</w:t>
            </w:r>
          </w:p>
        </w:tc>
        <w:tc>
          <w:tcPr>
            <w:tcW w:w="1710" w:type="dxa"/>
            <w:vAlign w:val="center"/>
          </w:tcPr>
          <w:p w14:paraId="0EA219BA" w14:textId="77777777" w:rsidR="005C5D01" w:rsidRPr="006E00AF" w:rsidRDefault="005C5D01" w:rsidP="005B4D82">
            <w:pPr>
              <w:rPr>
                <w:rFonts w:cstheme="minorHAnsi"/>
                <w:color w:val="000000"/>
                <w:sz w:val="18"/>
                <w:szCs w:val="18"/>
              </w:rPr>
            </w:pPr>
            <w:r w:rsidRPr="006E00AF">
              <w:rPr>
                <w:rFonts w:cstheme="minorHAnsi"/>
                <w:color w:val="000000"/>
                <w:sz w:val="18"/>
                <w:szCs w:val="18"/>
              </w:rPr>
              <w:t>0.9</w:t>
            </w:r>
          </w:p>
        </w:tc>
      </w:tr>
      <w:tr w:rsidR="005C5D01" w:rsidRPr="006E00AF" w14:paraId="33A513FC" w14:textId="77777777" w:rsidTr="005B4D82">
        <w:tc>
          <w:tcPr>
            <w:tcW w:w="6295" w:type="dxa"/>
            <w:vAlign w:val="center"/>
          </w:tcPr>
          <w:p w14:paraId="52E7DD09" w14:textId="77777777" w:rsidR="005C5D01" w:rsidRPr="006E00AF" w:rsidRDefault="005C5D01" w:rsidP="005B4D82">
            <w:pPr>
              <w:rPr>
                <w:rFonts w:cstheme="minorHAnsi"/>
                <w:b/>
                <w:bCs/>
                <w:color w:val="000000"/>
                <w:sz w:val="18"/>
                <w:szCs w:val="18"/>
              </w:rPr>
            </w:pPr>
            <w:r w:rsidRPr="006E00AF">
              <w:rPr>
                <w:rFonts w:cstheme="minorHAnsi"/>
                <w:b/>
                <w:bCs/>
                <w:color w:val="000000"/>
                <w:sz w:val="18"/>
                <w:szCs w:val="18"/>
              </w:rPr>
              <w:t>Probability of vertical transmission if untreated</w:t>
            </w:r>
          </w:p>
        </w:tc>
        <w:tc>
          <w:tcPr>
            <w:tcW w:w="1710" w:type="dxa"/>
            <w:vAlign w:val="bottom"/>
          </w:tcPr>
          <w:p w14:paraId="241779B6" w14:textId="77777777" w:rsidR="005C5D01" w:rsidRPr="006E00AF" w:rsidRDefault="005C5D01" w:rsidP="005B4D82">
            <w:pPr>
              <w:rPr>
                <w:rFonts w:cstheme="minorHAnsi"/>
                <w:color w:val="000000"/>
                <w:sz w:val="18"/>
                <w:szCs w:val="18"/>
              </w:rPr>
            </w:pPr>
            <w:r w:rsidRPr="006E00AF">
              <w:rPr>
                <w:rFonts w:cstheme="minorHAnsi"/>
                <w:color w:val="000000"/>
                <w:sz w:val="18"/>
                <w:szCs w:val="18"/>
              </w:rPr>
              <w:t>0.515 [0.4 – 0.7]</w:t>
            </w:r>
          </w:p>
        </w:tc>
      </w:tr>
      <w:tr w:rsidR="005C5D01" w:rsidRPr="006E00AF" w14:paraId="67D4F9BF" w14:textId="77777777" w:rsidTr="005B4D82">
        <w:tc>
          <w:tcPr>
            <w:tcW w:w="6295" w:type="dxa"/>
            <w:vAlign w:val="center"/>
          </w:tcPr>
          <w:p w14:paraId="5EFC6E5B" w14:textId="77777777" w:rsidR="005C5D01" w:rsidRPr="006E00AF" w:rsidRDefault="005C5D01" w:rsidP="005B4D82">
            <w:pPr>
              <w:rPr>
                <w:rFonts w:cstheme="minorHAnsi"/>
                <w:color w:val="000000"/>
                <w:sz w:val="18"/>
                <w:szCs w:val="18"/>
              </w:rPr>
            </w:pPr>
            <w:r w:rsidRPr="006E00AF">
              <w:rPr>
                <w:rFonts w:cstheme="minorHAnsi"/>
                <w:color w:val="000000"/>
                <w:sz w:val="18"/>
                <w:szCs w:val="18"/>
              </w:rPr>
              <w:t>Probability of adverse pregnancy outcomes if vertical transmission occurred</w:t>
            </w:r>
          </w:p>
        </w:tc>
        <w:tc>
          <w:tcPr>
            <w:tcW w:w="1710" w:type="dxa"/>
            <w:vAlign w:val="bottom"/>
          </w:tcPr>
          <w:p w14:paraId="152281A9" w14:textId="77777777" w:rsidR="005C5D01" w:rsidRPr="006E00AF" w:rsidRDefault="005C5D01" w:rsidP="005B4D82">
            <w:pPr>
              <w:rPr>
                <w:rFonts w:cstheme="minorHAnsi"/>
                <w:color w:val="000000"/>
                <w:sz w:val="18"/>
                <w:szCs w:val="18"/>
              </w:rPr>
            </w:pPr>
          </w:p>
        </w:tc>
      </w:tr>
      <w:tr w:rsidR="005C5D01" w:rsidRPr="006E00AF" w14:paraId="3734623D" w14:textId="77777777" w:rsidTr="005B4D82">
        <w:tc>
          <w:tcPr>
            <w:tcW w:w="6295" w:type="dxa"/>
            <w:vAlign w:val="center"/>
          </w:tcPr>
          <w:p w14:paraId="707E0DEB"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Congenital syphilis</w:t>
            </w:r>
          </w:p>
        </w:tc>
        <w:tc>
          <w:tcPr>
            <w:tcW w:w="1710" w:type="dxa"/>
            <w:vAlign w:val="bottom"/>
          </w:tcPr>
          <w:p w14:paraId="2EE8E20A" w14:textId="77777777" w:rsidR="005C5D01" w:rsidRPr="006E00AF" w:rsidRDefault="005C5D01" w:rsidP="005B4D82">
            <w:pPr>
              <w:rPr>
                <w:rFonts w:cstheme="minorHAnsi"/>
                <w:color w:val="000000"/>
                <w:sz w:val="18"/>
                <w:szCs w:val="18"/>
              </w:rPr>
            </w:pPr>
          </w:p>
        </w:tc>
      </w:tr>
      <w:tr w:rsidR="005C5D01" w:rsidRPr="006E00AF" w14:paraId="4694F667" w14:textId="77777777" w:rsidTr="005B4D82">
        <w:tc>
          <w:tcPr>
            <w:tcW w:w="6295" w:type="dxa"/>
            <w:vAlign w:val="center"/>
          </w:tcPr>
          <w:p w14:paraId="6FA9985F"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Low birth weight</w:t>
            </w:r>
          </w:p>
        </w:tc>
        <w:tc>
          <w:tcPr>
            <w:tcW w:w="1710" w:type="dxa"/>
            <w:vAlign w:val="bottom"/>
          </w:tcPr>
          <w:p w14:paraId="58476906" w14:textId="77777777" w:rsidR="005C5D01" w:rsidRPr="006E00AF" w:rsidRDefault="005C5D01" w:rsidP="005B4D82">
            <w:pPr>
              <w:rPr>
                <w:rFonts w:cstheme="minorHAnsi"/>
                <w:color w:val="000000"/>
                <w:sz w:val="18"/>
                <w:szCs w:val="18"/>
              </w:rPr>
            </w:pPr>
          </w:p>
        </w:tc>
      </w:tr>
      <w:tr w:rsidR="005C5D01" w:rsidRPr="006E00AF" w14:paraId="06494BBE" w14:textId="77777777" w:rsidTr="005B4D82">
        <w:tc>
          <w:tcPr>
            <w:tcW w:w="6295" w:type="dxa"/>
            <w:vAlign w:val="center"/>
          </w:tcPr>
          <w:p w14:paraId="5BBDA47C"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Neonatal death</w:t>
            </w:r>
          </w:p>
        </w:tc>
        <w:tc>
          <w:tcPr>
            <w:tcW w:w="1710" w:type="dxa"/>
            <w:vAlign w:val="bottom"/>
          </w:tcPr>
          <w:p w14:paraId="155C0570" w14:textId="77777777" w:rsidR="005C5D01" w:rsidRPr="006E00AF" w:rsidRDefault="005C5D01" w:rsidP="005B4D82">
            <w:pPr>
              <w:rPr>
                <w:rFonts w:cstheme="minorHAnsi"/>
                <w:color w:val="000000"/>
                <w:sz w:val="18"/>
                <w:szCs w:val="18"/>
              </w:rPr>
            </w:pPr>
          </w:p>
        </w:tc>
      </w:tr>
      <w:tr w:rsidR="005C5D01" w:rsidRPr="006E00AF" w14:paraId="0CD89992" w14:textId="77777777" w:rsidTr="005B4D82">
        <w:tc>
          <w:tcPr>
            <w:tcW w:w="6295" w:type="dxa"/>
            <w:vAlign w:val="center"/>
          </w:tcPr>
          <w:p w14:paraId="44EB7863"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Still birth</w:t>
            </w:r>
          </w:p>
        </w:tc>
        <w:tc>
          <w:tcPr>
            <w:tcW w:w="1710" w:type="dxa"/>
            <w:vAlign w:val="bottom"/>
          </w:tcPr>
          <w:p w14:paraId="187648EE" w14:textId="77777777" w:rsidR="005C5D01" w:rsidRPr="006E00AF" w:rsidRDefault="005C5D01" w:rsidP="005B4D82">
            <w:pPr>
              <w:rPr>
                <w:rFonts w:cstheme="minorHAnsi"/>
                <w:color w:val="000000"/>
                <w:sz w:val="18"/>
                <w:szCs w:val="18"/>
              </w:rPr>
            </w:pPr>
          </w:p>
        </w:tc>
      </w:tr>
      <w:tr w:rsidR="005C5D01" w:rsidRPr="006E00AF" w14:paraId="43F56E7D" w14:textId="77777777" w:rsidTr="005B4D82">
        <w:tc>
          <w:tcPr>
            <w:tcW w:w="6295" w:type="dxa"/>
            <w:vAlign w:val="bottom"/>
          </w:tcPr>
          <w:p w14:paraId="6C8837F9" w14:textId="77777777" w:rsidR="005C5D01" w:rsidRPr="006E00AF" w:rsidRDefault="005C5D01" w:rsidP="005B4D82">
            <w:pPr>
              <w:rPr>
                <w:rFonts w:cstheme="minorHAnsi"/>
                <w:color w:val="000000"/>
                <w:sz w:val="18"/>
                <w:szCs w:val="18"/>
              </w:rPr>
            </w:pPr>
            <w:r w:rsidRPr="006E00AF">
              <w:rPr>
                <w:rFonts w:cstheme="minorHAnsi"/>
                <w:b/>
                <w:bCs/>
                <w:color w:val="000000"/>
                <w:sz w:val="18"/>
                <w:szCs w:val="18"/>
              </w:rPr>
              <w:t>Disutility of mothers who have adverse pregnancy outcomes</w:t>
            </w:r>
          </w:p>
        </w:tc>
        <w:tc>
          <w:tcPr>
            <w:tcW w:w="1710" w:type="dxa"/>
            <w:vAlign w:val="bottom"/>
          </w:tcPr>
          <w:p w14:paraId="40D845AA" w14:textId="77777777" w:rsidR="005C5D01" w:rsidRPr="006E00AF" w:rsidRDefault="005C5D01" w:rsidP="005B4D82">
            <w:pPr>
              <w:rPr>
                <w:rFonts w:cstheme="minorHAnsi"/>
                <w:color w:val="000000"/>
                <w:sz w:val="18"/>
                <w:szCs w:val="18"/>
              </w:rPr>
            </w:pPr>
          </w:p>
        </w:tc>
      </w:tr>
      <w:tr w:rsidR="005C5D01" w:rsidRPr="006E00AF" w14:paraId="2A04155B" w14:textId="77777777" w:rsidTr="005B4D82">
        <w:tc>
          <w:tcPr>
            <w:tcW w:w="6295" w:type="dxa"/>
            <w:vAlign w:val="bottom"/>
          </w:tcPr>
          <w:p w14:paraId="399C822F"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stillbirth</w:t>
            </w:r>
          </w:p>
        </w:tc>
        <w:tc>
          <w:tcPr>
            <w:tcW w:w="1710" w:type="dxa"/>
            <w:vAlign w:val="bottom"/>
          </w:tcPr>
          <w:p w14:paraId="443B1792" w14:textId="77777777" w:rsidR="005C5D01" w:rsidRPr="006E00AF" w:rsidRDefault="005C5D01" w:rsidP="005B4D82">
            <w:pPr>
              <w:rPr>
                <w:rFonts w:cstheme="minorHAnsi"/>
                <w:color w:val="000000"/>
                <w:sz w:val="18"/>
                <w:szCs w:val="18"/>
              </w:rPr>
            </w:pPr>
            <w:r w:rsidRPr="006E00AF">
              <w:rPr>
                <w:rFonts w:cstheme="minorHAnsi"/>
                <w:color w:val="000000"/>
                <w:sz w:val="18"/>
                <w:szCs w:val="18"/>
              </w:rPr>
              <w:t>0.08 [0.05 - 0.2]</w:t>
            </w:r>
          </w:p>
        </w:tc>
      </w:tr>
      <w:tr w:rsidR="005C5D01" w:rsidRPr="006E00AF" w14:paraId="56B63FB9" w14:textId="77777777" w:rsidTr="005B4D82">
        <w:tc>
          <w:tcPr>
            <w:tcW w:w="6295" w:type="dxa"/>
            <w:vAlign w:val="bottom"/>
          </w:tcPr>
          <w:p w14:paraId="79B40B50"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Neonatal or infant death</w:t>
            </w:r>
          </w:p>
        </w:tc>
        <w:tc>
          <w:tcPr>
            <w:tcW w:w="1710" w:type="dxa"/>
            <w:vAlign w:val="bottom"/>
          </w:tcPr>
          <w:p w14:paraId="0B22F24E" w14:textId="77777777" w:rsidR="005C5D01" w:rsidRPr="006E00AF" w:rsidRDefault="005C5D01" w:rsidP="005B4D82">
            <w:pPr>
              <w:rPr>
                <w:rFonts w:cstheme="minorHAnsi"/>
                <w:color w:val="000000"/>
                <w:sz w:val="18"/>
                <w:szCs w:val="18"/>
              </w:rPr>
            </w:pPr>
            <w:r w:rsidRPr="006E00AF">
              <w:rPr>
                <w:rFonts w:cstheme="minorHAnsi"/>
                <w:color w:val="000000"/>
                <w:sz w:val="18"/>
                <w:szCs w:val="18"/>
              </w:rPr>
              <w:t>0.24 [0.2 - 0.3]</w:t>
            </w:r>
          </w:p>
        </w:tc>
      </w:tr>
      <w:tr w:rsidR="005C5D01" w:rsidRPr="006E00AF" w14:paraId="6AEC5A8A" w14:textId="77777777" w:rsidTr="005B4D82">
        <w:tc>
          <w:tcPr>
            <w:tcW w:w="6295" w:type="dxa"/>
            <w:vAlign w:val="bottom"/>
          </w:tcPr>
          <w:p w14:paraId="28B78E8D" w14:textId="77777777" w:rsidR="005C5D01" w:rsidRPr="006E00AF" w:rsidRDefault="005C5D01" w:rsidP="005B4D82">
            <w:pPr>
              <w:rPr>
                <w:rFonts w:cstheme="minorHAnsi"/>
                <w:color w:val="000000"/>
                <w:sz w:val="18"/>
                <w:szCs w:val="18"/>
              </w:rPr>
            </w:pPr>
            <w:r w:rsidRPr="006E00AF">
              <w:rPr>
                <w:rFonts w:cstheme="minorHAnsi"/>
                <w:color w:val="000000"/>
                <w:sz w:val="18"/>
                <w:szCs w:val="18"/>
              </w:rPr>
              <w:t xml:space="preserve">   Congenital syphilis</w:t>
            </w:r>
          </w:p>
        </w:tc>
        <w:tc>
          <w:tcPr>
            <w:tcW w:w="1710" w:type="dxa"/>
            <w:vAlign w:val="bottom"/>
          </w:tcPr>
          <w:p w14:paraId="24E471BE" w14:textId="77777777" w:rsidR="005C5D01" w:rsidRPr="006E00AF" w:rsidRDefault="005C5D01" w:rsidP="005B4D82">
            <w:pPr>
              <w:rPr>
                <w:rFonts w:cstheme="minorHAnsi"/>
                <w:color w:val="000000"/>
                <w:sz w:val="18"/>
                <w:szCs w:val="18"/>
              </w:rPr>
            </w:pPr>
            <w:r w:rsidRPr="006E00AF">
              <w:rPr>
                <w:rFonts w:cstheme="minorHAnsi"/>
                <w:color w:val="000000"/>
                <w:sz w:val="18"/>
                <w:szCs w:val="18"/>
              </w:rPr>
              <w:t>0.12 [0.1 - 0.3]</w:t>
            </w:r>
          </w:p>
        </w:tc>
      </w:tr>
    </w:tbl>
    <w:p w14:paraId="085A5C25" w14:textId="77777777" w:rsidR="005C5D01" w:rsidRDefault="005C5D01" w:rsidP="005C5D01">
      <w:pPr>
        <w:rPr>
          <w:b/>
          <w:bCs/>
        </w:rPr>
      </w:pPr>
    </w:p>
    <w:p w14:paraId="7A353489" w14:textId="12DBD174" w:rsidR="005C5D01" w:rsidRDefault="005C5D01" w:rsidP="005C5D01">
      <w:pPr>
        <w:rPr>
          <w:b/>
          <w:bCs/>
          <w:i/>
          <w:iCs/>
        </w:rPr>
      </w:pPr>
      <w:r>
        <w:rPr>
          <w:b/>
          <w:bCs/>
          <w:i/>
          <w:iCs/>
        </w:rPr>
        <w:t>Results</w:t>
      </w:r>
    </w:p>
    <w:p w14:paraId="0D8D9C3C" w14:textId="783DE989" w:rsidR="005C5D01" w:rsidRPr="005C5D01" w:rsidRDefault="005C5D01" w:rsidP="005C5D01">
      <w:pPr>
        <w:rPr>
          <w:i/>
          <w:iCs/>
        </w:rPr>
      </w:pPr>
      <w:r w:rsidRPr="005C5D01">
        <w:rPr>
          <w:i/>
          <w:iCs/>
        </w:rPr>
        <w:t>Aggregated QALY loss due to syphilis</w:t>
      </w:r>
    </w:p>
    <w:p w14:paraId="0CAF6465" w14:textId="77777777" w:rsidR="005C5D01" w:rsidRDefault="005C5D01" w:rsidP="005C5D01">
      <w:r>
        <w:t xml:space="preserve">We first calculated </w:t>
      </w:r>
      <w:proofErr w:type="gramStart"/>
      <w:r>
        <w:t>age-specific</w:t>
      </w:r>
      <w:proofErr w:type="gramEnd"/>
      <w:r>
        <w:t xml:space="preserve"> QALY losses (median age of an age bucket) and weighted them based on the proportion of total syphilis cases accounted by each age group.</w:t>
      </w:r>
    </w:p>
    <w:tbl>
      <w:tblPr>
        <w:tblStyle w:val="TableGrid"/>
        <w:tblW w:w="9350" w:type="dxa"/>
        <w:tblLayout w:type="fixed"/>
        <w:tblLook w:val="04A0" w:firstRow="1" w:lastRow="0" w:firstColumn="1" w:lastColumn="0" w:noHBand="0" w:noVBand="1"/>
      </w:tblPr>
      <w:tblGrid>
        <w:gridCol w:w="1165"/>
        <w:gridCol w:w="967"/>
        <w:gridCol w:w="1001"/>
        <w:gridCol w:w="1182"/>
        <w:gridCol w:w="1007"/>
        <w:gridCol w:w="1007"/>
        <w:gridCol w:w="1007"/>
        <w:gridCol w:w="1007"/>
        <w:gridCol w:w="1007"/>
      </w:tblGrid>
      <w:tr w:rsidR="005C5D01" w:rsidRPr="00FF25CD" w14:paraId="5B768AE6" w14:textId="77777777" w:rsidTr="005B4D82">
        <w:tc>
          <w:tcPr>
            <w:tcW w:w="1165" w:type="dxa"/>
          </w:tcPr>
          <w:p w14:paraId="3FAB2BD1" w14:textId="77777777" w:rsidR="005C5D01" w:rsidRPr="00FF25CD" w:rsidRDefault="005C5D01" w:rsidP="005B4D82">
            <w:pPr>
              <w:rPr>
                <w:rFonts w:ascii="Calibri" w:hAnsi="Calibri" w:cs="Calibri"/>
                <w:sz w:val="20"/>
                <w:szCs w:val="20"/>
              </w:rPr>
            </w:pPr>
          </w:p>
        </w:tc>
        <w:tc>
          <w:tcPr>
            <w:tcW w:w="3150" w:type="dxa"/>
            <w:gridSpan w:val="3"/>
          </w:tcPr>
          <w:p w14:paraId="24BCC273" w14:textId="77777777" w:rsidR="005C5D01" w:rsidRPr="00FF25CD" w:rsidRDefault="005C5D01" w:rsidP="005B4D82">
            <w:pPr>
              <w:jc w:val="center"/>
              <w:rPr>
                <w:rFonts w:ascii="Calibri" w:hAnsi="Calibri" w:cs="Calibri"/>
                <w:b/>
                <w:bCs/>
                <w:sz w:val="20"/>
                <w:szCs w:val="20"/>
              </w:rPr>
            </w:pPr>
            <w:r w:rsidRPr="00FF25CD">
              <w:rPr>
                <w:rFonts w:ascii="Calibri" w:hAnsi="Calibri" w:cs="Calibri"/>
                <w:b/>
                <w:bCs/>
                <w:sz w:val="20"/>
                <w:szCs w:val="20"/>
              </w:rPr>
              <w:t>Weight</w:t>
            </w:r>
          </w:p>
        </w:tc>
        <w:tc>
          <w:tcPr>
            <w:tcW w:w="5035" w:type="dxa"/>
            <w:gridSpan w:val="5"/>
          </w:tcPr>
          <w:p w14:paraId="787C813A" w14:textId="77777777" w:rsidR="005C5D01" w:rsidRPr="00FF25CD" w:rsidRDefault="005C5D01" w:rsidP="005B4D82">
            <w:pPr>
              <w:jc w:val="center"/>
              <w:rPr>
                <w:rFonts w:ascii="Calibri" w:hAnsi="Calibri" w:cs="Calibri"/>
                <w:b/>
                <w:bCs/>
                <w:sz w:val="20"/>
                <w:szCs w:val="20"/>
              </w:rPr>
            </w:pPr>
            <w:r w:rsidRPr="00FF25CD">
              <w:rPr>
                <w:rFonts w:ascii="Calibri" w:hAnsi="Calibri" w:cs="Calibri"/>
                <w:b/>
                <w:bCs/>
                <w:sz w:val="20"/>
                <w:szCs w:val="20"/>
              </w:rPr>
              <w:t>QALY Loss</w:t>
            </w:r>
          </w:p>
        </w:tc>
      </w:tr>
      <w:tr w:rsidR="005C5D01" w:rsidRPr="00FF25CD" w14:paraId="182227CD" w14:textId="77777777" w:rsidTr="005B4D82">
        <w:tc>
          <w:tcPr>
            <w:tcW w:w="1165" w:type="dxa"/>
          </w:tcPr>
          <w:p w14:paraId="6DBB8B12" w14:textId="77777777" w:rsidR="005C5D01" w:rsidRPr="00FF25CD" w:rsidRDefault="005C5D01" w:rsidP="005B4D82">
            <w:pPr>
              <w:rPr>
                <w:rFonts w:ascii="Calibri" w:hAnsi="Calibri" w:cs="Calibri"/>
                <w:sz w:val="20"/>
                <w:szCs w:val="20"/>
              </w:rPr>
            </w:pPr>
          </w:p>
        </w:tc>
        <w:tc>
          <w:tcPr>
            <w:tcW w:w="967" w:type="dxa"/>
            <w:shd w:val="clear" w:color="auto" w:fill="DEEAF6" w:themeFill="accent1" w:themeFillTint="33"/>
          </w:tcPr>
          <w:p w14:paraId="4ED3127F"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 of syphilis cases* (Male)</w:t>
            </w:r>
          </w:p>
        </w:tc>
        <w:tc>
          <w:tcPr>
            <w:tcW w:w="1001" w:type="dxa"/>
            <w:shd w:val="clear" w:color="auto" w:fill="FBE4D5" w:themeFill="accent2" w:themeFillTint="33"/>
          </w:tcPr>
          <w:p w14:paraId="12796DC7"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 of syphilis cases*</w:t>
            </w:r>
          </w:p>
          <w:p w14:paraId="57752463"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(Female)</w:t>
            </w:r>
          </w:p>
        </w:tc>
        <w:tc>
          <w:tcPr>
            <w:tcW w:w="1182" w:type="dxa"/>
            <w:shd w:val="clear" w:color="auto" w:fill="FBE4D5" w:themeFill="accent2" w:themeFillTint="33"/>
          </w:tcPr>
          <w:p w14:paraId="4401D38A"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Prevalence of pregnancy</w:t>
            </w:r>
            <w:r>
              <w:rPr>
                <w:rFonts w:ascii="Calibri" w:hAnsi="Calibri" w:cs="Calibri"/>
                <w:sz w:val="20"/>
                <w:szCs w:val="20"/>
              </w:rPr>
              <w:t xml:space="preserve"> (%)</w:t>
            </w:r>
          </w:p>
        </w:tc>
        <w:tc>
          <w:tcPr>
            <w:tcW w:w="1007" w:type="dxa"/>
            <w:shd w:val="clear" w:color="auto" w:fill="DEEAF6" w:themeFill="accent1" w:themeFillTint="33"/>
          </w:tcPr>
          <w:p w14:paraId="151D2C5A"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MSW</w:t>
            </w:r>
          </w:p>
        </w:tc>
        <w:tc>
          <w:tcPr>
            <w:tcW w:w="1007" w:type="dxa"/>
            <w:shd w:val="clear" w:color="auto" w:fill="DEEAF6" w:themeFill="accent1" w:themeFillTint="33"/>
          </w:tcPr>
          <w:p w14:paraId="1B3B3CA8"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MSM</w:t>
            </w:r>
          </w:p>
        </w:tc>
        <w:tc>
          <w:tcPr>
            <w:tcW w:w="1007" w:type="dxa"/>
            <w:shd w:val="clear" w:color="auto" w:fill="FBE4D5" w:themeFill="accent2" w:themeFillTint="33"/>
          </w:tcPr>
          <w:p w14:paraId="4A92C934"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Non-pregnant women</w:t>
            </w:r>
          </w:p>
        </w:tc>
        <w:tc>
          <w:tcPr>
            <w:tcW w:w="1007" w:type="dxa"/>
            <w:shd w:val="clear" w:color="auto" w:fill="FBE4D5" w:themeFill="accent2" w:themeFillTint="33"/>
          </w:tcPr>
          <w:p w14:paraId="7C3DB75D"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Pregnant women</w:t>
            </w:r>
          </w:p>
        </w:tc>
        <w:tc>
          <w:tcPr>
            <w:tcW w:w="1007" w:type="dxa"/>
            <w:shd w:val="clear" w:color="auto" w:fill="FBE4D5" w:themeFill="accent2" w:themeFillTint="33"/>
          </w:tcPr>
          <w:p w14:paraId="66B06511"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Weighted average among women</w:t>
            </w:r>
          </w:p>
        </w:tc>
      </w:tr>
      <w:tr w:rsidR="005C5D01" w:rsidRPr="00FF25CD" w14:paraId="3CD515DA" w14:textId="77777777" w:rsidTr="005B4D82">
        <w:tc>
          <w:tcPr>
            <w:tcW w:w="1165" w:type="dxa"/>
          </w:tcPr>
          <w:p w14:paraId="715DA927"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0-4</w:t>
            </w:r>
          </w:p>
        </w:tc>
        <w:tc>
          <w:tcPr>
            <w:tcW w:w="967" w:type="dxa"/>
            <w:vAlign w:val="bottom"/>
          </w:tcPr>
          <w:p w14:paraId="312F3A86"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0.00</w:t>
            </w:r>
          </w:p>
        </w:tc>
        <w:tc>
          <w:tcPr>
            <w:tcW w:w="1001" w:type="dxa"/>
            <w:vAlign w:val="bottom"/>
          </w:tcPr>
          <w:p w14:paraId="7BE4FC2B"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0.13</w:t>
            </w:r>
          </w:p>
        </w:tc>
        <w:tc>
          <w:tcPr>
            <w:tcW w:w="1182" w:type="dxa"/>
          </w:tcPr>
          <w:p w14:paraId="1AAB077E"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0.00</w:t>
            </w:r>
          </w:p>
        </w:tc>
        <w:tc>
          <w:tcPr>
            <w:tcW w:w="1007" w:type="dxa"/>
            <w:vAlign w:val="center"/>
          </w:tcPr>
          <w:p w14:paraId="2E4B28A4"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3.166</w:t>
            </w:r>
          </w:p>
        </w:tc>
        <w:tc>
          <w:tcPr>
            <w:tcW w:w="1007" w:type="dxa"/>
            <w:vAlign w:val="center"/>
          </w:tcPr>
          <w:p w14:paraId="1462FA71"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3.115</w:t>
            </w:r>
          </w:p>
        </w:tc>
        <w:tc>
          <w:tcPr>
            <w:tcW w:w="1007" w:type="dxa"/>
            <w:vAlign w:val="center"/>
          </w:tcPr>
          <w:p w14:paraId="342E72E1"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3.361</w:t>
            </w:r>
          </w:p>
        </w:tc>
        <w:tc>
          <w:tcPr>
            <w:tcW w:w="1007" w:type="dxa"/>
            <w:vAlign w:val="center"/>
          </w:tcPr>
          <w:p w14:paraId="74F9F38F" w14:textId="77777777" w:rsidR="005C5D01" w:rsidRPr="00912A48" w:rsidRDefault="005C5D01" w:rsidP="005B4D82">
            <w:pPr>
              <w:rPr>
                <w:rFonts w:ascii="Calibri" w:hAnsi="Calibri" w:cs="Calibri"/>
                <w:color w:val="D0CECE" w:themeColor="background2" w:themeShade="E6"/>
                <w:sz w:val="20"/>
                <w:szCs w:val="20"/>
              </w:rPr>
            </w:pPr>
            <w:r w:rsidRPr="00912A48">
              <w:rPr>
                <w:rFonts w:ascii="Calibri" w:hAnsi="Calibri" w:cs="Calibri"/>
                <w:color w:val="D0CECE" w:themeColor="background2" w:themeShade="E6"/>
                <w:sz w:val="20"/>
                <w:szCs w:val="20"/>
              </w:rPr>
              <w:t>0.960</w:t>
            </w:r>
          </w:p>
        </w:tc>
        <w:tc>
          <w:tcPr>
            <w:tcW w:w="1007" w:type="dxa"/>
            <w:vAlign w:val="center"/>
          </w:tcPr>
          <w:p w14:paraId="34019C47"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3.361</w:t>
            </w:r>
          </w:p>
        </w:tc>
      </w:tr>
      <w:tr w:rsidR="005C5D01" w:rsidRPr="00FF25CD" w14:paraId="50661958" w14:textId="77777777" w:rsidTr="005B4D82">
        <w:tc>
          <w:tcPr>
            <w:tcW w:w="1165" w:type="dxa"/>
          </w:tcPr>
          <w:p w14:paraId="55B41FAA"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5-9</w:t>
            </w:r>
          </w:p>
        </w:tc>
        <w:tc>
          <w:tcPr>
            <w:tcW w:w="967" w:type="dxa"/>
            <w:vAlign w:val="bottom"/>
          </w:tcPr>
          <w:p w14:paraId="7A2FA3EE"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0.00</w:t>
            </w:r>
          </w:p>
        </w:tc>
        <w:tc>
          <w:tcPr>
            <w:tcW w:w="1001" w:type="dxa"/>
            <w:vAlign w:val="bottom"/>
          </w:tcPr>
          <w:p w14:paraId="10B0E63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0.03</w:t>
            </w:r>
          </w:p>
        </w:tc>
        <w:tc>
          <w:tcPr>
            <w:tcW w:w="1182" w:type="dxa"/>
          </w:tcPr>
          <w:p w14:paraId="6D7D608A"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0.00</w:t>
            </w:r>
          </w:p>
        </w:tc>
        <w:tc>
          <w:tcPr>
            <w:tcW w:w="1007" w:type="dxa"/>
            <w:vAlign w:val="center"/>
          </w:tcPr>
          <w:p w14:paraId="7DED78AD" w14:textId="77777777" w:rsidR="005C5D01" w:rsidRPr="00FF25CD" w:rsidRDefault="005C5D01" w:rsidP="005B4D82">
            <w:pPr>
              <w:rPr>
                <w:rFonts w:ascii="Calibri" w:hAnsi="Calibri" w:cs="Calibri"/>
                <w:color w:val="BFBFBF" w:themeColor="background1" w:themeShade="BF"/>
                <w:sz w:val="20"/>
                <w:szCs w:val="20"/>
              </w:rPr>
            </w:pPr>
            <w:r w:rsidRPr="00FF25CD">
              <w:rPr>
                <w:rFonts w:ascii="Calibri" w:hAnsi="Calibri" w:cs="Calibri"/>
                <w:color w:val="BFBFBF" w:themeColor="background1" w:themeShade="BF"/>
                <w:sz w:val="20"/>
                <w:szCs w:val="20"/>
              </w:rPr>
              <w:t>2.939</w:t>
            </w:r>
          </w:p>
        </w:tc>
        <w:tc>
          <w:tcPr>
            <w:tcW w:w="1007" w:type="dxa"/>
            <w:vAlign w:val="center"/>
          </w:tcPr>
          <w:p w14:paraId="1A3B9071"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2.892</w:t>
            </w:r>
          </w:p>
        </w:tc>
        <w:tc>
          <w:tcPr>
            <w:tcW w:w="1007" w:type="dxa"/>
            <w:vAlign w:val="center"/>
          </w:tcPr>
          <w:p w14:paraId="7A2101CF"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3.133</w:t>
            </w:r>
          </w:p>
        </w:tc>
        <w:tc>
          <w:tcPr>
            <w:tcW w:w="1007" w:type="dxa"/>
            <w:vAlign w:val="center"/>
          </w:tcPr>
          <w:p w14:paraId="5F4F5C55" w14:textId="77777777" w:rsidR="005C5D01" w:rsidRPr="00912A48" w:rsidRDefault="005C5D01" w:rsidP="005B4D82">
            <w:pPr>
              <w:rPr>
                <w:rFonts w:ascii="Calibri" w:hAnsi="Calibri" w:cs="Calibri"/>
                <w:color w:val="D0CECE" w:themeColor="background2" w:themeShade="E6"/>
                <w:sz w:val="20"/>
                <w:szCs w:val="20"/>
              </w:rPr>
            </w:pPr>
            <w:r w:rsidRPr="00912A48">
              <w:rPr>
                <w:rFonts w:ascii="Calibri" w:hAnsi="Calibri" w:cs="Calibri"/>
                <w:color w:val="D0CECE" w:themeColor="background2" w:themeShade="E6"/>
                <w:sz w:val="20"/>
                <w:szCs w:val="20"/>
              </w:rPr>
              <w:t>0.896</w:t>
            </w:r>
          </w:p>
        </w:tc>
        <w:tc>
          <w:tcPr>
            <w:tcW w:w="1007" w:type="dxa"/>
            <w:vAlign w:val="center"/>
          </w:tcPr>
          <w:p w14:paraId="029605B8"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3.133</w:t>
            </w:r>
          </w:p>
        </w:tc>
      </w:tr>
      <w:tr w:rsidR="005C5D01" w:rsidRPr="00FF25CD" w14:paraId="589865D9" w14:textId="77777777" w:rsidTr="005B4D82">
        <w:tc>
          <w:tcPr>
            <w:tcW w:w="1165" w:type="dxa"/>
          </w:tcPr>
          <w:p w14:paraId="77E712F8"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10-14</w:t>
            </w:r>
          </w:p>
        </w:tc>
        <w:tc>
          <w:tcPr>
            <w:tcW w:w="967" w:type="dxa"/>
            <w:vAlign w:val="bottom"/>
          </w:tcPr>
          <w:p w14:paraId="76CFA84E"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0.02</w:t>
            </w:r>
          </w:p>
        </w:tc>
        <w:tc>
          <w:tcPr>
            <w:tcW w:w="1001" w:type="dxa"/>
            <w:vAlign w:val="bottom"/>
          </w:tcPr>
          <w:p w14:paraId="1778AE0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0.38</w:t>
            </w:r>
          </w:p>
        </w:tc>
        <w:tc>
          <w:tcPr>
            <w:tcW w:w="1182" w:type="dxa"/>
          </w:tcPr>
          <w:p w14:paraId="0BB9E9FD"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0.04</w:t>
            </w:r>
          </w:p>
        </w:tc>
        <w:tc>
          <w:tcPr>
            <w:tcW w:w="1007" w:type="dxa"/>
            <w:vAlign w:val="center"/>
          </w:tcPr>
          <w:p w14:paraId="76524A66"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2.720</w:t>
            </w:r>
          </w:p>
        </w:tc>
        <w:tc>
          <w:tcPr>
            <w:tcW w:w="1007" w:type="dxa"/>
            <w:vAlign w:val="center"/>
          </w:tcPr>
          <w:p w14:paraId="4DFD33C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2.667</w:t>
            </w:r>
          </w:p>
        </w:tc>
        <w:tc>
          <w:tcPr>
            <w:tcW w:w="1007" w:type="dxa"/>
            <w:vAlign w:val="center"/>
          </w:tcPr>
          <w:p w14:paraId="05B905F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2.904</w:t>
            </w:r>
          </w:p>
        </w:tc>
        <w:tc>
          <w:tcPr>
            <w:tcW w:w="1007" w:type="dxa"/>
            <w:vAlign w:val="center"/>
          </w:tcPr>
          <w:p w14:paraId="2627451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0.832</w:t>
            </w:r>
          </w:p>
        </w:tc>
        <w:tc>
          <w:tcPr>
            <w:tcW w:w="1007" w:type="dxa"/>
            <w:shd w:val="clear" w:color="auto" w:fill="auto"/>
            <w:vAlign w:val="center"/>
          </w:tcPr>
          <w:p w14:paraId="4B92C4E5"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2.903</w:t>
            </w:r>
          </w:p>
        </w:tc>
      </w:tr>
      <w:tr w:rsidR="005C5D01" w:rsidRPr="00FF25CD" w14:paraId="7A24067D" w14:textId="77777777" w:rsidTr="005B4D82">
        <w:tc>
          <w:tcPr>
            <w:tcW w:w="1165" w:type="dxa"/>
          </w:tcPr>
          <w:p w14:paraId="69881BCF"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15-19</w:t>
            </w:r>
          </w:p>
        </w:tc>
        <w:tc>
          <w:tcPr>
            <w:tcW w:w="967" w:type="dxa"/>
            <w:vAlign w:val="bottom"/>
          </w:tcPr>
          <w:p w14:paraId="259FB63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4.06</w:t>
            </w:r>
          </w:p>
        </w:tc>
        <w:tc>
          <w:tcPr>
            <w:tcW w:w="1001" w:type="dxa"/>
            <w:vAlign w:val="bottom"/>
          </w:tcPr>
          <w:p w14:paraId="7B1DD934"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8.79</w:t>
            </w:r>
          </w:p>
        </w:tc>
        <w:tc>
          <w:tcPr>
            <w:tcW w:w="1182" w:type="dxa"/>
          </w:tcPr>
          <w:p w14:paraId="4322AACF"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11.03</w:t>
            </w:r>
          </w:p>
        </w:tc>
        <w:tc>
          <w:tcPr>
            <w:tcW w:w="1007" w:type="dxa"/>
            <w:vAlign w:val="center"/>
          </w:tcPr>
          <w:p w14:paraId="23FF980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2.485</w:t>
            </w:r>
          </w:p>
        </w:tc>
        <w:tc>
          <w:tcPr>
            <w:tcW w:w="1007" w:type="dxa"/>
            <w:vAlign w:val="center"/>
          </w:tcPr>
          <w:p w14:paraId="1F78DDD3"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2.445</w:t>
            </w:r>
          </w:p>
        </w:tc>
        <w:tc>
          <w:tcPr>
            <w:tcW w:w="1007" w:type="dxa"/>
            <w:vAlign w:val="center"/>
          </w:tcPr>
          <w:p w14:paraId="7AE2BCD8"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2.676</w:t>
            </w:r>
          </w:p>
        </w:tc>
        <w:tc>
          <w:tcPr>
            <w:tcW w:w="1007" w:type="dxa"/>
            <w:vAlign w:val="center"/>
          </w:tcPr>
          <w:p w14:paraId="67739876"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0.768</w:t>
            </w:r>
          </w:p>
        </w:tc>
        <w:tc>
          <w:tcPr>
            <w:tcW w:w="1007" w:type="dxa"/>
            <w:shd w:val="clear" w:color="auto" w:fill="auto"/>
            <w:vAlign w:val="center"/>
          </w:tcPr>
          <w:p w14:paraId="58ACD995"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2.466</w:t>
            </w:r>
          </w:p>
        </w:tc>
      </w:tr>
      <w:tr w:rsidR="005C5D01" w:rsidRPr="00FF25CD" w14:paraId="7A4427A3" w14:textId="77777777" w:rsidTr="005B4D82">
        <w:tc>
          <w:tcPr>
            <w:tcW w:w="1165" w:type="dxa"/>
          </w:tcPr>
          <w:p w14:paraId="5319CFB0"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20-24</w:t>
            </w:r>
          </w:p>
        </w:tc>
        <w:tc>
          <w:tcPr>
            <w:tcW w:w="967" w:type="dxa"/>
            <w:vAlign w:val="bottom"/>
          </w:tcPr>
          <w:p w14:paraId="20416A88"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17.59</w:t>
            </w:r>
          </w:p>
        </w:tc>
        <w:tc>
          <w:tcPr>
            <w:tcW w:w="1001" w:type="dxa"/>
            <w:vAlign w:val="bottom"/>
          </w:tcPr>
          <w:p w14:paraId="08A0A3D9"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22.78</w:t>
            </w:r>
          </w:p>
        </w:tc>
        <w:tc>
          <w:tcPr>
            <w:tcW w:w="1182" w:type="dxa"/>
          </w:tcPr>
          <w:p w14:paraId="15BA7767"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11.03</w:t>
            </w:r>
          </w:p>
        </w:tc>
        <w:tc>
          <w:tcPr>
            <w:tcW w:w="1007" w:type="dxa"/>
            <w:vAlign w:val="center"/>
          </w:tcPr>
          <w:p w14:paraId="2D836D68"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2.269</w:t>
            </w:r>
          </w:p>
        </w:tc>
        <w:tc>
          <w:tcPr>
            <w:tcW w:w="1007" w:type="dxa"/>
            <w:vAlign w:val="center"/>
          </w:tcPr>
          <w:p w14:paraId="2608F118"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2.232</w:t>
            </w:r>
          </w:p>
        </w:tc>
        <w:tc>
          <w:tcPr>
            <w:tcW w:w="1007" w:type="dxa"/>
            <w:vAlign w:val="center"/>
          </w:tcPr>
          <w:p w14:paraId="4015F60B"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2.451</w:t>
            </w:r>
          </w:p>
        </w:tc>
        <w:tc>
          <w:tcPr>
            <w:tcW w:w="1007" w:type="dxa"/>
            <w:vAlign w:val="center"/>
          </w:tcPr>
          <w:p w14:paraId="258CD30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0.705</w:t>
            </w:r>
          </w:p>
        </w:tc>
        <w:tc>
          <w:tcPr>
            <w:tcW w:w="1007" w:type="dxa"/>
            <w:shd w:val="clear" w:color="auto" w:fill="auto"/>
            <w:vAlign w:val="center"/>
          </w:tcPr>
          <w:p w14:paraId="26893F0A"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2.259</w:t>
            </w:r>
          </w:p>
        </w:tc>
      </w:tr>
      <w:tr w:rsidR="005C5D01" w:rsidRPr="00FF25CD" w14:paraId="5BAC0EF9" w14:textId="77777777" w:rsidTr="005B4D82">
        <w:tc>
          <w:tcPr>
            <w:tcW w:w="1165" w:type="dxa"/>
          </w:tcPr>
          <w:p w14:paraId="23B1A395"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25-29</w:t>
            </w:r>
          </w:p>
        </w:tc>
        <w:tc>
          <w:tcPr>
            <w:tcW w:w="967" w:type="dxa"/>
            <w:vAlign w:val="bottom"/>
          </w:tcPr>
          <w:p w14:paraId="70DD5F4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22.44</w:t>
            </w:r>
          </w:p>
        </w:tc>
        <w:tc>
          <w:tcPr>
            <w:tcW w:w="1001" w:type="dxa"/>
            <w:vAlign w:val="bottom"/>
          </w:tcPr>
          <w:p w14:paraId="779CD997"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21.36</w:t>
            </w:r>
          </w:p>
        </w:tc>
        <w:tc>
          <w:tcPr>
            <w:tcW w:w="1182" w:type="dxa"/>
          </w:tcPr>
          <w:p w14:paraId="57547C0D"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15.01</w:t>
            </w:r>
          </w:p>
        </w:tc>
        <w:tc>
          <w:tcPr>
            <w:tcW w:w="1007" w:type="dxa"/>
            <w:vAlign w:val="center"/>
          </w:tcPr>
          <w:p w14:paraId="5F27E4D9"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2.058</w:t>
            </w:r>
          </w:p>
        </w:tc>
        <w:tc>
          <w:tcPr>
            <w:tcW w:w="1007" w:type="dxa"/>
            <w:vAlign w:val="center"/>
          </w:tcPr>
          <w:p w14:paraId="188348C7"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2.025</w:t>
            </w:r>
          </w:p>
        </w:tc>
        <w:tc>
          <w:tcPr>
            <w:tcW w:w="1007" w:type="dxa"/>
            <w:vAlign w:val="center"/>
          </w:tcPr>
          <w:p w14:paraId="7F8BBC00"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2.229</w:t>
            </w:r>
          </w:p>
        </w:tc>
        <w:tc>
          <w:tcPr>
            <w:tcW w:w="1007" w:type="dxa"/>
            <w:vAlign w:val="center"/>
          </w:tcPr>
          <w:p w14:paraId="2EB857AB"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0.642</w:t>
            </w:r>
          </w:p>
        </w:tc>
        <w:tc>
          <w:tcPr>
            <w:tcW w:w="1007" w:type="dxa"/>
            <w:shd w:val="clear" w:color="auto" w:fill="auto"/>
            <w:vAlign w:val="center"/>
          </w:tcPr>
          <w:p w14:paraId="710804C6"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1.991</w:t>
            </w:r>
          </w:p>
        </w:tc>
      </w:tr>
      <w:tr w:rsidR="005C5D01" w:rsidRPr="00FF25CD" w14:paraId="07D51340" w14:textId="77777777" w:rsidTr="005B4D82">
        <w:tc>
          <w:tcPr>
            <w:tcW w:w="1165" w:type="dxa"/>
          </w:tcPr>
          <w:p w14:paraId="72C747C9"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30-34</w:t>
            </w:r>
          </w:p>
        </w:tc>
        <w:tc>
          <w:tcPr>
            <w:tcW w:w="967" w:type="dxa"/>
            <w:vAlign w:val="bottom"/>
          </w:tcPr>
          <w:p w14:paraId="6219E859"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16.04</w:t>
            </w:r>
          </w:p>
        </w:tc>
        <w:tc>
          <w:tcPr>
            <w:tcW w:w="1001" w:type="dxa"/>
            <w:vAlign w:val="bottom"/>
          </w:tcPr>
          <w:p w14:paraId="16F381C4"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14.75</w:t>
            </w:r>
          </w:p>
        </w:tc>
        <w:tc>
          <w:tcPr>
            <w:tcW w:w="1182" w:type="dxa"/>
          </w:tcPr>
          <w:p w14:paraId="16C5F11B"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15.01</w:t>
            </w:r>
          </w:p>
        </w:tc>
        <w:tc>
          <w:tcPr>
            <w:tcW w:w="1007" w:type="dxa"/>
            <w:vAlign w:val="center"/>
          </w:tcPr>
          <w:p w14:paraId="42BF556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1.849</w:t>
            </w:r>
          </w:p>
        </w:tc>
        <w:tc>
          <w:tcPr>
            <w:tcW w:w="1007" w:type="dxa"/>
            <w:vAlign w:val="center"/>
          </w:tcPr>
          <w:p w14:paraId="413D0E6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1.819</w:t>
            </w:r>
          </w:p>
        </w:tc>
        <w:tc>
          <w:tcPr>
            <w:tcW w:w="1007" w:type="dxa"/>
            <w:vAlign w:val="center"/>
          </w:tcPr>
          <w:p w14:paraId="5E5ECDD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2.009</w:t>
            </w:r>
          </w:p>
        </w:tc>
        <w:tc>
          <w:tcPr>
            <w:tcW w:w="1007" w:type="dxa"/>
            <w:vAlign w:val="center"/>
          </w:tcPr>
          <w:p w14:paraId="760BF9C3"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0.580</w:t>
            </w:r>
          </w:p>
        </w:tc>
        <w:tc>
          <w:tcPr>
            <w:tcW w:w="1007" w:type="dxa"/>
            <w:shd w:val="clear" w:color="auto" w:fill="auto"/>
            <w:vAlign w:val="center"/>
          </w:tcPr>
          <w:p w14:paraId="44799850"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1.794</w:t>
            </w:r>
          </w:p>
        </w:tc>
      </w:tr>
      <w:tr w:rsidR="005C5D01" w:rsidRPr="00FF25CD" w14:paraId="2BF5D6F1" w14:textId="77777777" w:rsidTr="005B4D82">
        <w:tc>
          <w:tcPr>
            <w:tcW w:w="1165" w:type="dxa"/>
          </w:tcPr>
          <w:p w14:paraId="14503E18"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35-39</w:t>
            </w:r>
          </w:p>
        </w:tc>
        <w:tc>
          <w:tcPr>
            <w:tcW w:w="967" w:type="dxa"/>
            <w:vAlign w:val="bottom"/>
          </w:tcPr>
          <w:p w14:paraId="656AC8E7"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11.70</w:t>
            </w:r>
          </w:p>
        </w:tc>
        <w:tc>
          <w:tcPr>
            <w:tcW w:w="1001" w:type="dxa"/>
            <w:vAlign w:val="bottom"/>
          </w:tcPr>
          <w:p w14:paraId="4CAA29DF"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11.58</w:t>
            </w:r>
          </w:p>
        </w:tc>
        <w:tc>
          <w:tcPr>
            <w:tcW w:w="1182" w:type="dxa"/>
          </w:tcPr>
          <w:p w14:paraId="371535B1"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4.79</w:t>
            </w:r>
          </w:p>
        </w:tc>
        <w:tc>
          <w:tcPr>
            <w:tcW w:w="1007" w:type="dxa"/>
            <w:vAlign w:val="center"/>
          </w:tcPr>
          <w:p w14:paraId="43B98D6F"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1.641</w:t>
            </w:r>
          </w:p>
        </w:tc>
        <w:tc>
          <w:tcPr>
            <w:tcW w:w="1007" w:type="dxa"/>
            <w:vAlign w:val="center"/>
          </w:tcPr>
          <w:p w14:paraId="4073B5C3"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1.615</w:t>
            </w:r>
          </w:p>
        </w:tc>
        <w:tc>
          <w:tcPr>
            <w:tcW w:w="1007" w:type="dxa"/>
            <w:vAlign w:val="center"/>
          </w:tcPr>
          <w:p w14:paraId="3210DCE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1.791</w:t>
            </w:r>
          </w:p>
        </w:tc>
        <w:tc>
          <w:tcPr>
            <w:tcW w:w="1007" w:type="dxa"/>
            <w:vAlign w:val="center"/>
          </w:tcPr>
          <w:p w14:paraId="4BF71BF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0.519</w:t>
            </w:r>
          </w:p>
        </w:tc>
        <w:tc>
          <w:tcPr>
            <w:tcW w:w="1007" w:type="dxa"/>
            <w:shd w:val="clear" w:color="auto" w:fill="auto"/>
            <w:vAlign w:val="center"/>
          </w:tcPr>
          <w:p w14:paraId="61F9170A"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1.730</w:t>
            </w:r>
          </w:p>
        </w:tc>
      </w:tr>
      <w:tr w:rsidR="005C5D01" w:rsidRPr="00FF25CD" w14:paraId="766EEEA8" w14:textId="77777777" w:rsidTr="005B4D82">
        <w:tc>
          <w:tcPr>
            <w:tcW w:w="1165" w:type="dxa"/>
          </w:tcPr>
          <w:p w14:paraId="11439C24"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40-44</w:t>
            </w:r>
          </w:p>
        </w:tc>
        <w:tc>
          <w:tcPr>
            <w:tcW w:w="967" w:type="dxa"/>
            <w:vAlign w:val="bottom"/>
          </w:tcPr>
          <w:p w14:paraId="69C9DA9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7.46</w:t>
            </w:r>
          </w:p>
        </w:tc>
        <w:tc>
          <w:tcPr>
            <w:tcW w:w="1001" w:type="dxa"/>
            <w:vAlign w:val="bottom"/>
          </w:tcPr>
          <w:p w14:paraId="7FD3673B"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7.58</w:t>
            </w:r>
          </w:p>
        </w:tc>
        <w:tc>
          <w:tcPr>
            <w:tcW w:w="1182" w:type="dxa"/>
          </w:tcPr>
          <w:p w14:paraId="6C2C5238" w14:textId="77777777" w:rsidR="005C5D01" w:rsidRPr="00FF25CD" w:rsidRDefault="005C5D01" w:rsidP="005B4D82">
            <w:pPr>
              <w:rPr>
                <w:rFonts w:ascii="Calibri" w:hAnsi="Calibri" w:cs="Calibri"/>
                <w:color w:val="000000"/>
                <w:sz w:val="20"/>
                <w:szCs w:val="20"/>
              </w:rPr>
            </w:pPr>
            <w:r>
              <w:rPr>
                <w:rFonts w:ascii="Calibri" w:hAnsi="Calibri" w:cs="Calibri"/>
                <w:color w:val="000000"/>
                <w:sz w:val="20"/>
                <w:szCs w:val="20"/>
              </w:rPr>
              <w:t>4.79</w:t>
            </w:r>
          </w:p>
        </w:tc>
        <w:tc>
          <w:tcPr>
            <w:tcW w:w="1007" w:type="dxa"/>
            <w:vAlign w:val="center"/>
          </w:tcPr>
          <w:p w14:paraId="7B5B1E0F"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1.434</w:t>
            </w:r>
          </w:p>
        </w:tc>
        <w:tc>
          <w:tcPr>
            <w:tcW w:w="1007" w:type="dxa"/>
            <w:vAlign w:val="center"/>
          </w:tcPr>
          <w:p w14:paraId="719D1F0E"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1.411</w:t>
            </w:r>
          </w:p>
        </w:tc>
        <w:tc>
          <w:tcPr>
            <w:tcW w:w="1007" w:type="dxa"/>
            <w:vAlign w:val="center"/>
          </w:tcPr>
          <w:p w14:paraId="33BD54C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1.575</w:t>
            </w:r>
          </w:p>
        </w:tc>
        <w:tc>
          <w:tcPr>
            <w:tcW w:w="1007" w:type="dxa"/>
            <w:vAlign w:val="center"/>
          </w:tcPr>
          <w:p w14:paraId="016AE191"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0.459</w:t>
            </w:r>
          </w:p>
        </w:tc>
        <w:tc>
          <w:tcPr>
            <w:tcW w:w="1007" w:type="dxa"/>
            <w:shd w:val="clear" w:color="auto" w:fill="auto"/>
            <w:vAlign w:val="center"/>
          </w:tcPr>
          <w:p w14:paraId="7C5C27C7"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1.522</w:t>
            </w:r>
          </w:p>
        </w:tc>
      </w:tr>
      <w:tr w:rsidR="005C5D01" w:rsidRPr="00FF25CD" w14:paraId="4A9859FE" w14:textId="77777777" w:rsidTr="005B4D82">
        <w:tc>
          <w:tcPr>
            <w:tcW w:w="1165" w:type="dxa"/>
          </w:tcPr>
          <w:p w14:paraId="18C6A808"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45-54</w:t>
            </w:r>
          </w:p>
        </w:tc>
        <w:tc>
          <w:tcPr>
            <w:tcW w:w="967" w:type="dxa"/>
            <w:vAlign w:val="bottom"/>
          </w:tcPr>
          <w:p w14:paraId="1828FE4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13.96</w:t>
            </w:r>
          </w:p>
        </w:tc>
        <w:tc>
          <w:tcPr>
            <w:tcW w:w="1001" w:type="dxa"/>
            <w:vAlign w:val="bottom"/>
          </w:tcPr>
          <w:p w14:paraId="77AF5BD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8.97</w:t>
            </w:r>
          </w:p>
        </w:tc>
        <w:tc>
          <w:tcPr>
            <w:tcW w:w="1182" w:type="dxa"/>
          </w:tcPr>
          <w:p w14:paraId="1D63C2A4"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BFBFBF" w:themeColor="background1" w:themeShade="BF"/>
                <w:sz w:val="20"/>
                <w:szCs w:val="20"/>
              </w:rPr>
              <w:t>0.00</w:t>
            </w:r>
          </w:p>
        </w:tc>
        <w:tc>
          <w:tcPr>
            <w:tcW w:w="1007" w:type="dxa"/>
            <w:vAlign w:val="center"/>
          </w:tcPr>
          <w:p w14:paraId="172EDE94"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1.113</w:t>
            </w:r>
          </w:p>
        </w:tc>
        <w:tc>
          <w:tcPr>
            <w:tcW w:w="1007" w:type="dxa"/>
            <w:vAlign w:val="center"/>
          </w:tcPr>
          <w:p w14:paraId="7C1D94C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1.095</w:t>
            </w:r>
          </w:p>
        </w:tc>
        <w:tc>
          <w:tcPr>
            <w:tcW w:w="1007" w:type="dxa"/>
            <w:vAlign w:val="center"/>
          </w:tcPr>
          <w:p w14:paraId="15E26FC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1.238</w:t>
            </w:r>
          </w:p>
        </w:tc>
        <w:tc>
          <w:tcPr>
            <w:tcW w:w="1007" w:type="dxa"/>
            <w:vAlign w:val="center"/>
          </w:tcPr>
          <w:p w14:paraId="2AE760D7" w14:textId="77777777" w:rsidR="005C5D01" w:rsidRPr="00912A48" w:rsidRDefault="005C5D01" w:rsidP="005B4D82">
            <w:pPr>
              <w:rPr>
                <w:rFonts w:ascii="Calibri" w:hAnsi="Calibri" w:cs="Calibri"/>
                <w:color w:val="D0CECE" w:themeColor="background2" w:themeShade="E6"/>
                <w:sz w:val="20"/>
                <w:szCs w:val="20"/>
              </w:rPr>
            </w:pPr>
            <w:r w:rsidRPr="00912A48">
              <w:rPr>
                <w:rFonts w:ascii="Calibri" w:hAnsi="Calibri" w:cs="Calibri"/>
                <w:color w:val="D0CECE" w:themeColor="background2" w:themeShade="E6"/>
                <w:sz w:val="20"/>
                <w:szCs w:val="20"/>
              </w:rPr>
              <w:t>0.364</w:t>
            </w:r>
          </w:p>
        </w:tc>
        <w:tc>
          <w:tcPr>
            <w:tcW w:w="1007" w:type="dxa"/>
            <w:vAlign w:val="center"/>
          </w:tcPr>
          <w:p w14:paraId="097AE463"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1.238</w:t>
            </w:r>
          </w:p>
        </w:tc>
      </w:tr>
      <w:tr w:rsidR="005C5D01" w:rsidRPr="00FF25CD" w14:paraId="58792AFC" w14:textId="77777777" w:rsidTr="005B4D82">
        <w:tc>
          <w:tcPr>
            <w:tcW w:w="1165" w:type="dxa"/>
          </w:tcPr>
          <w:p w14:paraId="51C14FAC"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55-64</w:t>
            </w:r>
          </w:p>
        </w:tc>
        <w:tc>
          <w:tcPr>
            <w:tcW w:w="967" w:type="dxa"/>
            <w:vAlign w:val="bottom"/>
          </w:tcPr>
          <w:p w14:paraId="001A50A1"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5.46</w:t>
            </w:r>
          </w:p>
        </w:tc>
        <w:tc>
          <w:tcPr>
            <w:tcW w:w="1001" w:type="dxa"/>
            <w:vAlign w:val="bottom"/>
          </w:tcPr>
          <w:p w14:paraId="0C93ED7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3.14</w:t>
            </w:r>
          </w:p>
        </w:tc>
        <w:tc>
          <w:tcPr>
            <w:tcW w:w="1182" w:type="dxa"/>
          </w:tcPr>
          <w:p w14:paraId="220A5BFB"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BFBFBF" w:themeColor="background1" w:themeShade="BF"/>
                <w:sz w:val="20"/>
                <w:szCs w:val="20"/>
              </w:rPr>
              <w:t>0.00</w:t>
            </w:r>
          </w:p>
        </w:tc>
        <w:tc>
          <w:tcPr>
            <w:tcW w:w="1007" w:type="dxa"/>
            <w:vAlign w:val="center"/>
          </w:tcPr>
          <w:p w14:paraId="02777B4D"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0.920</w:t>
            </w:r>
          </w:p>
        </w:tc>
        <w:tc>
          <w:tcPr>
            <w:tcW w:w="1007" w:type="dxa"/>
            <w:vAlign w:val="center"/>
          </w:tcPr>
          <w:p w14:paraId="3CC1FC5F"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0.731</w:t>
            </w:r>
          </w:p>
        </w:tc>
        <w:tc>
          <w:tcPr>
            <w:tcW w:w="1007" w:type="dxa"/>
            <w:vAlign w:val="center"/>
          </w:tcPr>
          <w:p w14:paraId="78FB9DF7"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0.839</w:t>
            </w:r>
          </w:p>
        </w:tc>
        <w:tc>
          <w:tcPr>
            <w:tcW w:w="1007" w:type="dxa"/>
            <w:vAlign w:val="center"/>
          </w:tcPr>
          <w:p w14:paraId="67E816E5" w14:textId="77777777" w:rsidR="005C5D01" w:rsidRPr="00912A48" w:rsidRDefault="005C5D01" w:rsidP="005B4D82">
            <w:pPr>
              <w:rPr>
                <w:rFonts w:ascii="Calibri" w:hAnsi="Calibri" w:cs="Calibri"/>
                <w:color w:val="D0CECE" w:themeColor="background2" w:themeShade="E6"/>
                <w:sz w:val="20"/>
                <w:szCs w:val="20"/>
              </w:rPr>
            </w:pPr>
            <w:r w:rsidRPr="00912A48">
              <w:rPr>
                <w:rFonts w:ascii="Calibri" w:hAnsi="Calibri" w:cs="Calibri"/>
                <w:color w:val="D0CECE" w:themeColor="background2" w:themeShade="E6"/>
                <w:sz w:val="20"/>
                <w:szCs w:val="20"/>
              </w:rPr>
              <w:t>0.252</w:t>
            </w:r>
          </w:p>
        </w:tc>
        <w:tc>
          <w:tcPr>
            <w:tcW w:w="1007" w:type="dxa"/>
            <w:vAlign w:val="center"/>
          </w:tcPr>
          <w:p w14:paraId="4DC34D4C"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0.839</w:t>
            </w:r>
          </w:p>
        </w:tc>
      </w:tr>
      <w:tr w:rsidR="005C5D01" w:rsidRPr="00FF25CD" w14:paraId="57426E6F" w14:textId="77777777" w:rsidTr="005B4D82">
        <w:tc>
          <w:tcPr>
            <w:tcW w:w="1165" w:type="dxa"/>
          </w:tcPr>
          <w:p w14:paraId="3B72DF3D"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65+</w:t>
            </w:r>
          </w:p>
        </w:tc>
        <w:tc>
          <w:tcPr>
            <w:tcW w:w="967" w:type="dxa"/>
            <w:vAlign w:val="bottom"/>
          </w:tcPr>
          <w:p w14:paraId="40EAEAE5"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1.22</w:t>
            </w:r>
          </w:p>
        </w:tc>
        <w:tc>
          <w:tcPr>
            <w:tcW w:w="1001" w:type="dxa"/>
            <w:vAlign w:val="bottom"/>
          </w:tcPr>
          <w:p w14:paraId="0F4234D4"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0.51</w:t>
            </w:r>
          </w:p>
        </w:tc>
        <w:tc>
          <w:tcPr>
            <w:tcW w:w="1182" w:type="dxa"/>
          </w:tcPr>
          <w:p w14:paraId="79F15020" w14:textId="77777777" w:rsidR="005C5D01" w:rsidRPr="00FF25CD" w:rsidRDefault="005C5D01" w:rsidP="005B4D82">
            <w:pPr>
              <w:rPr>
                <w:rFonts w:ascii="Calibri" w:hAnsi="Calibri" w:cs="Calibri"/>
                <w:sz w:val="20"/>
                <w:szCs w:val="20"/>
              </w:rPr>
            </w:pPr>
            <w:r w:rsidRPr="00FF25CD">
              <w:rPr>
                <w:rFonts w:ascii="Calibri" w:hAnsi="Calibri" w:cs="Calibri"/>
                <w:color w:val="BFBFBF" w:themeColor="background1" w:themeShade="BF"/>
                <w:sz w:val="20"/>
                <w:szCs w:val="20"/>
              </w:rPr>
              <w:t>0.00</w:t>
            </w:r>
          </w:p>
        </w:tc>
        <w:tc>
          <w:tcPr>
            <w:tcW w:w="1007" w:type="dxa"/>
          </w:tcPr>
          <w:p w14:paraId="399BD4C9" w14:textId="77777777" w:rsidR="005C5D01" w:rsidRPr="00FF25CD" w:rsidRDefault="005C5D01" w:rsidP="005B4D82">
            <w:pPr>
              <w:rPr>
                <w:rFonts w:ascii="Calibri" w:hAnsi="Calibri" w:cs="Calibri"/>
                <w:sz w:val="20"/>
                <w:szCs w:val="20"/>
              </w:rPr>
            </w:pPr>
            <w:r w:rsidRPr="00FF25CD">
              <w:rPr>
                <w:rFonts w:ascii="Calibri" w:hAnsi="Calibri" w:cs="Calibri"/>
                <w:sz w:val="20"/>
                <w:szCs w:val="20"/>
              </w:rPr>
              <w:t>0.25</w:t>
            </w:r>
            <w:r>
              <w:rPr>
                <w:rFonts w:ascii="Calibri" w:hAnsi="Calibri" w:cs="Calibri"/>
                <w:sz w:val="20"/>
                <w:szCs w:val="20"/>
              </w:rPr>
              <w:t>7</w:t>
            </w:r>
          </w:p>
        </w:tc>
        <w:tc>
          <w:tcPr>
            <w:tcW w:w="1007" w:type="dxa"/>
            <w:vAlign w:val="bottom"/>
          </w:tcPr>
          <w:p w14:paraId="2A3EF1EC"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0.25</w:t>
            </w:r>
            <w:r>
              <w:rPr>
                <w:rFonts w:ascii="Calibri" w:hAnsi="Calibri" w:cs="Calibri"/>
                <w:color w:val="000000"/>
                <w:sz w:val="20"/>
                <w:szCs w:val="20"/>
              </w:rPr>
              <w:t>3</w:t>
            </w:r>
          </w:p>
        </w:tc>
        <w:tc>
          <w:tcPr>
            <w:tcW w:w="1007" w:type="dxa"/>
            <w:vAlign w:val="bottom"/>
          </w:tcPr>
          <w:p w14:paraId="4BD3A87A" w14:textId="77777777" w:rsidR="005C5D01" w:rsidRPr="00FF25CD" w:rsidRDefault="005C5D01" w:rsidP="005B4D82">
            <w:pPr>
              <w:rPr>
                <w:rFonts w:ascii="Calibri" w:hAnsi="Calibri" w:cs="Calibri"/>
                <w:sz w:val="20"/>
                <w:szCs w:val="20"/>
              </w:rPr>
            </w:pPr>
            <w:r w:rsidRPr="00FF25CD">
              <w:rPr>
                <w:rFonts w:ascii="Calibri" w:hAnsi="Calibri" w:cs="Calibri"/>
                <w:color w:val="000000"/>
                <w:sz w:val="20"/>
                <w:szCs w:val="20"/>
              </w:rPr>
              <w:t>0.28</w:t>
            </w:r>
            <w:r>
              <w:rPr>
                <w:rFonts w:ascii="Calibri" w:hAnsi="Calibri" w:cs="Calibri"/>
                <w:color w:val="000000"/>
                <w:sz w:val="20"/>
                <w:szCs w:val="20"/>
              </w:rPr>
              <w:t>9</w:t>
            </w:r>
          </w:p>
        </w:tc>
        <w:tc>
          <w:tcPr>
            <w:tcW w:w="1007" w:type="dxa"/>
            <w:vAlign w:val="bottom"/>
          </w:tcPr>
          <w:p w14:paraId="11F31D93" w14:textId="77777777" w:rsidR="005C5D01" w:rsidRPr="00912A48" w:rsidRDefault="005C5D01" w:rsidP="005B4D82">
            <w:pPr>
              <w:rPr>
                <w:rFonts w:ascii="Calibri" w:hAnsi="Calibri" w:cs="Calibri"/>
                <w:color w:val="D0CECE" w:themeColor="background2" w:themeShade="E6"/>
                <w:sz w:val="20"/>
                <w:szCs w:val="20"/>
              </w:rPr>
            </w:pPr>
            <w:r w:rsidRPr="00912A48">
              <w:rPr>
                <w:rFonts w:ascii="Calibri" w:hAnsi="Calibri" w:cs="Calibri"/>
                <w:color w:val="D0CECE" w:themeColor="background2" w:themeShade="E6"/>
                <w:sz w:val="20"/>
                <w:szCs w:val="20"/>
              </w:rPr>
              <w:t>0.097</w:t>
            </w:r>
          </w:p>
        </w:tc>
        <w:tc>
          <w:tcPr>
            <w:tcW w:w="1007" w:type="dxa"/>
            <w:vAlign w:val="bottom"/>
          </w:tcPr>
          <w:p w14:paraId="36C24E4B" w14:textId="77777777" w:rsidR="005C5D01" w:rsidRPr="00FF25CD" w:rsidRDefault="005C5D01" w:rsidP="005B4D82">
            <w:pPr>
              <w:rPr>
                <w:rFonts w:ascii="Calibri" w:hAnsi="Calibri" w:cs="Calibri"/>
                <w:color w:val="000000"/>
                <w:sz w:val="20"/>
                <w:szCs w:val="20"/>
              </w:rPr>
            </w:pPr>
            <w:r w:rsidRPr="00FF25CD">
              <w:rPr>
                <w:rFonts w:ascii="Calibri" w:hAnsi="Calibri" w:cs="Calibri"/>
                <w:color w:val="000000"/>
                <w:sz w:val="20"/>
                <w:szCs w:val="20"/>
              </w:rPr>
              <w:t>0.28</w:t>
            </w:r>
            <w:r>
              <w:rPr>
                <w:rFonts w:ascii="Calibri" w:hAnsi="Calibri" w:cs="Calibri"/>
                <w:color w:val="000000"/>
                <w:sz w:val="20"/>
                <w:szCs w:val="20"/>
              </w:rPr>
              <w:t>9</w:t>
            </w:r>
          </w:p>
        </w:tc>
      </w:tr>
      <w:tr w:rsidR="005C5D01" w:rsidRPr="00FF25CD" w14:paraId="1E5B6B17" w14:textId="77777777" w:rsidTr="005B4D82">
        <w:tc>
          <w:tcPr>
            <w:tcW w:w="1165" w:type="dxa"/>
          </w:tcPr>
          <w:p w14:paraId="2A937456" w14:textId="77777777" w:rsidR="005C5D01" w:rsidRDefault="005C5D01" w:rsidP="005B4D82">
            <w:pPr>
              <w:rPr>
                <w:rFonts w:ascii="Calibri" w:hAnsi="Calibri" w:cs="Calibri"/>
                <w:sz w:val="20"/>
                <w:szCs w:val="20"/>
              </w:rPr>
            </w:pPr>
            <w:r>
              <w:rPr>
                <w:rFonts w:ascii="Calibri" w:hAnsi="Calibri" w:cs="Calibri"/>
                <w:sz w:val="20"/>
                <w:szCs w:val="20"/>
              </w:rPr>
              <w:t>Aggregated</w:t>
            </w:r>
          </w:p>
          <w:p w14:paraId="75E2E32D" w14:textId="77777777" w:rsidR="005C5D01" w:rsidRPr="00FF25CD" w:rsidRDefault="005C5D01" w:rsidP="005B4D82">
            <w:pPr>
              <w:rPr>
                <w:rFonts w:ascii="Calibri" w:hAnsi="Calibri" w:cs="Calibri"/>
                <w:sz w:val="20"/>
                <w:szCs w:val="20"/>
              </w:rPr>
            </w:pPr>
            <w:r>
              <w:rPr>
                <w:rFonts w:ascii="Calibri" w:hAnsi="Calibri" w:cs="Calibri"/>
                <w:sz w:val="20"/>
                <w:szCs w:val="20"/>
              </w:rPr>
              <w:t>QALY loss</w:t>
            </w:r>
          </w:p>
        </w:tc>
        <w:tc>
          <w:tcPr>
            <w:tcW w:w="967" w:type="dxa"/>
            <w:vAlign w:val="bottom"/>
          </w:tcPr>
          <w:p w14:paraId="1C3230AF" w14:textId="77777777" w:rsidR="005C5D01" w:rsidRPr="00FF25CD" w:rsidRDefault="005C5D01" w:rsidP="005B4D82">
            <w:pPr>
              <w:rPr>
                <w:rFonts w:ascii="Calibri" w:hAnsi="Calibri" w:cs="Calibri"/>
                <w:color w:val="000000"/>
                <w:sz w:val="20"/>
                <w:szCs w:val="20"/>
              </w:rPr>
            </w:pPr>
          </w:p>
        </w:tc>
        <w:tc>
          <w:tcPr>
            <w:tcW w:w="1001" w:type="dxa"/>
            <w:vAlign w:val="bottom"/>
          </w:tcPr>
          <w:p w14:paraId="4C825C73" w14:textId="77777777" w:rsidR="005C5D01" w:rsidRPr="00FF25CD" w:rsidRDefault="005C5D01" w:rsidP="005B4D82">
            <w:pPr>
              <w:rPr>
                <w:rFonts w:ascii="Calibri" w:hAnsi="Calibri" w:cs="Calibri"/>
                <w:color w:val="000000"/>
                <w:sz w:val="20"/>
                <w:szCs w:val="20"/>
              </w:rPr>
            </w:pPr>
          </w:p>
        </w:tc>
        <w:tc>
          <w:tcPr>
            <w:tcW w:w="1182" w:type="dxa"/>
          </w:tcPr>
          <w:p w14:paraId="40218E6E" w14:textId="77777777" w:rsidR="005C5D01" w:rsidRPr="00FF25CD" w:rsidRDefault="005C5D01" w:rsidP="005B4D82">
            <w:pPr>
              <w:rPr>
                <w:rFonts w:ascii="Calibri" w:hAnsi="Calibri" w:cs="Calibri"/>
                <w:sz w:val="20"/>
                <w:szCs w:val="20"/>
              </w:rPr>
            </w:pPr>
          </w:p>
        </w:tc>
        <w:tc>
          <w:tcPr>
            <w:tcW w:w="1007" w:type="dxa"/>
          </w:tcPr>
          <w:p w14:paraId="6261E5F4" w14:textId="77777777" w:rsidR="005C5D01" w:rsidRPr="008F4341" w:rsidRDefault="005C5D01" w:rsidP="005B4D82">
            <w:pPr>
              <w:rPr>
                <w:rFonts w:ascii="Calibri" w:hAnsi="Calibri" w:cs="Calibri"/>
                <w:b/>
                <w:bCs/>
                <w:sz w:val="20"/>
                <w:szCs w:val="20"/>
              </w:rPr>
            </w:pPr>
            <w:r w:rsidRPr="008F4341">
              <w:rPr>
                <w:rFonts w:ascii="Calibri" w:hAnsi="Calibri" w:cs="Calibri"/>
                <w:b/>
                <w:bCs/>
                <w:sz w:val="20"/>
                <w:szCs w:val="20"/>
              </w:rPr>
              <w:t>1.767</w:t>
            </w:r>
          </w:p>
        </w:tc>
        <w:tc>
          <w:tcPr>
            <w:tcW w:w="1007" w:type="dxa"/>
            <w:vAlign w:val="bottom"/>
          </w:tcPr>
          <w:p w14:paraId="60BFB33B" w14:textId="77777777" w:rsidR="005C5D01" w:rsidRPr="008F4341" w:rsidRDefault="005C5D01" w:rsidP="005B4D82">
            <w:pPr>
              <w:rPr>
                <w:rFonts w:ascii="Calibri" w:hAnsi="Calibri" w:cs="Calibri"/>
                <w:b/>
                <w:bCs/>
                <w:color w:val="000000"/>
                <w:sz w:val="20"/>
                <w:szCs w:val="20"/>
              </w:rPr>
            </w:pPr>
            <w:r w:rsidRPr="008F4341">
              <w:rPr>
                <w:rFonts w:ascii="Calibri" w:hAnsi="Calibri" w:cs="Calibri"/>
                <w:b/>
                <w:bCs/>
                <w:color w:val="000000"/>
                <w:sz w:val="20"/>
                <w:szCs w:val="20"/>
              </w:rPr>
              <w:t>1.729</w:t>
            </w:r>
          </w:p>
        </w:tc>
        <w:tc>
          <w:tcPr>
            <w:tcW w:w="1007" w:type="dxa"/>
            <w:vAlign w:val="bottom"/>
          </w:tcPr>
          <w:p w14:paraId="354BC65C" w14:textId="77777777" w:rsidR="005C5D01" w:rsidRPr="00FF25CD" w:rsidRDefault="005C5D01" w:rsidP="005B4D82">
            <w:pPr>
              <w:rPr>
                <w:rFonts w:ascii="Calibri" w:hAnsi="Calibri" w:cs="Calibri"/>
                <w:color w:val="000000"/>
                <w:sz w:val="20"/>
                <w:szCs w:val="20"/>
              </w:rPr>
            </w:pPr>
          </w:p>
        </w:tc>
        <w:tc>
          <w:tcPr>
            <w:tcW w:w="1007" w:type="dxa"/>
            <w:vAlign w:val="bottom"/>
          </w:tcPr>
          <w:p w14:paraId="37058ECA" w14:textId="77777777" w:rsidR="005C5D01" w:rsidRPr="00FF25CD" w:rsidRDefault="005C5D01" w:rsidP="005B4D82">
            <w:pPr>
              <w:rPr>
                <w:rFonts w:ascii="Calibri" w:hAnsi="Calibri" w:cs="Calibri"/>
                <w:color w:val="000000"/>
                <w:sz w:val="20"/>
                <w:szCs w:val="20"/>
              </w:rPr>
            </w:pPr>
          </w:p>
        </w:tc>
        <w:tc>
          <w:tcPr>
            <w:tcW w:w="1007" w:type="dxa"/>
            <w:vAlign w:val="bottom"/>
          </w:tcPr>
          <w:p w14:paraId="6B43AD47" w14:textId="77777777" w:rsidR="005C5D01" w:rsidRPr="008F4341" w:rsidRDefault="005C5D01" w:rsidP="005B4D82">
            <w:pPr>
              <w:rPr>
                <w:rFonts w:ascii="Calibri" w:hAnsi="Calibri" w:cs="Calibri"/>
                <w:b/>
                <w:bCs/>
                <w:color w:val="000000"/>
                <w:sz w:val="20"/>
                <w:szCs w:val="20"/>
              </w:rPr>
            </w:pPr>
            <w:r w:rsidRPr="008F4341">
              <w:rPr>
                <w:rFonts w:ascii="Calibri" w:hAnsi="Calibri" w:cs="Calibri"/>
                <w:b/>
                <w:bCs/>
                <w:color w:val="000000"/>
                <w:sz w:val="20"/>
                <w:szCs w:val="20"/>
              </w:rPr>
              <w:t>1.892</w:t>
            </w:r>
          </w:p>
        </w:tc>
      </w:tr>
    </w:tbl>
    <w:p w14:paraId="34281338" w14:textId="77777777" w:rsidR="005C5D01" w:rsidRPr="00AD710D" w:rsidRDefault="005C5D01" w:rsidP="005C5D01">
      <w:pPr>
        <w:rPr>
          <w:sz w:val="18"/>
          <w:szCs w:val="18"/>
        </w:rPr>
      </w:pPr>
      <w:r w:rsidRPr="00AD710D">
        <w:rPr>
          <w:sz w:val="18"/>
          <w:szCs w:val="18"/>
        </w:rPr>
        <w:t xml:space="preserve">* </w:t>
      </w:r>
      <w:r>
        <w:rPr>
          <w:sz w:val="18"/>
          <w:szCs w:val="18"/>
        </w:rPr>
        <w:t>Reported cases of p</w:t>
      </w:r>
      <w:r w:rsidRPr="00AD710D">
        <w:rPr>
          <w:sz w:val="18"/>
          <w:szCs w:val="18"/>
        </w:rPr>
        <w:t xml:space="preserve">rimary and secondary syphilis </w:t>
      </w:r>
      <w:r>
        <w:rPr>
          <w:sz w:val="18"/>
          <w:szCs w:val="18"/>
        </w:rPr>
        <w:t>(</w:t>
      </w:r>
      <w:r w:rsidRPr="00AD710D">
        <w:rPr>
          <w:sz w:val="18"/>
          <w:szCs w:val="18"/>
        </w:rPr>
        <w:t>CDC</w:t>
      </w:r>
      <w:r>
        <w:rPr>
          <w:sz w:val="18"/>
          <w:szCs w:val="18"/>
        </w:rPr>
        <w:t>)</w:t>
      </w:r>
    </w:p>
    <w:p w14:paraId="00761839" w14:textId="77777777" w:rsidR="005C5D01" w:rsidRDefault="005C5D01" w:rsidP="005C5D01"/>
    <w:p w14:paraId="4D8C041E" w14:textId="77777777" w:rsidR="005C5D01" w:rsidRDefault="005C5D01" w:rsidP="005C5D01">
      <w:r>
        <w:t xml:space="preserve">QALY loss due to syphilis among men: (1-0.78) * 1.767 + 0.78 * 1.729 = </w:t>
      </w:r>
      <w:r w:rsidRPr="00912A48">
        <w:rPr>
          <w:b/>
          <w:bCs/>
        </w:rPr>
        <w:t>1.737 QALYs</w:t>
      </w:r>
    </w:p>
    <w:p w14:paraId="0F86E2B2" w14:textId="77777777" w:rsidR="005C5D01" w:rsidRPr="00912A48" w:rsidRDefault="005C5D01" w:rsidP="005C5D01">
      <w:pPr>
        <w:rPr>
          <w:rFonts w:ascii="Calibri" w:eastAsia="Times New Roman" w:hAnsi="Calibri" w:cs="Calibri"/>
          <w:b/>
          <w:bCs/>
          <w:color w:val="000000"/>
          <w:lang w:eastAsia="ko-KR"/>
        </w:rPr>
      </w:pPr>
      <w:r>
        <w:t xml:space="preserve">QALY loss due to syphilis among women: we weighted </w:t>
      </w:r>
      <w:proofErr w:type="gramStart"/>
      <w:r>
        <w:t>age-specific</w:t>
      </w:r>
      <w:proofErr w:type="gramEnd"/>
      <w:r>
        <w:t xml:space="preserve"> QALY loss among women based on the prevalence of pregnancy in each age group. Hence, the aggregated QALY loss among women is </w:t>
      </w:r>
      <w:r w:rsidRPr="00912A48">
        <w:rPr>
          <w:rFonts w:ascii="Calibri" w:eastAsia="Times New Roman" w:hAnsi="Calibri" w:cs="Calibri"/>
          <w:b/>
          <w:bCs/>
          <w:color w:val="000000"/>
          <w:lang w:eastAsia="ko-KR"/>
        </w:rPr>
        <w:t>1.892 QALYs</w:t>
      </w:r>
    </w:p>
    <w:p w14:paraId="44B385E7" w14:textId="77777777" w:rsidR="005C5D01" w:rsidRDefault="005C5D01" w:rsidP="005C5D01"/>
    <w:p w14:paraId="3624D472" w14:textId="17FE6990" w:rsidR="005C5D01" w:rsidRDefault="005C5D01" w:rsidP="005C5D01">
      <w:r>
        <w:t>[Things to add to this document]</w:t>
      </w:r>
    </w:p>
    <w:p w14:paraId="1624813F" w14:textId="57A76F27" w:rsidR="00684CCE" w:rsidRDefault="00684CCE" w:rsidP="00684CCE">
      <w:pPr>
        <w:pStyle w:val="ListParagraph"/>
        <w:numPr>
          <w:ilvl w:val="0"/>
          <w:numId w:val="30"/>
        </w:numPr>
      </w:pPr>
      <w:r>
        <w:t>Parameter table with parameter values, ranges, and reference</w:t>
      </w:r>
    </w:p>
    <w:p w14:paraId="4FC5BDA7" w14:textId="5732A627" w:rsidR="005C5D01" w:rsidRDefault="005C5D01" w:rsidP="005C5D01">
      <w:pPr>
        <w:pStyle w:val="ListParagraph"/>
        <w:numPr>
          <w:ilvl w:val="0"/>
          <w:numId w:val="30"/>
        </w:numPr>
      </w:pPr>
      <w:r>
        <w:t xml:space="preserve">Intermediate </w:t>
      </w:r>
      <w:r w:rsidR="00684CCE">
        <w:t>outcomes (% of people who develop tertiary syphilis in age 60,70,80, % of people die from syphilis, others)</w:t>
      </w:r>
    </w:p>
    <w:p w14:paraId="4D1D1882" w14:textId="58413401" w:rsidR="00684CCE" w:rsidRDefault="00684CCE" w:rsidP="005C5D01">
      <w:pPr>
        <w:pStyle w:val="ListParagraph"/>
        <w:numPr>
          <w:ilvl w:val="0"/>
          <w:numId w:val="30"/>
        </w:numPr>
      </w:pPr>
      <w:r>
        <w:t>Update results with discounted QALY loss</w:t>
      </w:r>
    </w:p>
    <w:p w14:paraId="5874F4C3" w14:textId="13BBF11F" w:rsidR="00684CCE" w:rsidRDefault="00153CC1" w:rsidP="005C5D01">
      <w:pPr>
        <w:pStyle w:val="ListParagraph"/>
        <w:numPr>
          <w:ilvl w:val="0"/>
          <w:numId w:val="30"/>
        </w:numPr>
      </w:pPr>
      <w:r>
        <w:lastRenderedPageBreak/>
        <w:t>Following up with Cathy</w:t>
      </w:r>
    </w:p>
    <w:p w14:paraId="2C1DDC4C" w14:textId="77777777" w:rsidR="00153CC1" w:rsidRDefault="00153CC1" w:rsidP="00153CC1">
      <w:pPr>
        <w:pStyle w:val="ListParagraph"/>
      </w:pPr>
      <w:bookmarkStart w:id="3" w:name="_GoBack"/>
      <w:bookmarkEnd w:id="3"/>
    </w:p>
    <w:p w14:paraId="3DF6F7F9" w14:textId="77777777" w:rsidR="005C5D01" w:rsidRPr="001517C8" w:rsidRDefault="005C5D01" w:rsidP="005C5D01">
      <w:pPr>
        <w:rPr>
          <w:b/>
          <w:bCs/>
        </w:rPr>
      </w:pPr>
      <w:r w:rsidRPr="001517C8">
        <w:rPr>
          <w:b/>
          <w:bCs/>
        </w:rPr>
        <w:t>Next step</w:t>
      </w:r>
    </w:p>
    <w:p w14:paraId="4693EE23" w14:textId="77777777" w:rsidR="005C5D01" w:rsidRDefault="005C5D01" w:rsidP="005C5D01">
      <w:pPr>
        <w:pStyle w:val="ListParagraph"/>
        <w:numPr>
          <w:ilvl w:val="0"/>
          <w:numId w:val="29"/>
        </w:numPr>
      </w:pPr>
      <w:r>
        <w:t xml:space="preserve">Sensitivity analysis on model parameters and assumptions </w:t>
      </w:r>
    </w:p>
    <w:p w14:paraId="34239706" w14:textId="77777777" w:rsidR="005C5D01" w:rsidRDefault="005C5D01" w:rsidP="005C5D01">
      <w:pPr>
        <w:pStyle w:val="ListParagraph"/>
        <w:numPr>
          <w:ilvl w:val="0"/>
          <w:numId w:val="28"/>
        </w:numPr>
      </w:pPr>
      <w:r>
        <w:t xml:space="preserve">Faster disease progression for MSM population </w:t>
      </w:r>
    </w:p>
    <w:p w14:paraId="546580A5" w14:textId="77777777" w:rsidR="005C5D01" w:rsidRDefault="005C5D01" w:rsidP="005C5D01">
      <w:pPr>
        <w:pStyle w:val="ListParagraph"/>
        <w:numPr>
          <w:ilvl w:val="0"/>
          <w:numId w:val="28"/>
        </w:numPr>
      </w:pPr>
      <w:r>
        <w:t>Higher baseline mortality for MSM compared to MSW (for now, multiplier = 1)</w:t>
      </w:r>
    </w:p>
    <w:p w14:paraId="07D57E57" w14:textId="63997410" w:rsidR="00E42F69" w:rsidRDefault="005C5D01" w:rsidP="00524DE9">
      <w:pPr>
        <w:pStyle w:val="ListParagraph"/>
        <w:numPr>
          <w:ilvl w:val="0"/>
          <w:numId w:val="28"/>
        </w:numPr>
      </w:pPr>
      <w:r>
        <w:t xml:space="preserve">Higher risk of syphilis for pregnant women </w:t>
      </w:r>
    </w:p>
    <w:sectPr w:rsidR="00E42F6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yueun Lee" w:date="2020-03-31T12:36:00Z" w:initials="KL">
    <w:p w14:paraId="3C48875B" w14:textId="7DCA5D97" w:rsidR="007A6BBD" w:rsidRDefault="00444C41">
      <w:pPr>
        <w:pStyle w:val="CommentText"/>
      </w:pPr>
      <w:r>
        <w:rPr>
          <w:rStyle w:val="CommentReference"/>
        </w:rPr>
        <w:annotationRef/>
      </w:r>
      <w:r w:rsidR="007A6BBD">
        <w:t xml:space="preserve">Baseline: weighted average of parameter </w:t>
      </w:r>
    </w:p>
    <w:p w14:paraId="3925B57C" w14:textId="457D9503" w:rsidR="00444C41" w:rsidRDefault="00444C41">
      <w:pPr>
        <w:pStyle w:val="CommentText"/>
      </w:pPr>
      <w:r>
        <w:t>Sensitivity analysis on variables tailored toward HIV-coinfected/MSM population</w:t>
      </w:r>
    </w:p>
    <w:p w14:paraId="57757153" w14:textId="4F896693" w:rsidR="007A6BBD" w:rsidRDefault="007A6BBD">
      <w:pPr>
        <w:pStyle w:val="CommentText"/>
      </w:pPr>
      <w:r>
        <w:t>Neurologic/optical related parameters</w:t>
      </w:r>
    </w:p>
  </w:comment>
  <w:comment w:id="1" w:author="Kyueun Lee" w:date="2020-03-31T12:39:00Z" w:initials="KL">
    <w:p w14:paraId="4D385D26" w14:textId="558D228D" w:rsidR="007A6BBD" w:rsidRDefault="00444C41">
      <w:pPr>
        <w:pStyle w:val="CommentText"/>
      </w:pPr>
      <w:r>
        <w:rPr>
          <w:rStyle w:val="CommentReference"/>
        </w:rPr>
        <w:annotationRef/>
      </w:r>
      <w:r w:rsidR="007A6BBD">
        <w:t>MSM has higher prevalence of HIV</w:t>
      </w:r>
    </w:p>
    <w:p w14:paraId="015E25BC" w14:textId="355E5A71" w:rsidR="00444C41" w:rsidRDefault="007A6BBD">
      <w:pPr>
        <w:pStyle w:val="CommentText"/>
      </w:pPr>
      <w:r>
        <w:t>MSW has higher prevalence of HIV in southern part</w:t>
      </w:r>
    </w:p>
  </w:comment>
  <w:comment w:id="2" w:author="Kyueun Lee" w:date="2020-03-31T13:15:00Z" w:initials="KL">
    <w:p w14:paraId="7041490A" w14:textId="33CF5E38" w:rsidR="000D57B9" w:rsidRDefault="000D57B9">
      <w:pPr>
        <w:pStyle w:val="CommentText"/>
      </w:pPr>
      <w:r>
        <w:rPr>
          <w:rStyle w:val="CommentReference"/>
        </w:rPr>
        <w:annotationRef/>
      </w:r>
      <w:r>
        <w:t xml:space="preserve">Harrell will share their cost estimation study (look at </w:t>
      </w:r>
      <w:hyperlink r:id="rId1" w:history="1">
        <w:r w:rsidRPr="000D57B9">
          <w:rPr>
            <w:color w:val="0000FF"/>
            <w:szCs w:val="22"/>
            <w:u w:val="single"/>
          </w:rPr>
          <w:t>https://www.ncbi.nlm.nih.gov/pubmed/23403600?holding=hulib</w:t>
        </w:r>
      </w:hyperlink>
      <w:r>
        <w:rPr>
          <w:szCs w:val="22"/>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757153" w15:done="0"/>
  <w15:commentEx w15:paraId="015E25BC" w15:paraIdParent="57757153" w15:done="0"/>
  <w15:commentEx w15:paraId="7041490A" w15:paraIdParent="577571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757153" w16cid:durableId="22B24C7D"/>
  <w16cid:commentId w16cid:paraId="015E25BC" w16cid:durableId="22B24C7E"/>
  <w16cid:commentId w16cid:paraId="7041490A" w16cid:durableId="22B24C7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DAB8B2" w14:textId="77777777" w:rsidR="00E12862" w:rsidRDefault="00E12862" w:rsidP="00E42F69">
      <w:r>
        <w:separator/>
      </w:r>
    </w:p>
  </w:endnote>
  <w:endnote w:type="continuationSeparator" w:id="0">
    <w:p w14:paraId="04FED115" w14:textId="77777777" w:rsidR="00E12862" w:rsidRDefault="00E12862" w:rsidP="00E42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123C99" w14:textId="77777777" w:rsidR="00E12862" w:rsidRDefault="00E12862" w:rsidP="00E42F69">
      <w:r>
        <w:separator/>
      </w:r>
    </w:p>
  </w:footnote>
  <w:footnote w:type="continuationSeparator" w:id="0">
    <w:p w14:paraId="14D01610" w14:textId="77777777" w:rsidR="00E12862" w:rsidRDefault="00E12862" w:rsidP="00E42F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735D71"/>
    <w:multiLevelType w:val="hybridMultilevel"/>
    <w:tmpl w:val="B8646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6C4505D"/>
    <w:multiLevelType w:val="hybridMultilevel"/>
    <w:tmpl w:val="DC5A1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EA5E8C"/>
    <w:multiLevelType w:val="hybridMultilevel"/>
    <w:tmpl w:val="E206B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0FDD4F09"/>
    <w:multiLevelType w:val="hybridMultilevel"/>
    <w:tmpl w:val="5C6275C4"/>
    <w:lvl w:ilvl="0" w:tplc="90E063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E67608"/>
    <w:multiLevelType w:val="hybridMultilevel"/>
    <w:tmpl w:val="B3E86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28EE6C34"/>
    <w:multiLevelType w:val="hybridMultilevel"/>
    <w:tmpl w:val="F98A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40304609"/>
    <w:multiLevelType w:val="hybridMultilevel"/>
    <w:tmpl w:val="0D889F8C"/>
    <w:lvl w:ilvl="0" w:tplc="D8969C98">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7"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6"/>
  </w:num>
  <w:num w:numId="2">
    <w:abstractNumId w:val="15"/>
  </w:num>
  <w:num w:numId="3">
    <w:abstractNumId w:val="10"/>
  </w:num>
  <w:num w:numId="4">
    <w:abstractNumId w:val="28"/>
  </w:num>
  <w:num w:numId="5">
    <w:abstractNumId w:val="18"/>
  </w:num>
  <w:num w:numId="6">
    <w:abstractNumId w:val="22"/>
  </w:num>
  <w:num w:numId="7">
    <w:abstractNumId w:val="2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0"/>
  </w:num>
  <w:num w:numId="19">
    <w:abstractNumId w:val="21"/>
  </w:num>
  <w:num w:numId="20">
    <w:abstractNumId w:val="27"/>
  </w:num>
  <w:num w:numId="21">
    <w:abstractNumId w:val="24"/>
  </w:num>
  <w:num w:numId="22">
    <w:abstractNumId w:val="14"/>
  </w:num>
  <w:num w:numId="23">
    <w:abstractNumId w:val="29"/>
  </w:num>
  <w:num w:numId="24">
    <w:abstractNumId w:val="19"/>
  </w:num>
  <w:num w:numId="25">
    <w:abstractNumId w:val="17"/>
  </w:num>
  <w:num w:numId="26">
    <w:abstractNumId w:val="12"/>
  </w:num>
  <w:num w:numId="27">
    <w:abstractNumId w:val="11"/>
  </w:num>
  <w:num w:numId="28">
    <w:abstractNumId w:val="16"/>
  </w:num>
  <w:num w:numId="29">
    <w:abstractNumId w:val="13"/>
  </w:num>
  <w:num w:numId="30">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yueun Lee">
    <w15:presenceInfo w15:providerId="None" w15:userId="Kyueun 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784"/>
    <w:rsid w:val="000B1496"/>
    <w:rsid w:val="000B4405"/>
    <w:rsid w:val="000D57B9"/>
    <w:rsid w:val="0011303A"/>
    <w:rsid w:val="001277AF"/>
    <w:rsid w:val="00132B60"/>
    <w:rsid w:val="00153CC1"/>
    <w:rsid w:val="001B3224"/>
    <w:rsid w:val="001D0290"/>
    <w:rsid w:val="001D26A2"/>
    <w:rsid w:val="001D76E6"/>
    <w:rsid w:val="00217218"/>
    <w:rsid w:val="0022071E"/>
    <w:rsid w:val="00234CB2"/>
    <w:rsid w:val="00241AAF"/>
    <w:rsid w:val="002434A6"/>
    <w:rsid w:val="00342D9A"/>
    <w:rsid w:val="003B4915"/>
    <w:rsid w:val="003C5D8D"/>
    <w:rsid w:val="003E018F"/>
    <w:rsid w:val="00433B2D"/>
    <w:rsid w:val="00444C41"/>
    <w:rsid w:val="00497218"/>
    <w:rsid w:val="004B15F0"/>
    <w:rsid w:val="004C2100"/>
    <w:rsid w:val="00502238"/>
    <w:rsid w:val="005101BD"/>
    <w:rsid w:val="00574646"/>
    <w:rsid w:val="005837E4"/>
    <w:rsid w:val="005C5D01"/>
    <w:rsid w:val="005D33DC"/>
    <w:rsid w:val="005D6899"/>
    <w:rsid w:val="00645252"/>
    <w:rsid w:val="00684CCE"/>
    <w:rsid w:val="00693567"/>
    <w:rsid w:val="006D3D74"/>
    <w:rsid w:val="00722CB0"/>
    <w:rsid w:val="00760D94"/>
    <w:rsid w:val="00790C69"/>
    <w:rsid w:val="007A6BBD"/>
    <w:rsid w:val="00822A28"/>
    <w:rsid w:val="0083569A"/>
    <w:rsid w:val="00842D65"/>
    <w:rsid w:val="008D7459"/>
    <w:rsid w:val="008F607A"/>
    <w:rsid w:val="0095068A"/>
    <w:rsid w:val="009654F0"/>
    <w:rsid w:val="00A26800"/>
    <w:rsid w:val="00A33421"/>
    <w:rsid w:val="00A9204E"/>
    <w:rsid w:val="00AF4BAF"/>
    <w:rsid w:val="00BE40BB"/>
    <w:rsid w:val="00BF370E"/>
    <w:rsid w:val="00C6592E"/>
    <w:rsid w:val="00C75446"/>
    <w:rsid w:val="00CA1784"/>
    <w:rsid w:val="00CA1852"/>
    <w:rsid w:val="00D224E7"/>
    <w:rsid w:val="00D2307A"/>
    <w:rsid w:val="00D24781"/>
    <w:rsid w:val="00D54A1F"/>
    <w:rsid w:val="00DA5166"/>
    <w:rsid w:val="00DB76DE"/>
    <w:rsid w:val="00DE14D6"/>
    <w:rsid w:val="00E12862"/>
    <w:rsid w:val="00E42F69"/>
    <w:rsid w:val="00E825B6"/>
    <w:rsid w:val="00EB07B2"/>
    <w:rsid w:val="00EF48EB"/>
    <w:rsid w:val="00F02BBD"/>
    <w:rsid w:val="00F238C2"/>
    <w:rsid w:val="00FD74C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DBB542"/>
  <w15:chartTrackingRefBased/>
  <w15:docId w15:val="{4A14D4A4-336D-4BCE-BCA0-ABE44A49A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1784"/>
    <w:rPr>
      <w:rFonts w:eastAsia="Batang"/>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CA1784"/>
    <w:pPr>
      <w:ind w:left="720"/>
      <w:contextualSpacing/>
    </w:pPr>
  </w:style>
  <w:style w:type="table" w:styleId="TableGrid">
    <w:name w:val="Table Grid"/>
    <w:basedOn w:val="TableNormal"/>
    <w:uiPriority w:val="39"/>
    <w:rsid w:val="00CA178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B15F0"/>
    <w:pPr>
      <w:spacing w:before="100" w:beforeAutospacing="1" w:after="100" w:afterAutospacing="1"/>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404688">
      <w:bodyDiv w:val="1"/>
      <w:marLeft w:val="0"/>
      <w:marRight w:val="0"/>
      <w:marTop w:val="0"/>
      <w:marBottom w:val="0"/>
      <w:divBdr>
        <w:top w:val="none" w:sz="0" w:space="0" w:color="auto"/>
        <w:left w:val="none" w:sz="0" w:space="0" w:color="auto"/>
        <w:bottom w:val="none" w:sz="0" w:space="0" w:color="auto"/>
        <w:right w:val="none" w:sz="0" w:space="0" w:color="auto"/>
      </w:divBdr>
    </w:div>
    <w:div w:id="1116603962">
      <w:bodyDiv w:val="1"/>
      <w:marLeft w:val="0"/>
      <w:marRight w:val="0"/>
      <w:marTop w:val="0"/>
      <w:marBottom w:val="0"/>
      <w:divBdr>
        <w:top w:val="none" w:sz="0" w:space="0" w:color="auto"/>
        <w:left w:val="none" w:sz="0" w:space="0" w:color="auto"/>
        <w:bottom w:val="none" w:sz="0" w:space="0" w:color="auto"/>
        <w:right w:val="none" w:sz="0" w:space="0" w:color="auto"/>
      </w:divBdr>
    </w:div>
    <w:div w:id="1441686019">
      <w:bodyDiv w:val="1"/>
      <w:marLeft w:val="0"/>
      <w:marRight w:val="0"/>
      <w:marTop w:val="0"/>
      <w:marBottom w:val="0"/>
      <w:divBdr>
        <w:top w:val="none" w:sz="0" w:space="0" w:color="auto"/>
        <w:left w:val="none" w:sz="0" w:space="0" w:color="auto"/>
        <w:bottom w:val="none" w:sz="0" w:space="0" w:color="auto"/>
        <w:right w:val="none" w:sz="0" w:space="0" w:color="auto"/>
      </w:divBdr>
      <w:divsChild>
        <w:div w:id="16595758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cbi.nlm.nih.gov/pubmed/23403600?holding=hulib"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ueunl\AppData\Roaming\Microsoft\Templates\Single%20spaced%20(blank)(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4.xml><?xml version="1.0" encoding="utf-8"?>
<ds:datastoreItem xmlns:ds="http://schemas.openxmlformats.org/officeDocument/2006/customXml" ds:itemID="{4E7BC500-ABB5-42E2-BC90-489BEE061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(blank)(2).dotx</Template>
  <TotalTime>10</TotalTime>
  <Pages>7</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Kyueun Lee</dc:creator>
  <cp:keywords/>
  <dc:description/>
  <cp:lastModifiedBy>Kyueun Lee</cp:lastModifiedBy>
  <cp:revision>4</cp:revision>
  <dcterms:created xsi:type="dcterms:W3CDTF">2020-07-10T09:15:00Z</dcterms:created>
  <dcterms:modified xsi:type="dcterms:W3CDTF">2020-07-10T09:25:00Z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Mendeley Recent Style Id 0_1">
    <vt:lpwstr>http://www.zotero.org/styles/american-political-science-association</vt:lpwstr>
  </property>
  <property fmtid="{D5CDD505-2E9C-101B-9397-08002B2CF9AE}" pid="9" name="Mendeley Recent Style Name 0_1">
    <vt:lpwstr>American Political Science Association</vt:lpwstr>
  </property>
  <property fmtid="{D5CDD505-2E9C-101B-9397-08002B2CF9AE}" pid="10" name="Mendeley Recent Style Id 1_1">
    <vt:lpwstr>http://www.zotero.org/styles/apa</vt:lpwstr>
  </property>
  <property fmtid="{D5CDD505-2E9C-101B-9397-08002B2CF9AE}" pid="11" name="Mendeley Recent Style Name 1_1">
    <vt:lpwstr>American Psychological Association 6th edition</vt:lpwstr>
  </property>
  <property fmtid="{D5CDD505-2E9C-101B-9397-08002B2CF9AE}" pid="12" name="Mendeley Recent Style Id 2_1">
    <vt:lpwstr>http://www.zotero.org/styles/american-sociological-association</vt:lpwstr>
  </property>
  <property fmtid="{D5CDD505-2E9C-101B-9397-08002B2CF9AE}" pid="13" name="Mendeley Recent Style Name 2_1">
    <vt:lpwstr>American Sociological Association</vt:lpwstr>
  </property>
  <property fmtid="{D5CDD505-2E9C-101B-9397-08002B2CF9AE}" pid="14" name="Mendeley Recent Style Id 3_1">
    <vt:lpwstr>http://www.zotero.org/styles/chicago-author-date</vt:lpwstr>
  </property>
  <property fmtid="{D5CDD505-2E9C-101B-9397-08002B2CF9AE}" pid="15" name="Mendeley Recent Style Name 3_1">
    <vt:lpwstr>Chicago Manual of Style 17th edition (author-date)</vt:lpwstr>
  </property>
  <property fmtid="{D5CDD505-2E9C-101B-9397-08002B2CF9AE}" pid="16" name="Mendeley Recent Style Id 4_1">
    <vt:lpwstr>http://www.zotero.org/styles/harvard1</vt:lpwstr>
  </property>
  <property fmtid="{D5CDD505-2E9C-101B-9397-08002B2CF9AE}" pid="17" name="Mendeley Recent Style Name 4_1">
    <vt:lpwstr>Harvard reference format 1 (deprecated)</vt:lpwstr>
  </property>
  <property fmtid="{D5CDD505-2E9C-101B-9397-08002B2CF9AE}" pid="18" name="Mendeley Recent Style Id 5_1">
    <vt:lpwstr>http://www.zotero.org/styles/ieee</vt:lpwstr>
  </property>
  <property fmtid="{D5CDD505-2E9C-101B-9397-08002B2CF9AE}" pid="19" name="Mendeley Recent Style Name 5_1">
    <vt:lpwstr>IEEE</vt:lpwstr>
  </property>
  <property fmtid="{D5CDD505-2E9C-101B-9397-08002B2CF9AE}" pid="20" name="Mendeley Recent Style Id 6_1">
    <vt:lpwstr>http://www.zotero.org/styles/modern-humanities-research-association</vt:lpwstr>
  </property>
  <property fmtid="{D5CDD505-2E9C-101B-9397-08002B2CF9AE}" pid="21" name="Mendeley Recent Style Name 6_1">
    <vt:lpwstr>Modern Humanities Research Association 3rd edition (note with bibliography)</vt:lpwstr>
  </property>
  <property fmtid="{D5CDD505-2E9C-101B-9397-08002B2CF9AE}" pid="22" name="Mendeley Recent Style Id 7_1">
    <vt:lpwstr>http://www.zotero.org/styles/modern-language-association</vt:lpwstr>
  </property>
  <property fmtid="{D5CDD505-2E9C-101B-9397-08002B2CF9AE}" pid="23" name="Mendeley Recent Style Name 7_1">
    <vt:lpwstr>Modern Language Association 8th edition</vt:lpwstr>
  </property>
  <property fmtid="{D5CDD505-2E9C-101B-9397-08002B2CF9AE}" pid="24" name="Mendeley Recent Style Id 8_1">
    <vt:lpwstr>http://www.zotero.org/styles/nature</vt:lpwstr>
  </property>
  <property fmtid="{D5CDD505-2E9C-101B-9397-08002B2CF9AE}" pid="25" name="Mendeley Recent Style Name 8_1">
    <vt:lpwstr>Nature</vt:lpwstr>
  </property>
  <property fmtid="{D5CDD505-2E9C-101B-9397-08002B2CF9AE}" pid="26" name="Mendeley Recent Style Id 9_1">
    <vt:lpwstr>http://www.zotero.org/styles/vancouver</vt:lpwstr>
  </property>
  <property fmtid="{D5CDD505-2E9C-101B-9397-08002B2CF9AE}" pid="27" name="Mendeley Recent Style Name 9_1">
    <vt:lpwstr>Vancouver</vt:lpwstr>
  </property>
  <property fmtid="{D5CDD505-2E9C-101B-9397-08002B2CF9AE}" pid="28" name="Mendeley Document_1">
    <vt:lpwstr>True</vt:lpwstr>
  </property>
  <property fmtid="{D5CDD505-2E9C-101B-9397-08002B2CF9AE}" pid="29" name="Mendeley Unique User Id_1">
    <vt:lpwstr>53d4d3fb-12aa-37bd-98ea-fe395ac89dc4</vt:lpwstr>
  </property>
  <property fmtid="{D5CDD505-2E9C-101B-9397-08002B2CF9AE}" pid="30" name="Mendeley Citation Style_1">
    <vt:lpwstr>http://www.zotero.org/styles/vancouver</vt:lpwstr>
  </property>
</Properties>
</file>