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HBS University Expansion Design Note</w:t>
      </w:r>
    </w:p>
    <w:p>
      <w:pPr>
        <w:pStyle w:val="Author"/>
      </w:pPr>
      <w:r>
        <w:t xml:space="preserve">Research Team</w:t>
      </w:r>
    </w:p>
    <w:p>
      <w:pPr>
        <w:pStyle w:val="Date"/>
      </w:pPr>
      <w:r>
        <w:t xml:space="preserve">2026-04-02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This note documents a separate exploratory HBS design audit for the university-expansion question. It does not modify or replace the frozen LiTS main paper.</w:t>
      </w:r>
    </w:p>
    <w:bookmarkEnd w:id="20"/>
    <w:bookmarkStart w:id="21" w:name="data-audit"/>
    <w:p>
      <w:pPr>
        <w:pStyle w:val="Heading2"/>
      </w:pPr>
      <w:r>
        <w:t xml:space="preserve">Data Audit</w:t>
      </w:r>
    </w:p>
    <w:bookmarkEnd w:id="21"/>
    <w:bookmarkStart w:id="26" w:name="cohort-definition-note"/>
    <w:p>
      <w:pPr>
        <w:pStyle w:val="Heading1"/>
      </w:pPr>
      <w:r>
        <w:t xml:space="preserve">Cohort Definition Note</w:t>
      </w:r>
    </w:p>
    <w:p>
      <w:pPr>
        <w:pStyle w:val="Compact"/>
        <w:numPr>
          <w:ilvl w:val="0"/>
          <w:numId w:val="1001"/>
        </w:numPr>
      </w:pPr>
      <w:r>
        <w:t xml:space="preserve">The canonical university-expansion panel covers academic years 2019 through 2024.</w:t>
      </w:r>
    </w:p>
    <w:p>
      <w:pPr>
        <w:pStyle w:val="Compact"/>
        <w:numPr>
          <w:ilvl w:val="0"/>
          <w:numId w:val="1001"/>
        </w:numPr>
      </w:pPr>
      <w:r>
        <w:t xml:space="preserve">Respondents born between 1999 and 2007 were ages 17-20 during at least one observed expansion year.</w:t>
      </w:r>
    </w:p>
    <w:p>
      <w:pPr>
        <w:pStyle w:val="Compact"/>
        <w:numPr>
          <w:ilvl w:val="0"/>
          <w:numId w:val="1001"/>
        </w:numPr>
      </w:pPr>
      <w:r>
        <w:t xml:space="preserve">Respondents born between 2002 and 2004 were ages 17-20 during all four observed ages within the 2019-2024 panel.</w:t>
      </w:r>
    </w:p>
    <w:p>
      <w:pPr>
        <w:pStyle w:val="Compact"/>
        <w:numPr>
          <w:ilvl w:val="0"/>
          <w:numId w:val="1001"/>
        </w:numPr>
      </w:pPr>
      <w:r>
        <w:t xml:space="preserve">The exploratory design therefore distinguishes comparison cohorts with zero overlap from cohorts with partial or full overlap in ages 17-20 exposure years.</w:t>
      </w:r>
    </w:p>
    <w:p>
      <w:pPr>
        <w:pStyle w:val="Compact"/>
        <w:numPr>
          <w:ilvl w:val="0"/>
          <w:numId w:val="1001"/>
        </w:numPr>
      </w:pPr>
      <w:r>
        <w:t xml:space="preserve">Current region is used as the exposure-region proxy, with migration prevalence checked separately before any model is estimated.</w:t>
      </w:r>
    </w:p>
    <w:bookmarkStart w:id="22" w:name="linkage-diagnostics"/>
    <w:p>
      <w:pPr>
        <w:pStyle w:val="Heading2"/>
      </w:pPr>
      <w:r>
        <w:t xml:space="preserve">Linkage Diagnostics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3"/>
        <w:gridCol w:w="774"/>
        <w:gridCol w:w="688"/>
        <w:gridCol w:w="430"/>
        <w:gridCol w:w="946"/>
        <w:gridCol w:w="946"/>
        <w:gridCol w:w="1119"/>
        <w:gridCol w:w="1076"/>
        <w:gridCol w:w="14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age_window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eligible_sample_n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linked_sample_n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link_rate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linked_to_mother_rate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linked_to_father_rate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usable_parent_proxy_share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max_abs_region_share_gap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materially_better_than_old_pooled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18_24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22_30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25_35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bookmarkEnd w:id="22"/>
    <w:bookmarkStart w:id="23" w:name="merge-coverage"/>
    <w:p>
      <w:pPr>
        <w:pStyle w:val="Heading2"/>
      </w:pPr>
      <w:r>
        <w:t xml:space="preserve">Merge Coverage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905"/>
        <w:gridCol w:w="1018"/>
        <w:gridCol w:w="2036"/>
        <w:gridCol w:w="2602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survey_year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regions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person_n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matched_current_n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current_merge_coverage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bookmarkEnd w:id="23"/>
    <w:bookmarkStart w:id="24" w:name="outcome-readiness"/>
    <w:p>
      <w:pPr>
        <w:pStyle w:val="Heading2"/>
      </w:pPr>
      <w:r>
        <w:t xml:space="preserve">Outcome Readiness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98"/>
        <w:gridCol w:w="1796"/>
        <w:gridCol w:w="1306"/>
        <w:gridCol w:w="1469"/>
        <w:gridCol w:w="1143"/>
        <w:gridCol w:w="130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age_window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outcome_name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linked_sample_n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non_missing_share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positive_rate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age_appropriate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18_24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 enrollment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18_24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 completion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18_24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upward mobility proxy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22_30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 enrollment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22_30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 completion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22_30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upward mobility proxy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25_35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 enrollment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25_35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 completion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25_35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upward mobility proxy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bookmarkEnd w:id="24"/>
    <w:bookmarkStart w:id="25" w:name="outcome-harmonization-audit"/>
    <w:p>
      <w:pPr>
        <w:pStyle w:val="Heading2"/>
      </w:pPr>
      <w:r>
        <w:t xml:space="preserve">Outcome Harmonization Audit</w:t>
      </w:r>
    </w:p>
    <w:bookmarkEnd w:id="25"/>
    <w:bookmarkEnd w:id="26"/>
    <w:bookmarkStart w:id="29" w:name="outcome-harmonization-audit-1"/>
    <w:p>
      <w:pPr>
        <w:pStyle w:val="Heading1"/>
      </w:pPr>
      <w:r>
        <w:t xml:space="preserve">Outcome Harmonization Audit</w:t>
      </w:r>
    </w:p>
    <w:p>
      <w:pPr>
        <w:numPr>
          <w:ilvl w:val="0"/>
          <w:numId w:val="1002"/>
        </w:numPr>
      </w:pPr>
      <w:r>
        <w:t xml:space="preserve">Target age window:</w:t>
      </w:r>
      <w:r>
        <w:t xml:space="preserve"> </w:t>
      </w:r>
      <w:r>
        <w:rPr>
          <w:rStyle w:val="VerbatimChar"/>
        </w:rPr>
        <w:t xml:space="preserve">18_24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Working analytical sample:</w:t>
      </w:r>
      <w:r>
        <w:t xml:space="preserve"> </w:t>
      </w:r>
      <w:r>
        <w:rPr>
          <w:rStyle w:val="VerbatimChar"/>
        </w:rPr>
        <w:t xml:space="preserve">no_migration_signal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Candidate outcomes audited: current enrollment in any education; current enrollment in tertiary education; tertiary completion; years of schooling; completed upper secondary or more; post-secondary / tertiary entry proxy; upward mobility proxy.</w:t>
      </w:r>
    </w:p>
    <w:p>
      <w:pPr>
        <w:numPr>
          <w:ilvl w:val="0"/>
          <w:numId w:val="1002"/>
        </w:numPr>
      </w:pPr>
      <w:r>
        <w:t xml:space="preserve">Raw education source fields</w:t>
      </w:r>
      <w:r>
        <w:t xml:space="preserve"> </w:t>
      </w:r>
      <w:r>
        <w:rPr>
          <w:rStyle w:val="VerbatimChar"/>
        </w:rPr>
        <w:t xml:space="preserve">edu_enrolled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edu_highest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edu_years</w:t>
      </w:r>
      <w:r>
        <w:t xml:space="preserve"> </w:t>
      </w:r>
      <w:r>
        <w:t xml:space="preserve">appear in all five HBS years;</w:t>
      </w:r>
      <w:r>
        <w:t xml:space="preserve"> </w:t>
      </w:r>
      <w:r>
        <w:rPr>
          <w:rStyle w:val="VerbatimChar"/>
        </w:rPr>
        <w:t xml:space="preserve">edu_complete</w:t>
      </w:r>
      <w:r>
        <w:t xml:space="preserve"> </w:t>
      </w:r>
      <w:r>
        <w:t xml:space="preserve">appears only in 2024 and 2025.</w:t>
      </w:r>
    </w:p>
    <w:p>
      <w:pPr>
        <w:numPr>
          <w:ilvl w:val="0"/>
          <w:numId w:val="1002"/>
        </w:numPr>
      </w:pPr>
      <w:r>
        <w:t xml:space="preserve">In the full linked 18-24 sample, usable linked observations appear in survey years</w:t>
      </w:r>
      <w:r>
        <w:t xml:space="preserve"> </w:t>
      </w:r>
      <w:r>
        <w:rPr>
          <w:rStyle w:val="VerbatimChar"/>
        </w:rPr>
        <w:t xml:space="preserve">2021, 2025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In the chosen</w:t>
      </w:r>
      <w:r>
        <w:t xml:space="preserve"> </w:t>
      </w:r>
      <w:r>
        <w:rPr>
          <w:rStyle w:val="VerbatimChar"/>
        </w:rPr>
        <w:t xml:space="preserve">no_migration_signal</w:t>
      </w:r>
      <w:r>
        <w:t xml:space="preserve"> </w:t>
      </w:r>
      <w:r>
        <w:t xml:space="preserve">sample, usable observations appear in survey years</w:t>
      </w:r>
      <w:r>
        <w:t xml:space="preserve"> </w:t>
      </w:r>
      <w:r>
        <w:rPr>
          <w:rStyle w:val="VerbatimChar"/>
        </w:rPr>
        <w:t xml:space="preserve">2025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That means no candidate outcome can rescue repeated multi-year support inside the current working sample if the sample itself only appears in one survey year.</w:t>
      </w:r>
    </w:p>
    <w:p>
      <w:pPr>
        <w:numPr>
          <w:ilvl w:val="0"/>
          <w:numId w:val="1002"/>
        </w:numPr>
      </w:pPr>
      <w:r>
        <w:t xml:space="preserve">Best conceptually aligned candidate after the audit:</w:t>
      </w:r>
      <w:r>
        <w:t xml:space="preserve"> </w:t>
      </w:r>
      <w:r>
        <w:rPr>
          <w:rStyle w:val="VerbatimChar"/>
        </w:rPr>
        <w:t xml:space="preserve">current enrollment in tertiary education</w:t>
      </w:r>
      <w:r>
        <w:t xml:space="preserve">, but it is only supported in</w:t>
      </w:r>
      <w:r>
        <w:t xml:space="preserve"> </w:t>
      </w:r>
      <w:r>
        <w:rPr>
          <w:rStyle w:val="VerbatimChar"/>
        </w:rPr>
        <w:t xml:space="preserve">2025</w:t>
      </w:r>
      <w:r>
        <w:t xml:space="preserve"> </w:t>
      </w:r>
      <w:r>
        <w:t xml:space="preserve">within the chosen working sample.</w:t>
      </w:r>
    </w:p>
    <w:p>
      <w:pPr>
        <w:numPr>
          <w:ilvl w:val="0"/>
          <w:numId w:val="1002"/>
        </w:numPr>
      </w:pPr>
      <w:r>
        <w:t xml:space="preserve">No candidate outcome passes the repeated-year rescue rule for Model B. The exploratory design therefore remains at Model A only.</w:t>
      </w:r>
    </w:p>
    <w:p>
      <w:pPr>
        <w:pStyle w:val="FirstParagraph"/>
      </w:pPr>
      <w:r>
        <w:t xml:space="preserve">Interpretation: the outcome fields themselves are not the only issue. The current chosen sample collapses to one survey year under the existing linkage and migration restrictions, so an outcome-only rescue does not restore a multi-year quasi-experimental design.</w:t>
      </w:r>
    </w:p>
    <w:p>
      <w:pPr>
        <w:pStyle w:val="SourceCode"/>
      </w:pPr>
      <w:r>
        <w:br/>
      </w:r>
      <w:r>
        <w:rPr>
          <w:rStyle w:val="VerbatimChar"/>
        </w:rPr>
        <w:t xml:space="preserve">### Sample Year Support Trace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sample_stage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survey_year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sample_n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all_18_24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all_18_24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all_18_24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all_18_24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all_18_24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linked_18_24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linked_18_24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linked_18_24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linked_18_24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linked_18_24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linked_18_24_low_parent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linked_18_24_low_parent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linked_18_24_low_parent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linked_18_24_low_parent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linked_18_24_low_parent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linked_18_24_no_migration_signal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linked_18_24_no_migration_signal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linked_18_24_no_migration_signal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linked_18_24_no_migration_signal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linked_18_24_no_migration_signal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4114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br/>
      </w:r>
      <w:r>
        <w:rPr>
          <w:rStyle w:val="VerbatimChar"/>
        </w:rPr>
        <w:t xml:space="preserve">### Outcome Candidate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7"/>
        <w:gridCol w:w="712"/>
        <w:gridCol w:w="590"/>
        <w:gridCol w:w="208"/>
        <w:gridCol w:w="694"/>
        <w:gridCol w:w="364"/>
        <w:gridCol w:w="277"/>
        <w:gridCol w:w="538"/>
        <w:gridCol w:w="434"/>
        <w:gridCol w:w="382"/>
        <w:gridCol w:w="416"/>
        <w:gridCol w:w="590"/>
        <w:gridCol w:w="468"/>
        <w:gridCol w:w="189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sample_label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source_fields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source_fields_all_5y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years_in_sample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years_with_non_missing_outcome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years_with_non_missing_n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coding_concept_stable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interpretability_rating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interpretable_for_exposed_cohorts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working_sample_rescue_pass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interpretability_note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enrollment in any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current_enrollment_any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edu_enrolled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2021, 2025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 participation measure; includes non-tertiary schooling at the lower end of ages 18-24.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enrollment in tertiary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tertiary_enrolled_proxy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edu_enrolled, edu_highest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2021, 2025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Closest match to university access, but still a proxy built from enrollment plus current education track.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tertiary_completed_proxy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edu_enrolled, edu_highest, edu_complete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2021, 2025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 fit for ages 18-24 and</w:t>
            </w:r>
            <w:r>
              <w:t xml:space="preserve"> </w:t>
            </w:r>
            <w:r>
              <w:rPr>
                <w:rStyle w:val="VerbatimChar"/>
              </w:rPr>
              <w:t xml:space="preserve">edu_complete</w:t>
            </w:r>
            <w:r>
              <w:t xml:space="preserve"> </w:t>
            </w:r>
            <w:r>
              <w:t xml:space="preserve">only appears in 2024-2025.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schooling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education_years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edu_years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2021, 2025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Observed consistently, but many ages 18-24 are still accumulating schooling so it is a noisy access outcome.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upper secondary or 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completed_upper_secondary_or_more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edu_years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2021, 2025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broad attainment threshold, but wider than university expansion.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post-secondary / tertiary entry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post_secondary_entry_proxy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edu_enrolled, edu_years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2021, 2025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 proxy for post-secondary participation after upper secondary completion.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upward mobility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upward_mobility_proxy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edu_years, 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2021, 2025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co-resident parent linkage and is not mature for ages 18-24.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no_migration_signal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enrollment in any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current_enrollment_any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edu_enrolled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 participation measure; includes non-tertiary schooling at the lower end of ages 18-24.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no_migration_signal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enrollment in tertiary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tertiary_enrolled_proxy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edu_enrolled, edu_highest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Closest match to university access, but still a proxy built from enrollment plus current education track.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no_migration_signal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tertiary_completed_proxy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edu_enrolled, edu_highest, edu_complete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 fit for ages 18-24 and</w:t>
            </w:r>
            <w:r>
              <w:t xml:space="preserve"> </w:t>
            </w:r>
            <w:r>
              <w:rPr>
                <w:rStyle w:val="VerbatimChar"/>
              </w:rPr>
              <w:t xml:space="preserve">edu_complete</w:t>
            </w:r>
            <w:r>
              <w:t xml:space="preserve"> </w:t>
            </w:r>
            <w:r>
              <w:t xml:space="preserve">only appears in 2024-2025.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no_migration_signal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schooling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education_years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edu_years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Observed consistently, but many ages 18-24 are still accumulating schooling so it is a noisy access outcome.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no_migration_signal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upper secondary or 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completed_upper_secondary_or_more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edu_years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broad attainment threshold, but wider than university expansion.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no_migration_signal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post-secondary / tertiary entry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post_secondary_entry_proxy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edu_enrolled, edu_years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 proxy for post-secondary participation after upper secondary completion.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no_migration_signal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upward mobility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upward_mobility_proxy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edu_years, 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co-resident parent linkage and is not mature for ages 18-24.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br/>
      </w:r>
      <w:r>
        <w:rPr>
          <w:rStyle w:val="VerbatimChar"/>
        </w:rPr>
        <w:t xml:space="preserve">### Outcome Candidate Audit By Year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0"/>
        <w:gridCol w:w="1845"/>
        <w:gridCol w:w="1530"/>
        <w:gridCol w:w="540"/>
        <w:gridCol w:w="540"/>
        <w:gridCol w:w="405"/>
        <w:gridCol w:w="630"/>
        <w:gridCol w:w="810"/>
        <w:gridCol w:w="7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sample_label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metric_type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survey_year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sample_n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non_missing_n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non_missing_share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enrollment in any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current_enrollment_any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enrollment in any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current_enrollment_any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enrollment in any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current_enrollment_any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enrollment in any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current_enrollment_any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enrollment in any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current_enrollment_any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enrollment in tertiary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tertiary_enrolled_proxy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enrollment in tertiary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tertiary_enrolled_proxy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enrollment in tertiary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tertiary_enrolled_proxy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enrollment in tertiary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tertiary_enrolled_proxy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enrollment in tertiary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tertiary_enrolled_proxy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tertiary_completed_proxy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tertiary_completed_proxy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tertiary_completed_proxy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tertiary_completed_proxy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tertiary_completed_proxy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schooling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education_years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schooling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education_years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schooling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education_years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schooling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education_years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schooling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education_years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11.913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upper secondary or 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completed_upper_secondary_or_more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upper secondary or 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completed_upper_secondary_or_more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upper secondary or 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completed_upper_secondary_or_more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upper secondary or 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completed_upper_secondary_or_more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upper secondary or 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completed_upper_secondary_or_more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post-secondary / tertiary entry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post_secondary_entry_proxy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post-secondary / tertiary entry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post_secondary_entry_proxy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post-secondary / tertiary entry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post_secondary_entry_proxy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post-secondary / tertiary entry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post_secondary_entry_proxy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post-secondary / tertiary entry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post_secondary_entry_proxy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upward mobility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upward_mobility_proxy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upward mobility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upward_mobility_proxy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upward mobility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upward_mobility_proxy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upward mobility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upward_mobility_proxy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upward mobility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upward_mobility_proxy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no_migration_signal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enrollment in any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current_enrollment_any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no_migration_signal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enrollment in any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current_enrollment_any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no_migration_signal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enrollment in any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current_enrollment_any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no_migration_signal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enrollment in any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current_enrollment_any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no_migration_signal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enrollment in any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current_enrollment_any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no_migration_signal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enrollment in tertiary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tertiary_enrolled_proxy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no_migration_signal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enrollment in tertiary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tertiary_enrolled_proxy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no_migration_signal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enrollment in tertiary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tertiary_enrolled_proxy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no_migration_signal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enrollment in tertiary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tertiary_enrolled_proxy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no_migration_signal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enrollment in tertiary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tertiary_enrolled_proxy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no_migration_signal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tertiary_completed_proxy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no_migration_signal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tertiary_completed_proxy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no_migration_signal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tertiary_completed_proxy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no_migration_signal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tertiary_completed_proxy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no_migration_signal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tertiary_completed_proxy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no_migration_signal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schooling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education_years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no_migration_signal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schooling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education_years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no_migration_signal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schooling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education_years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no_migration_signal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schooling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education_years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no_migration_signal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schooling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education_years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11.942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no_migration_signal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upper secondary or 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completed_upper_secondary_or_more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no_migration_signal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upper secondary or 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completed_upper_secondary_or_more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no_migration_signal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upper secondary or 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completed_upper_secondary_or_more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no_migration_signal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upper secondary or 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completed_upper_secondary_or_more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no_migration_signal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upper secondary or 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completed_upper_secondary_or_more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no_migration_signal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post-secondary / tertiary entry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post_secondary_entry_proxy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no_migration_signal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post-secondary / tertiary entry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post_secondary_entry_proxy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no_migration_signal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post-secondary / tertiary entry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post_secondary_entry_proxy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no_migration_signal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post-secondary / tertiary entry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post_secondary_entry_proxy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no_migration_signal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post-secondary / tertiary entry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post_secondary_entry_proxy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no_migration_signal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upward mobility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upward_mobility_proxy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no_migration_signal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upward mobility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upward_mobility_proxy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no_migration_signal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upward mobility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upward_mobility_proxy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no_migration_signal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upward mobility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upward_mobility_proxy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no_migration_signal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upward mobility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upward_mobility_proxy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</w:t>
            </w:r>
          </w:p>
        </w:tc>
      </w:tr>
    </w:tbl>
    <w:bookmarkStart w:id="27" w:name="residence-stability-pass"/>
    <w:p>
      <w:pPr>
        <w:pStyle w:val="Heading2"/>
      </w:pPr>
      <w:r>
        <w:t xml:space="preserve">Residence-Stability Pass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1"/>
        <w:gridCol w:w="389"/>
        <w:gridCol w:w="865"/>
        <w:gridCol w:w="692"/>
        <w:gridCol w:w="1384"/>
        <w:gridCol w:w="1211"/>
        <w:gridCol w:w="605"/>
        <w:gridCol w:w="735"/>
        <w:gridCol w:w="5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sample_name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sample_n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effective_link_rate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immigrant_share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exposure_region_ambiguity_share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ambiguity_reduction_vs_full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cell_median_n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cell_share_ge_10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overall_pass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linked sample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migration-signal sample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Conservative likely-stayer sample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27"/>
    <w:bookmarkStart w:id="28" w:name="design-readiness"/>
    <w:p>
      <w:pPr>
        <w:pStyle w:val="Heading2"/>
      </w:pPr>
      <w:r>
        <w:t xml:space="preserve">Design Readiness</w:t>
      </w:r>
    </w:p>
    <w:bookmarkEnd w:id="28"/>
    <w:bookmarkEnd w:id="29"/>
    <w:bookmarkStart w:id="31" w:name="design-readiness-note"/>
    <w:p>
      <w:pPr>
        <w:pStyle w:val="Heading1"/>
      </w:pPr>
      <w:r>
        <w:t xml:space="preserve">Design Readiness Note</w:t>
      </w:r>
    </w:p>
    <w:p>
      <w:pPr>
        <w:numPr>
          <w:ilvl w:val="0"/>
          <w:numId w:val="1003"/>
        </w:numPr>
      </w:pPr>
      <w:r>
        <w:t xml:space="preserve">Preferred linkage window:</w:t>
      </w:r>
      <w:r>
        <w:t xml:space="preserve"> </w:t>
      </w:r>
      <w:r>
        <w:rPr>
          <w:rStyle w:val="VerbatimChar"/>
        </w:rPr>
        <w:t xml:space="preserve">18_24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Preferred outcome:</w:t>
      </w:r>
      <w:r>
        <w:t xml:space="preserve"> </w:t>
      </w:r>
      <w:r>
        <w:rPr>
          <w:rStyle w:val="VerbatimChar"/>
        </w:rPr>
        <w:t xml:space="preserve">tertiary enrollment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Linkage pass at the window level: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Outcome-maturity pass at the window level: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Residence-stability samples compared: full linked sample; no migration-signal sample; conservative likely-stayer sample based on explicit residence-history cues.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Full linked sample</w:t>
      </w:r>
      <w:r>
        <w:t xml:space="preserve">: N = 8,224; effective link rate = 22.4%; immigrant share = 26.3%; ambiguity share = 43.4%; ambiguity reduction vs full = 0.0%; cell median = 68.5; cell share &gt;=10 = 100.0%; overall pass =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No migration-signal sample</w:t>
      </w:r>
      <w:r>
        <w:t xml:space="preserve">: N = 4,114; effective link rate = 11.2%; immigrant share = 0.0%; ambiguity share = 14.1%; ambiguity reduction vs full = 29.2%; cell median = 48.5; cell share &gt;=10 = 95.2%; overall pass =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Conservative likely-stayer sample</w:t>
      </w:r>
      <w:r>
        <w:t xml:space="preserve">: N = 3,542; effective link rate = 9.6%; immigrant share = 0.0%; ambiguity share = 0.0%; ambiguity reduction vs full = 43.4%; cell median = 39.5; cell share &gt;=10 = 95.2%; overall pass =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Binding constraint: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Chosen analytical sample for a gated next step:</w:t>
      </w:r>
      <w:r>
        <w:t xml:space="preserve"> </w:t>
      </w:r>
      <w:r>
        <w:rPr>
          <w:rStyle w:val="VerbatimChar"/>
        </w:rPr>
        <w:t xml:space="preserve">no_migration_signal</w:t>
      </w:r>
      <w:r>
        <w:t xml:space="preserve">.</w:t>
      </w:r>
    </w:p>
    <w:p>
      <w:pPr>
        <w:pStyle w:val="FirstParagraph"/>
      </w:pPr>
      <w:r>
        <w:t xml:space="preserve">A residence-stability restriction materially reduced exposure-region ambiguity while preserving enough usable cells. The next unlocked step is Model A only.</w:t>
      </w:r>
    </w:p>
    <w:bookmarkStart w:id="30" w:name="harmonization-notes"/>
    <w:p>
      <w:pPr>
        <w:pStyle w:val="Heading2"/>
      </w:pPr>
      <w:r>
        <w:t xml:space="preserve">Harmonization Notes</w:t>
      </w:r>
    </w:p>
    <w:bookmarkEnd w:id="30"/>
    <w:bookmarkEnd w:id="31"/>
    <w:bookmarkStart w:id="36" w:name="harmonization-notes-1"/>
    <w:p>
      <w:pPr>
        <w:pStyle w:val="Heading1"/>
      </w:pPr>
      <w:r>
        <w:t xml:space="preserve">Harmonization Notes</w:t>
      </w:r>
    </w:p>
    <w:p>
      <w:pPr>
        <w:pStyle w:val="FirstParagraph"/>
      </w:pPr>
      <w:r>
        <w:t xml:space="preserve">The exploratory HBS expansion module is isolated from the frozen LiTS main paper and from the older HBS supplement.</w:t>
      </w:r>
    </w:p>
    <w:bookmarkStart w:id="32" w:name="hbs-person-level-construction"/>
    <w:p>
      <w:pPr>
        <w:pStyle w:val="Heading2"/>
      </w:pPr>
      <w:r>
        <w:t xml:space="preserve">HBS person-level construction</w:t>
      </w:r>
    </w:p>
    <w:p>
      <w:pPr>
        <w:pStyle w:val="Compact"/>
        <w:numPr>
          <w:ilvl w:val="0"/>
          <w:numId w:val="1004"/>
        </w:numPr>
      </w:pPr>
      <w:r>
        <w:t xml:space="preserve">The harmonized file uses the annual HBS roster as the person spine and left-joins education, migration, household weights, internet, migration/remittance, multigenerational, and dwelling-based welfare fields.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survey_year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household_id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person_id</w:t>
      </w:r>
      <w:r>
        <w:t xml:space="preserve"> </w:t>
      </w:r>
      <w:r>
        <w:t xml:space="preserve">are retained as the person identifiers.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birth_year</w:t>
      </w:r>
      <w:r>
        <w:t xml:space="preserve"> </w:t>
      </w:r>
      <w:r>
        <w:t xml:space="preserve">is constructed as</w:t>
      </w:r>
      <w:r>
        <w:t xml:space="preserve"> </w:t>
      </w:r>
      <w:r>
        <w:rPr>
          <w:rStyle w:val="VerbatimChar"/>
        </w:rPr>
        <w:t xml:space="preserve">survey_year - age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region</w:t>
      </w:r>
      <w:r>
        <w:t xml:space="preserve"> </w:t>
      </w:r>
      <w:r>
        <w:t xml:space="preserve">is harmonized from the HBS province labels and then mapped to the admin treatment geography.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currently_enrolled</w:t>
      </w:r>
      <w:r>
        <w:t xml:space="preserve"> </w:t>
      </w:r>
      <w:r>
        <w:t xml:space="preserve">comes from</w:t>
      </w:r>
      <w:r>
        <w:t xml:space="preserve"> </w:t>
      </w:r>
      <w:r>
        <w:rPr>
          <w:rStyle w:val="VerbatimChar"/>
        </w:rPr>
        <w:t xml:space="preserve">edu_enrolled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tertiary_enrolled_proxy</w:t>
      </w:r>
      <w:r>
        <w:t xml:space="preserve"> </w:t>
      </w:r>
      <w:r>
        <w:t xml:space="preserve">flags currently enrolled respondents whose education labels indicate a tertiary track.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tertiary_completed_proxy</w:t>
      </w:r>
      <w:r>
        <w:t xml:space="preserve"> </w:t>
      </w:r>
      <w:r>
        <w:t xml:space="preserve">is a conservative proxy based on tertiary-level labels plus completion or non-enrollment status when available.</w:t>
      </w:r>
    </w:p>
    <w:p>
      <w:pPr>
        <w:pStyle w:val="Compact"/>
        <w:numPr>
          <w:ilvl w:val="0"/>
          <w:numId w:val="1004"/>
        </w:numPr>
      </w:pPr>
      <w:r>
        <w:t xml:space="preserve">Parent linkage follows the conservative co-resident son/daughter rule, using head/spouse education with a minimum 12-year age gap.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welfare_proxy</w:t>
      </w:r>
      <w:r>
        <w:t xml:space="preserve"> </w:t>
      </w:r>
      <w:r>
        <w:t xml:space="preserve">is a within-year standardized housing-space proxy built from dwelling area per capita, with rooms per capita as fallback.</w:t>
      </w:r>
    </w:p>
    <w:bookmarkEnd w:id="32"/>
    <w:bookmarkStart w:id="33" w:name="admin-treatment-inputs"/>
    <w:p>
      <w:pPr>
        <w:pStyle w:val="Heading2"/>
      </w:pPr>
      <w:r>
        <w:t xml:space="preserve">Admin treatment inputs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uzbekistan_expansion_treatment_panel_final.csv</w:t>
      </w:r>
      <w:r>
        <w:t xml:space="preserve"> </w:t>
      </w:r>
      <w:r>
        <w:t xml:space="preserve">loaded from</w:t>
      </w:r>
      <w:r>
        <w:t xml:space="preserve"> </w:t>
      </w:r>
      <w:r>
        <w:rPr>
          <w:rStyle w:val="VerbatimChar"/>
        </w:rPr>
        <w:t xml:space="preserve">C:/Users/n.ortiqov/Desktop/Fellowship research/data/raw/admin</w:t>
      </w:r>
      <w:r>
        <w:t xml:space="preserve">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uzbekistan_bachelor_access_panel_final.csv</w:t>
      </w:r>
      <w:r>
        <w:t xml:space="preserve"> </w:t>
      </w:r>
      <w:r>
        <w:t xml:space="preserve">loaded from</w:t>
      </w:r>
      <w:r>
        <w:t xml:space="preserve"> </w:t>
      </w:r>
      <w:r>
        <w:rPr>
          <w:rStyle w:val="VerbatimChar"/>
        </w:rPr>
        <w:t xml:space="preserve">C:/Users/n.ortiqov/Desktop/Fellowship research/data/raw/admin</w:t>
      </w:r>
      <w:r>
        <w:t xml:space="preserve">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uzbekistan_he_capacity_panel_final.csv</w:t>
      </w:r>
      <w:r>
        <w:t xml:space="preserve"> </w:t>
      </w:r>
      <w:r>
        <w:t xml:space="preserve">loaded from</w:t>
      </w:r>
      <w:r>
        <w:t xml:space="preserve"> </w:t>
      </w:r>
      <w:r>
        <w:rPr>
          <w:rStyle w:val="VerbatimChar"/>
        </w:rPr>
        <w:t xml:space="preserve">C:/Users/n.ortiqov/Desktop/Fellowship research/data/raw/admin</w:t>
      </w:r>
      <w:r>
        <w:t xml:space="preserve">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uzbekistan_youth_population_20_24_panel.csv</w:t>
      </w:r>
      <w:r>
        <w:t xml:space="preserve"> </w:t>
      </w:r>
      <w:r>
        <w:t xml:space="preserve">loaded from</w:t>
      </w:r>
      <w:r>
        <w:t xml:space="preserve"> </w:t>
      </w:r>
      <w:r>
        <w:rPr>
          <w:rStyle w:val="VerbatimChar"/>
        </w:rPr>
        <w:t xml:space="preserve">C:/Users/n.ortiqov/Desktop/Fellowship research/data/raw/admin</w:t>
      </w:r>
      <w:r>
        <w:t xml:space="preserve">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uzbekistan_expansion_source_registry_final.csv</w:t>
      </w:r>
      <w:r>
        <w:t xml:space="preserve"> </w:t>
      </w:r>
      <w:r>
        <w:t xml:space="preserve">loaded from</w:t>
      </w:r>
      <w:r>
        <w:t xml:space="preserve"> </w:t>
      </w:r>
      <w:r>
        <w:rPr>
          <w:rStyle w:val="VerbatimChar"/>
        </w:rPr>
        <w:t xml:space="preserve">C:/Users/n.ortiqov/Desktop/Fellowship research/data/raw/admin</w:t>
      </w:r>
      <w:r>
        <w:t xml:space="preserve">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uzbekistan_expansion_qa_checks_final.csv</w:t>
      </w:r>
      <w:r>
        <w:t xml:space="preserve"> </w:t>
      </w:r>
      <w:r>
        <w:t xml:space="preserve">loaded from</w:t>
      </w:r>
      <w:r>
        <w:t xml:space="preserve"> </w:t>
      </w:r>
      <w:r>
        <w:rPr>
          <w:rStyle w:val="VerbatimChar"/>
        </w:rPr>
        <w:t xml:space="preserve">C:/Users/n.ortiqov/Desktop/Fellowship research/data/raw/admin</w:t>
      </w:r>
      <w:r>
        <w:t xml:space="preserve">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uzbekistan_university_expansion_final.xlsx</w:t>
      </w:r>
      <w:r>
        <w:t xml:space="preserve"> </w:t>
      </w:r>
      <w:r>
        <w:t xml:space="preserve">loaded from</w:t>
      </w:r>
      <w:r>
        <w:t xml:space="preserve"> </w:t>
      </w:r>
      <w:r>
        <w:rPr>
          <w:rStyle w:val="VerbatimChar"/>
        </w:rPr>
        <w:t xml:space="preserve">C:/Users/n.ortiqov/Desktop/Fellowship research/data/raw/admin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Current treatment variables are merged with</w:t>
      </w:r>
      <w:r>
        <w:t xml:space="preserve"> </w:t>
      </w:r>
      <w:r>
        <w:rPr>
          <w:rStyle w:val="VerbatimChar"/>
        </w:rPr>
        <w:t xml:space="preserve">academic_year_start = survey_year - 1</w:t>
      </w:r>
      <w:r>
        <w:t xml:space="preserve">, which aligns each calendar-year HBS extract to the academic year in force across most of that survey year.</w:t>
      </w:r>
    </w:p>
    <w:p>
      <w:pPr>
        <w:numPr>
          <w:ilvl w:val="0"/>
          <w:numId w:val="1005"/>
        </w:numPr>
      </w:pPr>
      <w:r>
        <w:t xml:space="preserve">Respondent-specific exposure measures additionally average region-level treatment intensity over the years when each respondent was ages 17-20, limited to the observed 2019-2024 admin panel.</w:t>
      </w:r>
    </w:p>
    <w:bookmarkEnd w:id="33"/>
    <w:bookmarkStart w:id="34" w:name="output-isolation"/>
    <w:p>
      <w:pPr>
        <w:pStyle w:val="Heading2"/>
      </w:pPr>
      <w:r>
        <w:t xml:space="preserve">Output isolation</w:t>
      </w:r>
    </w:p>
    <w:p>
      <w:pPr>
        <w:pStyle w:val="Compact"/>
        <w:numPr>
          <w:ilvl w:val="0"/>
          <w:numId w:val="1006"/>
        </w:numPr>
      </w:pPr>
      <w:r>
        <w:t xml:space="preserve">All new module outputs are written under</w:t>
      </w:r>
      <w:r>
        <w:t xml:space="preserve"> </w:t>
      </w:r>
      <w:r>
        <w:rPr>
          <w:rStyle w:val="VerbatimChar"/>
        </w:rPr>
        <w:t xml:space="preserve">outputs/hbs_expansion_causal/</w:t>
      </w:r>
      <w:r>
        <w:t xml:space="preserve"> </w:t>
      </w:r>
      <w:r>
        <w:t xml:space="preserve">or to dedicated</w:t>
      </w:r>
      <w:r>
        <w:t xml:space="preserve"> </w:t>
      </w:r>
      <w:r>
        <w:rPr>
          <w:rStyle w:val="VerbatimChar"/>
        </w:rPr>
        <w:t xml:space="preserve">hbs_expansion_*.parquet</w:t>
      </w:r>
      <w:r>
        <w:t xml:space="preserve"> </w:t>
      </w:r>
      <w:r>
        <w:t xml:space="preserve">processed files.</w:t>
      </w:r>
    </w:p>
    <w:bookmarkEnd w:id="34"/>
    <w:bookmarkStart w:id="35" w:name="linkage-failure-modes"/>
    <w:p>
      <w:pPr>
        <w:pStyle w:val="Heading2"/>
      </w:pPr>
      <w:r>
        <w:t xml:space="preserve">Linkage Failure Modes</w:t>
      </w:r>
    </w:p>
    <w:bookmarkEnd w:id="35"/>
    <w:bookmarkEnd w:id="36"/>
    <w:bookmarkStart w:id="42" w:name="linkage-failure-modes-1"/>
    <w:p>
      <w:pPr>
        <w:pStyle w:val="Heading1"/>
      </w:pPr>
      <w:r>
        <w:t xml:space="preserve">Linkage Failure Modes</w:t>
      </w:r>
    </w:p>
    <w:p>
      <w:pPr>
        <w:pStyle w:val="FirstParagraph"/>
      </w:pPr>
      <w:r>
        <w:t xml:space="preserve">These counts are based on the new exploratory HBS expansion-design linkage audit and not on the older pooled ages 25-64 supplement.</w:t>
      </w:r>
    </w:p>
    <w:bookmarkStart w:id="37" w:name="age-window-18_24"/>
    <w:p>
      <w:pPr>
        <w:pStyle w:val="Heading2"/>
      </w:pPr>
      <w:r>
        <w:t xml:space="preserve">Age Window 18_24</w:t>
      </w:r>
    </w:p>
    <w:p>
      <w:pPr>
        <w:pStyle w:val="Compact"/>
        <w:numPr>
          <w:ilvl w:val="0"/>
          <w:numId w:val="1007"/>
        </w:numPr>
      </w:pPr>
      <w:r>
        <w:t xml:space="preserve">Not coded as son/daughter of household head: 14664 cases (39.9%).</w:t>
      </w:r>
    </w:p>
    <w:p>
      <w:pPr>
        <w:pStyle w:val="Compact"/>
        <w:numPr>
          <w:ilvl w:val="0"/>
          <w:numId w:val="1007"/>
        </w:numPr>
      </w:pPr>
      <w:r>
        <w:t xml:space="preserve">Co-resident child but no usable parental education under age-gap rule: 13830 cases (37.7%).</w:t>
      </w:r>
    </w:p>
    <w:p>
      <w:pPr>
        <w:pStyle w:val="Compact"/>
        <w:numPr>
          <w:ilvl w:val="0"/>
          <w:numId w:val="1007"/>
        </w:numPr>
      </w:pPr>
      <w:r>
        <w:t xml:space="preserve">Linked under conservative rule: 7267 cases (19.8%).</w:t>
      </w:r>
    </w:p>
    <w:p>
      <w:pPr>
        <w:pStyle w:val="Compact"/>
        <w:numPr>
          <w:ilvl w:val="0"/>
          <w:numId w:val="1007"/>
        </w:numPr>
      </w:pPr>
      <w:r>
        <w:t xml:space="preserve">Father link missing: 857 cases (2.3%).</w:t>
      </w:r>
    </w:p>
    <w:p>
      <w:pPr>
        <w:pStyle w:val="Compact"/>
        <w:numPr>
          <w:ilvl w:val="0"/>
          <w:numId w:val="1007"/>
        </w:numPr>
      </w:pPr>
      <w:r>
        <w:t xml:space="preserve">Mother link missing: 100 cases (0.3%).</w:t>
      </w:r>
    </w:p>
    <w:bookmarkEnd w:id="37"/>
    <w:bookmarkStart w:id="38" w:name="age-window-22_30"/>
    <w:p>
      <w:pPr>
        <w:pStyle w:val="Heading2"/>
      </w:pPr>
      <w:r>
        <w:t xml:space="preserve">Age Window 22_30</w:t>
      </w:r>
    </w:p>
    <w:p>
      <w:pPr>
        <w:pStyle w:val="Compact"/>
        <w:numPr>
          <w:ilvl w:val="0"/>
          <w:numId w:val="1008"/>
        </w:numPr>
      </w:pPr>
      <w:r>
        <w:t xml:space="preserve">Not coded as son/daughter of household head: 17471 cases (50.1%).</w:t>
      </w:r>
    </w:p>
    <w:p>
      <w:pPr>
        <w:pStyle w:val="Compact"/>
        <w:numPr>
          <w:ilvl w:val="0"/>
          <w:numId w:val="1008"/>
        </w:numPr>
      </w:pPr>
      <w:r>
        <w:t xml:space="preserve">Co-resident child but no usable parental education under age-gap rule: 11049 cases (31.7%).</w:t>
      </w:r>
    </w:p>
    <w:p>
      <w:pPr>
        <w:pStyle w:val="Compact"/>
        <w:numPr>
          <w:ilvl w:val="0"/>
          <w:numId w:val="1008"/>
        </w:numPr>
      </w:pPr>
      <w:r>
        <w:t xml:space="preserve">Linked under conservative rule: 5086 cases (14.6%).</w:t>
      </w:r>
    </w:p>
    <w:p>
      <w:pPr>
        <w:pStyle w:val="Compact"/>
        <w:numPr>
          <w:ilvl w:val="0"/>
          <w:numId w:val="1008"/>
        </w:numPr>
      </w:pPr>
      <w:r>
        <w:t xml:space="preserve">Father link missing: 1086 cases (3.1%).</w:t>
      </w:r>
    </w:p>
    <w:p>
      <w:pPr>
        <w:pStyle w:val="Compact"/>
        <w:numPr>
          <w:ilvl w:val="0"/>
          <w:numId w:val="1008"/>
        </w:numPr>
      </w:pPr>
      <w:r>
        <w:t xml:space="preserve">Mother link missing: 195 cases (0.6%).</w:t>
      </w:r>
    </w:p>
    <w:bookmarkEnd w:id="38"/>
    <w:bookmarkStart w:id="39" w:name="age-window-25_35"/>
    <w:p>
      <w:pPr>
        <w:pStyle w:val="Heading2"/>
      </w:pPr>
      <w:r>
        <w:t xml:space="preserve">Age Window 25_35</w:t>
      </w:r>
    </w:p>
    <w:p>
      <w:pPr>
        <w:pStyle w:val="Compact"/>
        <w:numPr>
          <w:ilvl w:val="0"/>
          <w:numId w:val="1009"/>
        </w:numPr>
      </w:pPr>
      <w:r>
        <w:t xml:space="preserve">Not coded as son/daughter of household head: 16668 cases (56.9%).</w:t>
      </w:r>
    </w:p>
    <w:p>
      <w:pPr>
        <w:pStyle w:val="Compact"/>
        <w:numPr>
          <w:ilvl w:val="0"/>
          <w:numId w:val="1009"/>
        </w:numPr>
      </w:pPr>
      <w:r>
        <w:t xml:space="preserve">Co-resident child but no usable parental education under age-gap rule: 8061 cases (27.5%).</w:t>
      </w:r>
    </w:p>
    <w:p>
      <w:pPr>
        <w:pStyle w:val="Compact"/>
        <w:numPr>
          <w:ilvl w:val="0"/>
          <w:numId w:val="1009"/>
        </w:numPr>
      </w:pPr>
      <w:r>
        <w:t xml:space="preserve">Linked under conservative rule: 3170 cases (10.8%).</w:t>
      </w:r>
    </w:p>
    <w:p>
      <w:pPr>
        <w:pStyle w:val="Compact"/>
        <w:numPr>
          <w:ilvl w:val="0"/>
          <w:numId w:val="1009"/>
        </w:numPr>
      </w:pPr>
      <w:r>
        <w:t xml:space="preserve">Father link missing: 1104 cases (3.8%).</w:t>
      </w:r>
    </w:p>
    <w:p>
      <w:pPr>
        <w:pStyle w:val="Compact"/>
        <w:numPr>
          <w:ilvl w:val="0"/>
          <w:numId w:val="1009"/>
        </w:numPr>
      </w:pPr>
      <w:r>
        <w:t xml:space="preserve">Mother link missing: 273 cases (0.9%).</w:t>
      </w:r>
    </w:p>
    <w:bookmarkEnd w:id="39"/>
    <w:bookmarkStart w:id="40" w:name="exploratory-estimation"/>
    <w:p>
      <w:pPr>
        <w:pStyle w:val="Heading2"/>
      </w:pPr>
      <w:r>
        <w:t xml:space="preserve">Exploratory Estimation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"/>
        <w:gridCol w:w="315"/>
        <w:gridCol w:w="5269"/>
        <w:gridCol w:w="536"/>
        <w:gridCol w:w="631"/>
        <w:gridCol w:w="631"/>
        <w:gridCol w:w="28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preferred_window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preferred_outcome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chosen_sample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sample_n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descriptive cohort-exposure comparisons on the rescued residence-stability sample.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18_24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 enrollment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no_migration_signal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estimated in this run. Outcome-harmonization audit found no repeated multi-year candidate outcome in the no-migration working sample, so Model B remains deferred.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18_24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 enrollment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no_migration_signal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until a repeated multi-year outcome supports Model B on the same restricted sample.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18_24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 enrollment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no_migration_signal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4114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br/>
      </w:r>
      <w:r>
        <w:rPr>
          <w:rStyle w:val="VerbatimChar"/>
        </w:rPr>
        <w:t xml:space="preserve">### Model 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2"/>
        <w:gridCol w:w="887"/>
        <w:gridCol w:w="1433"/>
        <w:gridCol w:w="614"/>
        <w:gridCol w:w="955"/>
        <w:gridCol w:w="1160"/>
        <w:gridCol w:w="13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cohort_exposure_group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exposure_bin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low_parent_education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sample_n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preferred_window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preferred_outcome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full_overlap_4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18_24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 enrollment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full_overlap_4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18_24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 enrollment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full_overlap_4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18_24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 enrollment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full_overlap_4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18_24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 enrollment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full_overlap_4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18_24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 enrollment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full_overlap_4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18_24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 enrollment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full_overlap_4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18_24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 enrollment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full_overlap_4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18_24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 enrollment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partial_overlap_1_2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18_24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 enrollment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partial_overlap_1_2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18_24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 enrollment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partial_overlap_1_2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18_24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 enrollment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partial_overlap_1_2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18_24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 enrollment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partial_overlap_1_2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18_24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 enrollment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partial_overlap_1_2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18_24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 enrollment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partial_overlap_1_2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18_24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 enrollment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partial_overlap_1_2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18_24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 enrollment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partial_overlap_3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18_24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 enrollment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partial_overlap_3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18_24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 enrollment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partial_overlap_3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18_24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 enrollment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partial_overlap_3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18_24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 enrollment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partial_overlap_3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18_24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 enrollment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partial_overlap_3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18_24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 enrollment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partial_overlap_3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18_24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 enrollment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partial_overlap_3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18_24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 enrollment</w:t>
            </w:r>
          </w:p>
        </w:tc>
      </w:tr>
    </w:tbl>
    <w:bookmarkEnd w:id="40"/>
    <w:bookmarkStart w:id="41" w:name="model-a-review-gate"/>
    <w:p>
      <w:pPr>
        <w:pStyle w:val="Heading2"/>
      </w:pPr>
      <w:r>
        <w:t xml:space="preserve">Model A Review Gate</w:t>
      </w:r>
    </w:p>
    <w:bookmarkEnd w:id="41"/>
    <w:bookmarkEnd w:id="42"/>
    <w:bookmarkStart w:id="43" w:name="model-a-review-note"/>
    <w:p>
      <w:pPr>
        <w:pStyle w:val="Heading1"/>
      </w:pPr>
      <w:r>
        <w:t xml:space="preserve">Model A Review Note</w:t>
      </w:r>
    </w:p>
    <w:p>
      <w:pPr>
        <w:pStyle w:val="Compact"/>
        <w:numPr>
          <w:ilvl w:val="0"/>
          <w:numId w:val="1010"/>
        </w:numPr>
      </w:pPr>
      <w:r>
        <w:t xml:space="preserve">Working sample reviewed:</w:t>
      </w:r>
      <w:r>
        <w:t xml:space="preserve"> </w:t>
      </w:r>
      <w:r>
        <w:rPr>
          <w:rStyle w:val="VerbatimChar"/>
        </w:rPr>
        <w:t xml:space="preserve">no_migration_signal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Preferred linkage window:</w:t>
      </w:r>
      <w:r>
        <w:t xml:space="preserve"> </w:t>
      </w:r>
      <w:r>
        <w:rPr>
          <w:rStyle w:val="VerbatimChar"/>
        </w:rPr>
        <w:t xml:space="preserve">18_24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Preferred outcome:</w:t>
      </w:r>
      <w:r>
        <w:t xml:space="preserve"> </w:t>
      </w:r>
      <w:r>
        <w:rPr>
          <w:rStyle w:val="VerbatimChar"/>
        </w:rPr>
        <w:t xml:space="preserve">tertiary enrollment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Direction check pass: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Region-dominance check pass: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Cell-balance check pass: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Year-stability check pass: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Sample-interpretability check pass: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FirstParagraph"/>
      </w:pPr>
      <w:r>
        <w:t xml:space="preserve">Model A does not yet clear all five review checks on the</w:t>
      </w:r>
      <w:r>
        <w:t xml:space="preserve"> </w:t>
      </w:r>
      <w:r>
        <w:rPr>
          <w:rStyle w:val="VerbatimChar"/>
        </w:rPr>
        <w:t xml:space="preserve">no_migration_signal</w:t>
      </w:r>
      <w:r>
        <w:t xml:space="preserve"> </w:t>
      </w:r>
      <w:r>
        <w:t xml:space="preserve">sample. The module should therefore stay at Model A only, with Model B and Model C still deferred.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2"/>
        <w:gridCol w:w="6255"/>
        <w:gridCol w:w="30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check_name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metric_summary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Direction sensible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Exposed-cohort top vs bottom quartile gap = 1.0%; top-half vs bottom-half gap = 0.8%; full-overlap top vs bottom gap = 1.7%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single-region dominance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Leading positive-contribution region = Bukhara region at 25.7%; gap after excluding Tashkent city = 0.9%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cell n = 48.5; share &gt;=10 = 95.2%; share &gt;=20 = 88.1%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stability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 non-missing share min = 100.0%; year-to-year rate range = 0.0%; years covered =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 interpretability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gap vs full linked = 0.15; female-share gap = 2.7%; max region-share gap = 0.8%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br/>
      </w:r>
      <w:r>
        <w:rPr>
          <w:rStyle w:val="VerbatimChar"/>
        </w:rPr>
        <w:t xml:space="preserve">### Direction Review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review_group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exposure_bin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sample_n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weighted_mean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lower_parent_education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lower_parent_education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lower_parent_education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lower_parent_education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higher_parent_education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higher_parent_education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higher_parent_education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higher_parent_education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full_overlap_only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full_overlap_only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full_overlap_only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full_overlap_only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br/>
      </w:r>
      <w:r>
        <w:rPr>
          <w:rStyle w:val="VerbatimChar"/>
        </w:rPr>
        <w:t xml:space="preserve">### Region Sensitivity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660"/>
        <w:gridCol w:w="1173"/>
        <w:gridCol w:w="1173"/>
        <w:gridCol w:w="1100"/>
        <w:gridCol w:w="18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excluded_region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sample_n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quartile_1_rate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quartile_4_rate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top_bottom_gap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top_half_bottom_half_gap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all_regions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Andijan 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Bukhara 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Fergana 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Jizzakh 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Kashkadarya 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Khorezm 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Namangan 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Navoi 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Republic of Karakalpakstan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Samarkand 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Surkhandarya 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Syrdarya 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Tashkent city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Tashkent 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br/>
      </w:r>
      <w:r>
        <w:rPr>
          <w:rStyle w:val="VerbatimChar"/>
        </w:rPr>
        <w:t xml:space="preserve">### Cell Balance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0"/>
        <w:gridCol w:w="495"/>
        <w:gridCol w:w="385"/>
        <w:gridCol w:w="605"/>
        <w:gridCol w:w="605"/>
        <w:gridCol w:w="770"/>
        <w:gridCol w:w="605"/>
        <w:gridCol w:w="605"/>
        <w:gridCol w:w="880"/>
        <w:gridCol w:w="935"/>
        <w:gridCol w:w="93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sample_label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sample_n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cell_n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cell_min_n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cell_p25_n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cell_median_n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cell_p75_n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cell_max_n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cell_share_ge_5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cell_share_ge_10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cell_share_ge_20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no_migration_signal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0.881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br/>
      </w:r>
      <w:r>
        <w:rPr>
          <w:rStyle w:val="VerbatimChar"/>
        </w:rPr>
        <w:t xml:space="preserve">### Year Stability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5"/>
        <w:gridCol w:w="858"/>
        <w:gridCol w:w="2480"/>
        <w:gridCol w:w="2099"/>
        <w:gridCol w:w="1335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survey_year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sample_n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outcome_non_missing_share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outcome_positive_rate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exposed_share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br/>
      </w:r>
      <w:r>
        <w:rPr>
          <w:rStyle w:val="VerbatimChar"/>
        </w:rPr>
        <w:t xml:space="preserve">### Sample Profile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1"/>
        <w:gridCol w:w="630"/>
        <w:gridCol w:w="1261"/>
        <w:gridCol w:w="911"/>
        <w:gridCol w:w="841"/>
        <w:gridCol w:w="1401"/>
        <w:gridCol w:w="1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sample_label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sample_n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weighted_mean_age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female_share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urban_share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tashkent_city_share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largest_region_share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full_linked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no_migration_signal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</w:t>
            </w:r>
          </w:p>
        </w:tc>
      </w:tr>
    </w:tbl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HBS University Expansion Design Note</dc:title>
  <dc:creator>Research Team</dc:creator>
  <cp:keywords/>
  <dcterms:created xsi:type="dcterms:W3CDTF">2026-04-02T04:36:36Z</dcterms:created>
  <dcterms:modified xsi:type="dcterms:W3CDTF">2026-04-02T04:36:36Z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2026-04-02</vt:lpwstr>
  </property>
  <property fmtid="{D5CDD505-2E9C-101B-9397-08002B2CF9AE}" pid="7" name="editor">
    <vt:lpwstr>visual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link-citations">
    <vt:lpwstr>True</vt:lpwstr>
  </property>
  <property fmtid="{D5CDD505-2E9C-101B-9397-08002B2CF9AE}" pid="14" name="reference-section-title">
    <vt:lpwstr>References</vt:lpwstr>
  </property>
  <property fmtid="{D5CDD505-2E9C-101B-9397-08002B2CF9AE}" pid="15" name="toc-title">
    <vt:lpwstr>Table of contents</vt:lpwstr>
  </property>
</Properties>
</file>