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HBS Descriptive Companion Note</w:t>
      </w:r>
    </w:p>
    <w:p>
      <w:pPr>
        <w:pStyle w:val="Author"/>
      </w:pPr>
      <w:r>
        <w:t xml:space="preserve">Research Team</w:t>
      </w:r>
    </w:p>
    <w:p>
      <w:pPr>
        <w:pStyle w:val="Date"/>
      </w:pPr>
      <w:r>
        <w:t xml:space="preserve">2026-04-02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cope"/>
    <w:p>
      <w:pPr>
        <w:pStyle w:val="Heading2"/>
      </w:pPr>
      <w:r>
        <w:t xml:space="preserve">Scope</w:t>
      </w:r>
    </w:p>
    <w:p>
      <w:pPr>
        <w:pStyle w:val="FirstParagraph"/>
      </w:pPr>
      <w:r>
        <w:t xml:space="preserve">This note adds a supplementary HBS descriptive layer to the Uzbekistan LiTS paper. Its purpose is to document the household support environment around schooling, not to replace the paper’s core LiTS mobility estimates.</w:t>
      </w:r>
    </w:p>
    <w:p>
      <w:pPr>
        <w:pStyle w:val="BodyText"/>
      </w:pPr>
      <w:r>
        <w:t xml:space="preserve">The organizing rule is strict. HBS is used here for descriptive context only: year profiles, urban-rural contrasts, regional overlays, younger-cohort household conditions, and high-versus-low expansion grouping based on the existing university-expansion treatment panel. None of the tables or figures below should be read as direct intergenerational mobility estimates.</w:t>
      </w:r>
    </w:p>
    <w:bookmarkEnd w:id="20"/>
    <w:bookmarkStart w:id="21" w:name="household-support-by-year"/>
    <w:p>
      <w:pPr>
        <w:pStyle w:val="Heading2"/>
      </w:pPr>
      <w:r>
        <w:t xml:space="preserve">Household Support by Year</w:t>
      </w:r>
    </w:p>
    <w:p>
      <w:pPr>
        <w:pStyle w:val="FirstParagraph"/>
      </w:pPr>
      <w:r>
        <w:t xml:space="preserve">The first descriptive layer tracks whether households report enrolled members, positive education spending, tutoring, migration-linked resources, remittance use for education, and internet access. Most support indicators are available across the 2021-2025 HBS span; internet access remains limited to the years covered by the working internet module in the current processed layer.</w:t>
      </w:r>
    </w:p>
    <w:p>
      <w:pPr>
        <w:pStyle w:val="SourceCode"/>
      </w:pPr>
      <w:r>
        <w:rPr>
          <w:rStyle w:val="VerbatimChar"/>
        </w:rPr>
        <w:t xml:space="preserve">Trend figure not available at render time.</w:t>
      </w:r>
    </w:p>
    <w:tbl>
      <w:tblPr>
        <w:tblStyle w:val="Table"/>
        <w:tblW w:type="pct" w:w="5000"/>
        <w:tblLayout w:type="fixed"/>
        <w:tblLook w:firstRow="1" w:lastRow="0" w:firstColumn="0" w:lastColumn="0" w:noHBand="0" w:noVBand="0" w:val="0020"/>
      </w:tblPr>
      <w:tblGrid>
        <w:gridCol w:w="2832"/>
        <w:gridCol w:w="314"/>
        <w:gridCol w:w="314"/>
        <w:gridCol w:w="314"/>
        <w:gridCol w:w="314"/>
        <w:gridCol w:w="314"/>
        <w:gridCol w:w="839"/>
        <w:gridCol w:w="1153"/>
        <w:gridCol w:w="1521"/>
      </w:tblGrid>
      <w:tr>
        <w:trPr>
          <w:tblHeader w:val="on"/>
        </w:trPr>
        <w:tc>
          <w:tcPr/>
          <w:p>
            <w:pPr>
              <w:pStyle w:val="Compact"/>
              <w:jc w:val="left"/>
            </w:pPr>
            <w:r>
              <w:t xml:space="preserve">Indicator</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pooled_national</w:t>
            </w:r>
          </w:p>
        </w:tc>
        <w:tc>
          <w:tcPr/>
          <w:p>
            <w:pPr>
              <w:pStyle w:val="Compact"/>
              <w:jc w:val="left"/>
            </w:pPr>
            <w:r>
              <w:t xml:space="preserve">Denominator</w:t>
            </w:r>
          </w:p>
        </w:tc>
        <w:tc>
          <w:tcPr/>
          <w:p>
            <w:pPr>
              <w:pStyle w:val="Compact"/>
              <w:jc w:val="left"/>
            </w:pPr>
            <w:r>
              <w:t xml:space="preserve">Available years</w:t>
            </w:r>
          </w:p>
        </w:tc>
      </w:tr>
      <w:tr>
        <w:tc>
          <w:tcPr/>
          <w:p>
            <w:pPr>
              <w:pStyle w:val="Compact"/>
              <w:jc w:val="left"/>
            </w:pPr>
            <w:r>
              <w:t xml:space="preserve">Households with enrolled members</w:t>
            </w:r>
          </w:p>
        </w:tc>
        <w:tc>
          <w:tcPr/>
          <w:p>
            <w:pPr>
              <w:pStyle w:val="Compact"/>
              <w:jc w:val="left"/>
            </w:pPr>
            <w:r>
              <w:t xml:space="preserve">50.9%</w:t>
            </w:r>
          </w:p>
        </w:tc>
        <w:tc>
          <w:tcPr/>
          <w:p>
            <w:pPr>
              <w:pStyle w:val="Compact"/>
              <w:jc w:val="left"/>
            </w:pPr>
            <w:r>
              <w:t xml:space="preserve">58.9%</w:t>
            </w:r>
          </w:p>
        </w:tc>
        <w:tc>
          <w:tcPr/>
          <w:p>
            <w:pPr>
              <w:pStyle w:val="Compact"/>
              <w:jc w:val="left"/>
            </w:pPr>
            <w:r>
              <w:t xml:space="preserve">67.8%</w:t>
            </w:r>
          </w:p>
        </w:tc>
        <w:tc>
          <w:tcPr/>
          <w:p>
            <w:pPr>
              <w:pStyle w:val="Compact"/>
              <w:jc w:val="left"/>
            </w:pPr>
            <w:r>
              <w:t xml:space="preserve">67.5%</w:t>
            </w:r>
          </w:p>
        </w:tc>
        <w:tc>
          <w:tcPr/>
          <w:p>
            <w:pPr>
              <w:pStyle w:val="Compact"/>
              <w:jc w:val="left"/>
            </w:pPr>
            <w:r>
              <w:t xml:space="preserve">68.6%</w:t>
            </w:r>
          </w:p>
        </w:tc>
        <w:tc>
          <w:tcPr/>
          <w:p>
            <w:pPr>
              <w:pStyle w:val="Compact"/>
              <w:jc w:val="left"/>
            </w:pPr>
            <w:r>
              <w:t xml:space="preserve">65.7%</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positive education spending</w:t>
            </w:r>
          </w:p>
        </w:tc>
        <w:tc>
          <w:tcPr/>
          <w:p>
            <w:pPr>
              <w:pStyle w:val="Compact"/>
              <w:jc w:val="left"/>
            </w:pPr>
            <w:r>
              <w:t xml:space="preserve">50.4%</w:t>
            </w:r>
          </w:p>
        </w:tc>
        <w:tc>
          <w:tcPr/>
          <w:p>
            <w:pPr>
              <w:pStyle w:val="Compact"/>
              <w:jc w:val="left"/>
            </w:pPr>
            <w:r>
              <w:t xml:space="preserve">57.6%</w:t>
            </w:r>
          </w:p>
        </w:tc>
        <w:tc>
          <w:tcPr/>
          <w:p>
            <w:pPr>
              <w:pStyle w:val="Compact"/>
              <w:jc w:val="left"/>
            </w:pPr>
            <w:r>
              <w:t xml:space="preserve">64.3%</w:t>
            </w:r>
          </w:p>
        </w:tc>
        <w:tc>
          <w:tcPr/>
          <w:p>
            <w:pPr>
              <w:pStyle w:val="Compact"/>
              <w:jc w:val="left"/>
            </w:pPr>
            <w:r>
              <w:t xml:space="preserve">63.6%</w:t>
            </w:r>
          </w:p>
        </w:tc>
        <w:tc>
          <w:tcPr/>
          <w:p>
            <w:pPr>
              <w:pStyle w:val="Compact"/>
              <w:jc w:val="left"/>
            </w:pPr>
            <w:r>
              <w:t xml:space="preserve">65.2%</w:t>
            </w:r>
          </w:p>
        </w:tc>
        <w:tc>
          <w:tcPr/>
          <w:p>
            <w:pPr>
              <w:pStyle w:val="Compact"/>
              <w:jc w:val="left"/>
            </w:pPr>
            <w:r>
              <w:t xml:space="preserve">62.6%</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tutoring</w:t>
            </w:r>
          </w:p>
        </w:tc>
        <w:tc>
          <w:tcPr/>
          <w:p>
            <w:pPr>
              <w:pStyle w:val="Compact"/>
              <w:jc w:val="left"/>
            </w:pPr>
            <w:r>
              <w:t xml:space="preserve">18.5%</w:t>
            </w:r>
          </w:p>
        </w:tc>
        <w:tc>
          <w:tcPr/>
          <w:p>
            <w:pPr>
              <w:pStyle w:val="Compact"/>
              <w:jc w:val="left"/>
            </w:pPr>
            <w:r>
              <w:t xml:space="preserve">17.1%</w:t>
            </w:r>
          </w:p>
        </w:tc>
        <w:tc>
          <w:tcPr/>
          <w:p>
            <w:pPr>
              <w:pStyle w:val="Compact"/>
              <w:jc w:val="left"/>
            </w:pPr>
            <w:r>
              <w:t xml:space="preserve">19.8%</w:t>
            </w:r>
          </w:p>
        </w:tc>
        <w:tc>
          <w:tcPr/>
          <w:p>
            <w:pPr>
              <w:pStyle w:val="Compact"/>
              <w:jc w:val="left"/>
            </w:pPr>
            <w:r>
              <w:t xml:space="preserve">20.7%</w:t>
            </w:r>
          </w:p>
        </w:tc>
        <w:tc>
          <w:tcPr/>
          <w:p>
            <w:pPr>
              <w:pStyle w:val="Compact"/>
              <w:jc w:val="left"/>
            </w:pPr>
            <w:r>
              <w:t xml:space="preserve">9.0%</w:t>
            </w:r>
          </w:p>
        </w:tc>
        <w:tc>
          <w:tcPr/>
          <w:p>
            <w:pPr>
              <w:pStyle w:val="Compact"/>
              <w:jc w:val="left"/>
            </w:pPr>
            <w:r>
              <w:t xml:space="preserve">16.7%</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emigrant member</w:t>
            </w:r>
          </w:p>
        </w:tc>
        <w:tc>
          <w:tcPr/>
          <w:p>
            <w:pPr>
              <w:pStyle w:val="Compact"/>
              <w:jc w:val="left"/>
            </w:pPr>
            <w:r>
              <w:t xml:space="preserve">15.4%</w:t>
            </w:r>
          </w:p>
        </w:tc>
        <w:tc>
          <w:tcPr/>
          <w:p>
            <w:pPr>
              <w:pStyle w:val="Compact"/>
              <w:jc w:val="left"/>
            </w:pPr>
            <w:r>
              <w:t xml:space="preserve">17.9%</w:t>
            </w:r>
          </w:p>
        </w:tc>
        <w:tc>
          <w:tcPr/>
          <w:p>
            <w:pPr>
              <w:pStyle w:val="Compact"/>
              <w:jc w:val="left"/>
            </w:pPr>
            <w:r>
              <w:t xml:space="preserve">18.6%</w:t>
            </w:r>
          </w:p>
        </w:tc>
        <w:tc>
          <w:tcPr/>
          <w:p>
            <w:pPr>
              <w:pStyle w:val="Compact"/>
              <w:jc w:val="left"/>
            </w:pPr>
            <w:r>
              <w:t xml:space="preserve">15.4%</w:t>
            </w:r>
          </w:p>
        </w:tc>
        <w:tc>
          <w:tcPr/>
          <w:p>
            <w:pPr>
              <w:pStyle w:val="Compact"/>
              <w:jc w:val="left"/>
            </w:pPr>
            <w:r>
              <w:t xml:space="preserve">14.6%</w:t>
            </w:r>
          </w:p>
        </w:tc>
        <w:tc>
          <w:tcPr/>
          <w:p>
            <w:pPr>
              <w:pStyle w:val="Compact"/>
              <w:jc w:val="left"/>
            </w:pPr>
            <w:r>
              <w:t xml:space="preserve">16.3%</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receiving remittances</w:t>
            </w:r>
          </w:p>
        </w:tc>
        <w:tc>
          <w:tcPr/>
          <w:p>
            <w:pPr>
              <w:pStyle w:val="Compact"/>
              <w:jc w:val="left"/>
            </w:pPr>
            <w:r>
              <w:t xml:space="preserve">15.4%</w:t>
            </w:r>
          </w:p>
        </w:tc>
        <w:tc>
          <w:tcPr/>
          <w:p>
            <w:pPr>
              <w:pStyle w:val="Compact"/>
              <w:jc w:val="left"/>
            </w:pPr>
            <w:r>
              <w:t xml:space="preserve">15.7%</w:t>
            </w:r>
          </w:p>
        </w:tc>
        <w:tc>
          <w:tcPr/>
          <w:p>
            <w:pPr>
              <w:pStyle w:val="Compact"/>
              <w:jc w:val="left"/>
            </w:pPr>
            <w:r>
              <w:t xml:space="preserve">16.5%</w:t>
            </w:r>
          </w:p>
        </w:tc>
        <w:tc>
          <w:tcPr/>
          <w:p>
            <w:pPr>
              <w:pStyle w:val="Compact"/>
              <w:jc w:val="left"/>
            </w:pPr>
            <w:r>
              <w:t xml:space="preserve">14.3%</w:t>
            </w:r>
          </w:p>
        </w:tc>
        <w:tc>
          <w:tcPr/>
          <w:p>
            <w:pPr>
              <w:pStyle w:val="Compact"/>
              <w:jc w:val="left"/>
            </w:pPr>
            <w:r>
              <w:t xml:space="preserve">13.2%</w:t>
            </w:r>
          </w:p>
        </w:tc>
        <w:tc>
          <w:tcPr/>
          <w:p>
            <w:pPr>
              <w:pStyle w:val="Compact"/>
              <w:jc w:val="left"/>
            </w:pPr>
            <w:r>
              <w:t xml:space="preserve">14.8%</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Remittance households using remittances for education</w:t>
            </w:r>
          </w:p>
        </w:tc>
        <w:tc>
          <w:tcPr/>
          <w:p>
            <w:pPr>
              <w:pStyle w:val="Compact"/>
              <w:jc w:val="left"/>
            </w:pPr>
            <w:r>
              <w:t xml:space="preserve">14.3%</w:t>
            </w:r>
          </w:p>
        </w:tc>
        <w:tc>
          <w:tcPr/>
          <w:p>
            <w:pPr>
              <w:pStyle w:val="Compact"/>
              <w:jc w:val="left"/>
            </w:pPr>
            <w:r>
              <w:t xml:space="preserve">13.8%</w:t>
            </w:r>
          </w:p>
        </w:tc>
        <w:tc>
          <w:tcPr/>
          <w:p>
            <w:pPr>
              <w:pStyle w:val="Compact"/>
              <w:jc w:val="left"/>
            </w:pPr>
            <w:r>
              <w:t xml:space="preserve">16.8%</w:t>
            </w:r>
          </w:p>
        </w:tc>
        <w:tc>
          <w:tcPr/>
          <w:p>
            <w:pPr>
              <w:pStyle w:val="Compact"/>
              <w:jc w:val="left"/>
            </w:pPr>
            <w:r>
              <w:t xml:space="preserve">20.8%</w:t>
            </w:r>
          </w:p>
        </w:tc>
        <w:tc>
          <w:tcPr/>
          <w:p>
            <w:pPr>
              <w:pStyle w:val="Compact"/>
              <w:jc w:val="left"/>
            </w:pPr>
            <w:r>
              <w:t xml:space="preserve">25.9%</w:t>
            </w:r>
          </w:p>
        </w:tc>
        <w:tc>
          <w:tcPr/>
          <w:p>
            <w:pPr>
              <w:pStyle w:val="Compact"/>
              <w:jc w:val="left"/>
            </w:pPr>
            <w:r>
              <w:t xml:space="preserve">19.6%</w:t>
            </w:r>
          </w:p>
        </w:tc>
        <w:tc>
          <w:tcPr/>
          <w:p>
            <w:pPr>
              <w:pStyle w:val="Compact"/>
              <w:jc w:val="left"/>
            </w:pPr>
            <w:r>
              <w:t xml:space="preserve">remittance households</w:t>
            </w:r>
          </w:p>
        </w:tc>
        <w:tc>
          <w:tcPr/>
          <w:p>
            <w:pPr>
              <w:pStyle w:val="Compact"/>
              <w:jc w:val="left"/>
            </w:pPr>
            <w:r>
              <w:t xml:space="preserve">2021, 2022, 2023, 2024, 2025</w:t>
            </w:r>
          </w:p>
        </w:tc>
      </w:tr>
      <w:tr>
        <w:tc>
          <w:tcPr/>
          <w:p>
            <w:pPr>
              <w:pStyle w:val="Compact"/>
              <w:jc w:val="left"/>
            </w:pPr>
            <w:r>
              <w:t xml:space="preserve">Households with internet access</w:t>
            </w:r>
          </w:p>
        </w:tc>
        <w:tc>
          <w:tcPr/>
          <w:p>
            <w:pPr>
              <w:pStyle w:val="Compact"/>
              <w:jc w:val="left"/>
            </w:pPr>
            <w:r>
              <w:t xml:space="preserve">95.0%</w:t>
            </w:r>
          </w:p>
        </w:tc>
        <w:tc>
          <w:tcPr/>
          <w:p>
            <w:pPr>
              <w:pStyle w:val="Compact"/>
              <w:jc w:val="left"/>
            </w:pPr>
            <w:r>
              <w:t xml:space="preserve">97.9%</w:t>
            </w:r>
          </w:p>
        </w:tc>
        <w:tc>
          <w:tcPr/>
          <w:p>
            <w:pPr>
              <w:pStyle w:val="Compact"/>
              <w:jc w:val="left"/>
            </w:pPr>
            <w:r>
              <w:t xml:space="preserve">99.7%</w:t>
            </w:r>
          </w:p>
        </w:tc>
        <w:tc>
          <w:tcPr/>
          <w:p>
            <w:pPr>
              <w:pStyle w:val="Compact"/>
              <w:jc w:val="left"/>
            </w:pPr>
            <w:r>
              <w:t xml:space="preserve">49.2%</w:t>
            </w:r>
          </w:p>
        </w:tc>
        <w:tc>
          <w:tcPr/>
          <w:p>
            <w:pPr>
              <w:pStyle w:val="Compact"/>
              <w:jc w:val="left"/>
            </w:pPr>
            <w:r>
              <w:t xml:space="preserve">NA</w:t>
            </w:r>
          </w:p>
        </w:tc>
        <w:tc>
          <w:tcPr/>
          <w:p>
            <w:pPr>
              <w:pStyle w:val="Compact"/>
              <w:jc w:val="left"/>
            </w:pPr>
            <w:r>
              <w:t xml:space="preserve">79.7%</w:t>
            </w:r>
          </w:p>
        </w:tc>
        <w:tc>
          <w:tcPr/>
          <w:p>
            <w:pPr>
              <w:pStyle w:val="Compact"/>
              <w:jc w:val="left"/>
            </w:pPr>
            <w:r>
              <w:t xml:space="preserve">all households</w:t>
            </w:r>
          </w:p>
        </w:tc>
        <w:tc>
          <w:tcPr/>
          <w:p>
            <w:pPr>
              <w:pStyle w:val="Compact"/>
              <w:jc w:val="left"/>
            </w:pPr>
            <w:r>
              <w:t xml:space="preserve">2021, 2022, 2023, 2024</w:t>
            </w:r>
          </w:p>
        </w:tc>
      </w:tr>
    </w:tbl>
    <w:bookmarkEnd w:id="21"/>
    <w:bookmarkStart w:id="22" w:name="urban-rural-differences"/>
    <w:p>
      <w:pPr>
        <w:pStyle w:val="Heading2"/>
      </w:pPr>
      <w:r>
        <w:t xml:space="preserve">Urban-Rural Differences</w:t>
      </w:r>
    </w:p>
    <w:p>
      <w:pPr>
        <w:pStyle w:val="FirstParagraph"/>
      </w:pPr>
      <w:r>
        <w:t xml:space="preserve">Urban-rural contrasts help anchor the LiTS interpretation in a broader support environment. These differences are descriptive household-level overlays rather than coefficients from a pooled mobility model.</w:t>
      </w:r>
    </w:p>
    <w:p>
      <w:pPr>
        <w:pStyle w:val="SourceCode"/>
      </w:pPr>
      <w:r>
        <w:rPr>
          <w:rStyle w:val="VerbatimChar"/>
        </w:rPr>
        <w:t xml:space="preserve">Urban-rural figure not available at render time.</w:t>
      </w:r>
    </w:p>
    <w:tbl>
      <w:tblPr>
        <w:tblStyle w:val="Table"/>
        <w:tblW w:type="pct" w:w="5000"/>
        <w:tblLayout w:type="fixed"/>
        <w:tblLook w:firstRow="1" w:lastRow="0" w:firstColumn="0" w:lastColumn="0" w:noHBand="0" w:noVBand="0" w:val="0020"/>
      </w:tblPr>
      <w:tblGrid>
        <w:gridCol w:w="3054"/>
        <w:gridCol w:w="509"/>
        <w:gridCol w:w="339"/>
        <w:gridCol w:w="339"/>
        <w:gridCol w:w="792"/>
        <w:gridCol w:w="1244"/>
        <w:gridCol w:w="1640"/>
      </w:tblGrid>
      <w:tr>
        <w:trPr>
          <w:tblHeader w:val="on"/>
        </w:trPr>
        <w:tc>
          <w:tcPr/>
          <w:p>
            <w:pPr>
              <w:pStyle w:val="Compact"/>
              <w:jc w:val="left"/>
            </w:pPr>
            <w:r>
              <w:t xml:space="preserve">Indicator</w:t>
            </w:r>
          </w:p>
        </w:tc>
        <w:tc>
          <w:tcPr/>
          <w:p>
            <w:pPr>
              <w:pStyle w:val="Compact"/>
              <w:jc w:val="left"/>
            </w:pPr>
            <w:r>
              <w:t xml:space="preserve">National</w:t>
            </w:r>
          </w:p>
        </w:tc>
        <w:tc>
          <w:tcPr/>
          <w:p>
            <w:pPr>
              <w:pStyle w:val="Compact"/>
              <w:jc w:val="left"/>
            </w:pPr>
            <w:r>
              <w:t xml:space="preserve">Urban</w:t>
            </w:r>
          </w:p>
        </w:tc>
        <w:tc>
          <w:tcPr/>
          <w:p>
            <w:pPr>
              <w:pStyle w:val="Compact"/>
              <w:jc w:val="left"/>
            </w:pPr>
            <w:r>
              <w:t xml:space="preserve">Rural</w:t>
            </w:r>
          </w:p>
        </w:tc>
        <w:tc>
          <w:tcPr/>
          <w:p>
            <w:pPr>
              <w:pStyle w:val="Compact"/>
              <w:jc w:val="left"/>
            </w:pPr>
            <w:r>
              <w:t xml:space="preserve">Urban - rural</w:t>
            </w:r>
          </w:p>
        </w:tc>
        <w:tc>
          <w:tcPr/>
          <w:p>
            <w:pPr>
              <w:pStyle w:val="Compact"/>
              <w:jc w:val="left"/>
            </w:pPr>
            <w:r>
              <w:t xml:space="preserve">Denominator</w:t>
            </w:r>
          </w:p>
        </w:tc>
        <w:tc>
          <w:tcPr/>
          <w:p>
            <w:pPr>
              <w:pStyle w:val="Compact"/>
              <w:jc w:val="left"/>
            </w:pPr>
            <w:r>
              <w:t xml:space="preserve">Available years</w:t>
            </w:r>
          </w:p>
        </w:tc>
      </w:tr>
      <w:tr>
        <w:tc>
          <w:tcPr/>
          <w:p>
            <w:pPr>
              <w:pStyle w:val="Compact"/>
              <w:jc w:val="left"/>
            </w:pPr>
            <w:r>
              <w:t xml:space="preserve">Households with enrolled members</w:t>
            </w:r>
          </w:p>
        </w:tc>
        <w:tc>
          <w:tcPr/>
          <w:p>
            <w:pPr>
              <w:pStyle w:val="Compact"/>
              <w:jc w:val="left"/>
            </w:pPr>
            <w:r>
              <w:t xml:space="preserve">65.7%</w:t>
            </w:r>
          </w:p>
        </w:tc>
        <w:tc>
          <w:tcPr/>
          <w:p>
            <w:pPr>
              <w:pStyle w:val="Compact"/>
              <w:jc w:val="left"/>
            </w:pPr>
            <w:r>
              <w:t xml:space="preserve">63.5%</w:t>
            </w:r>
          </w:p>
        </w:tc>
        <w:tc>
          <w:tcPr/>
          <w:p>
            <w:pPr>
              <w:pStyle w:val="Compact"/>
              <w:jc w:val="left"/>
            </w:pPr>
            <w:r>
              <w:t xml:space="preserve">67.9%</w:t>
            </w:r>
          </w:p>
        </w:tc>
        <w:tc>
          <w:tcPr/>
          <w:p>
            <w:pPr>
              <w:pStyle w:val="Compact"/>
              <w:jc w:val="left"/>
            </w:pPr>
            <w:r>
              <w:t xml:space="preserve">-4.5%</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positive education spending</w:t>
            </w:r>
          </w:p>
        </w:tc>
        <w:tc>
          <w:tcPr/>
          <w:p>
            <w:pPr>
              <w:pStyle w:val="Compact"/>
              <w:jc w:val="left"/>
            </w:pPr>
            <w:r>
              <w:t xml:space="preserve">62.6%</w:t>
            </w:r>
          </w:p>
        </w:tc>
        <w:tc>
          <w:tcPr/>
          <w:p>
            <w:pPr>
              <w:pStyle w:val="Compact"/>
              <w:jc w:val="left"/>
            </w:pPr>
            <w:r>
              <w:t xml:space="preserve">60.3%</w:t>
            </w:r>
          </w:p>
        </w:tc>
        <w:tc>
          <w:tcPr/>
          <w:p>
            <w:pPr>
              <w:pStyle w:val="Compact"/>
              <w:jc w:val="left"/>
            </w:pPr>
            <w:r>
              <w:t xml:space="preserve">64.9%</w:t>
            </w:r>
          </w:p>
        </w:tc>
        <w:tc>
          <w:tcPr/>
          <w:p>
            <w:pPr>
              <w:pStyle w:val="Compact"/>
              <w:jc w:val="left"/>
            </w:pPr>
            <w:r>
              <w:t xml:space="preserve">-4.6%</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tutoring</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0.0%</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emigrant member</w:t>
            </w:r>
          </w:p>
        </w:tc>
        <w:tc>
          <w:tcPr/>
          <w:p>
            <w:pPr>
              <w:pStyle w:val="Compact"/>
              <w:jc w:val="left"/>
            </w:pPr>
            <w:r>
              <w:t xml:space="preserve">16.3%</w:t>
            </w:r>
          </w:p>
        </w:tc>
        <w:tc>
          <w:tcPr/>
          <w:p>
            <w:pPr>
              <w:pStyle w:val="Compact"/>
              <w:jc w:val="left"/>
            </w:pPr>
            <w:r>
              <w:t xml:space="preserve">13.2%</w:t>
            </w:r>
          </w:p>
        </w:tc>
        <w:tc>
          <w:tcPr/>
          <w:p>
            <w:pPr>
              <w:pStyle w:val="Compact"/>
              <w:jc w:val="left"/>
            </w:pPr>
            <w:r>
              <w:t xml:space="preserve">19.4%</w:t>
            </w:r>
          </w:p>
        </w:tc>
        <w:tc>
          <w:tcPr/>
          <w:p>
            <w:pPr>
              <w:pStyle w:val="Compact"/>
              <w:jc w:val="left"/>
            </w:pPr>
            <w:r>
              <w:t xml:space="preserve">-6.3%</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receiving remittances</w:t>
            </w:r>
          </w:p>
        </w:tc>
        <w:tc>
          <w:tcPr/>
          <w:p>
            <w:pPr>
              <w:pStyle w:val="Compact"/>
              <w:jc w:val="left"/>
            </w:pPr>
            <w:r>
              <w:t xml:space="preserve">14.8%</w:t>
            </w:r>
          </w:p>
        </w:tc>
        <w:tc>
          <w:tcPr/>
          <w:p>
            <w:pPr>
              <w:pStyle w:val="Compact"/>
              <w:jc w:val="left"/>
            </w:pPr>
            <w:r>
              <w:t xml:space="preserve">11.9%</w:t>
            </w:r>
          </w:p>
        </w:tc>
        <w:tc>
          <w:tcPr/>
          <w:p>
            <w:pPr>
              <w:pStyle w:val="Compact"/>
              <w:jc w:val="left"/>
            </w:pPr>
            <w:r>
              <w:t xml:space="preserve">17.8%</w:t>
            </w:r>
          </w:p>
        </w:tc>
        <w:tc>
          <w:tcPr/>
          <w:p>
            <w:pPr>
              <w:pStyle w:val="Compact"/>
              <w:jc w:val="left"/>
            </w:pPr>
            <w:r>
              <w:t xml:space="preserve">-5.9%</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Remittance households using remittances for education</w:t>
            </w:r>
          </w:p>
        </w:tc>
        <w:tc>
          <w:tcPr/>
          <w:p>
            <w:pPr>
              <w:pStyle w:val="Compact"/>
              <w:jc w:val="left"/>
            </w:pPr>
            <w:r>
              <w:t xml:space="preserve">19.6%</w:t>
            </w:r>
          </w:p>
        </w:tc>
        <w:tc>
          <w:tcPr/>
          <w:p>
            <w:pPr>
              <w:pStyle w:val="Compact"/>
              <w:jc w:val="left"/>
            </w:pPr>
            <w:r>
              <w:t xml:space="preserve">20.3%</w:t>
            </w:r>
          </w:p>
        </w:tc>
        <w:tc>
          <w:tcPr/>
          <w:p>
            <w:pPr>
              <w:pStyle w:val="Compact"/>
              <w:jc w:val="left"/>
            </w:pPr>
            <w:r>
              <w:t xml:space="preserve">19.1%</w:t>
            </w:r>
          </w:p>
        </w:tc>
        <w:tc>
          <w:tcPr/>
          <w:p>
            <w:pPr>
              <w:pStyle w:val="Compact"/>
              <w:jc w:val="left"/>
            </w:pPr>
            <w:r>
              <w:t xml:space="preserve">1.2%</w:t>
            </w:r>
          </w:p>
        </w:tc>
        <w:tc>
          <w:tcPr/>
          <w:p>
            <w:pPr>
              <w:pStyle w:val="Compact"/>
              <w:jc w:val="left"/>
            </w:pPr>
            <w:r>
              <w:t xml:space="preserve">remittance households</w:t>
            </w:r>
          </w:p>
        </w:tc>
        <w:tc>
          <w:tcPr/>
          <w:p>
            <w:pPr>
              <w:pStyle w:val="Compact"/>
              <w:jc w:val="left"/>
            </w:pPr>
            <w:r>
              <w:t xml:space="preserve">2021, 2022, 2023, 2024, 2025</w:t>
            </w:r>
          </w:p>
        </w:tc>
      </w:tr>
      <w:tr>
        <w:tc>
          <w:tcPr/>
          <w:p>
            <w:pPr>
              <w:pStyle w:val="Compact"/>
              <w:jc w:val="left"/>
            </w:pPr>
            <w:r>
              <w:t xml:space="preserve">Households with internet access</w:t>
            </w:r>
          </w:p>
        </w:tc>
        <w:tc>
          <w:tcPr/>
          <w:p>
            <w:pPr>
              <w:pStyle w:val="Compact"/>
              <w:jc w:val="left"/>
            </w:pPr>
            <w:r>
              <w:t xml:space="preserve">79.7%</w:t>
            </w:r>
          </w:p>
        </w:tc>
        <w:tc>
          <w:tcPr/>
          <w:p>
            <w:pPr>
              <w:pStyle w:val="Compact"/>
              <w:jc w:val="left"/>
            </w:pPr>
            <w:r>
              <w:t xml:space="preserve">79.6%</w:t>
            </w:r>
          </w:p>
        </w:tc>
        <w:tc>
          <w:tcPr/>
          <w:p>
            <w:pPr>
              <w:pStyle w:val="Compact"/>
              <w:jc w:val="left"/>
            </w:pPr>
            <w:r>
              <w:t xml:space="preserve">79.8%</w:t>
            </w:r>
          </w:p>
        </w:tc>
        <w:tc>
          <w:tcPr/>
          <w:p>
            <w:pPr>
              <w:pStyle w:val="Compact"/>
              <w:jc w:val="left"/>
            </w:pPr>
            <w:r>
              <w:t xml:space="preserve">-0.2%</w:t>
            </w:r>
          </w:p>
        </w:tc>
        <w:tc>
          <w:tcPr/>
          <w:p>
            <w:pPr>
              <w:pStyle w:val="Compact"/>
              <w:jc w:val="left"/>
            </w:pPr>
            <w:r>
              <w:t xml:space="preserve">all households</w:t>
            </w:r>
          </w:p>
        </w:tc>
        <w:tc>
          <w:tcPr/>
          <w:p>
            <w:pPr>
              <w:pStyle w:val="Compact"/>
              <w:jc w:val="left"/>
            </w:pPr>
            <w:r>
              <w:t xml:space="preserve">2021, 2022, 2023, 2024</w:t>
            </w:r>
          </w:p>
        </w:tc>
      </w:tr>
    </w:tbl>
    <w:bookmarkEnd w:id="22"/>
    <w:bookmarkStart w:id="23" w:name="regional-overlays"/>
    <w:p>
      <w:pPr>
        <w:pStyle w:val="Heading2"/>
      </w:pPr>
      <w:r>
        <w:t xml:space="preserve">Regional Overlays</w:t>
      </w:r>
    </w:p>
    <w:p>
      <w:pPr>
        <w:pStyle w:val="FirstParagraph"/>
      </w:pPr>
      <w:r>
        <w:t xml:space="preserve">Regional variation is reported in long form in the supporting CSV so that all provinces remain visible without forcing an unreadably wide table. For the note itself, the ranked figure focuses on two readable indicators: positive education spending and household internet access.</w:t>
      </w:r>
    </w:p>
    <w:p>
      <w:pPr>
        <w:pStyle w:val="SourceCode"/>
      </w:pPr>
      <w:r>
        <w:rPr>
          <w:rStyle w:val="VerbatimChar"/>
        </w:rPr>
        <w:t xml:space="preserve">Regional ranked figure not available at render time.</w:t>
      </w:r>
    </w:p>
    <w:tbl>
      <w:tblPr>
        <w:tblStyle w:val="Table"/>
        <w:tblW w:type="pct" w:w="5000"/>
        <w:tblLayout w:type="fixed"/>
        <w:tblLook w:firstRow="1" w:lastRow="0" w:firstColumn="0" w:lastColumn="0" w:noHBand="0" w:noVBand="0" w:val="0020"/>
      </w:tblPr>
      <w:tblGrid>
        <w:gridCol w:w="2151"/>
        <w:gridCol w:w="1808"/>
        <w:gridCol w:w="1613"/>
        <w:gridCol w:w="928"/>
        <w:gridCol w:w="1417"/>
      </w:tblGrid>
      <w:tr>
        <w:trPr>
          <w:tblHeader w:val="on"/>
        </w:trPr>
        <w:tc>
          <w:tcPr/>
          <w:p>
            <w:pPr>
              <w:pStyle w:val="Compact"/>
              <w:jc w:val="left"/>
            </w:pPr>
            <w:r>
              <w:t xml:space="preserve">Indicator</w:t>
            </w:r>
          </w:p>
        </w:tc>
        <w:tc>
          <w:tcPr/>
          <w:p>
            <w:pPr>
              <w:pStyle w:val="Compact"/>
              <w:jc w:val="left"/>
            </w:pPr>
            <w:r>
              <w:t xml:space="preserve">Lowest three regions</w:t>
            </w:r>
          </w:p>
        </w:tc>
        <w:tc>
          <w:tcPr/>
          <w:p>
            <w:pPr>
              <w:pStyle w:val="Compact"/>
              <w:jc w:val="left"/>
            </w:pPr>
            <w:r>
              <w:t xml:space="preserve">Highest three regions</w:t>
            </w:r>
          </w:p>
        </w:tc>
        <w:tc>
          <w:tcPr/>
          <w:p>
            <w:pPr>
              <w:pStyle w:val="Compact"/>
              <w:jc w:val="left"/>
            </w:pPr>
            <w:r>
              <w:t xml:space="preserve">National reference</w:t>
            </w:r>
          </w:p>
        </w:tc>
        <w:tc>
          <w:tcPr/>
          <w:p>
            <w:pPr>
              <w:pStyle w:val="Compact"/>
              <w:jc w:val="left"/>
            </w:pPr>
            <w:r>
              <w:t xml:space="preserve">Available years</w:t>
            </w:r>
          </w:p>
        </w:tc>
      </w:tr>
      <w:tr>
        <w:tc>
          <w:tcPr/>
          <w:p>
            <w:pPr>
              <w:pStyle w:val="Compact"/>
              <w:jc w:val="left"/>
            </w:pPr>
            <w:r>
              <w:t xml:space="preserve">Households with internet access</w:t>
            </w:r>
          </w:p>
        </w:tc>
        <w:tc>
          <w:tcPr/>
          <w:p>
            <w:pPr>
              <w:pStyle w:val="Compact"/>
              <w:jc w:val="left"/>
            </w:pPr>
            <w:r>
              <w:t xml:space="preserve">Tashkent City, Khorezm, Surkhandarya</w:t>
            </w:r>
          </w:p>
        </w:tc>
        <w:tc>
          <w:tcPr/>
          <w:p>
            <w:pPr>
              <w:pStyle w:val="Compact"/>
              <w:jc w:val="left"/>
            </w:pPr>
            <w:r>
              <w:t xml:space="preserve">Tashkent Region, Fergana, Navoi</w:t>
            </w:r>
          </w:p>
        </w:tc>
        <w:tc>
          <w:tcPr/>
          <w:p>
            <w:pPr>
              <w:pStyle w:val="Compact"/>
              <w:jc w:val="left"/>
            </w:pPr>
            <w:r>
              <w:t xml:space="preserve">79.7%</w:t>
            </w:r>
          </w:p>
        </w:tc>
        <w:tc>
          <w:tcPr/>
          <w:p>
            <w:pPr>
              <w:pStyle w:val="Compact"/>
              <w:jc w:val="left"/>
            </w:pPr>
            <w:r>
              <w:t xml:space="preserve">2021, 2022, 2023, 2024</w:t>
            </w:r>
          </w:p>
        </w:tc>
      </w:tr>
      <w:tr>
        <w:tc>
          <w:tcPr/>
          <w:p>
            <w:pPr>
              <w:pStyle w:val="Compact"/>
              <w:jc w:val="left"/>
            </w:pPr>
            <w:r>
              <w:t xml:space="preserve">Households with positive education spending</w:t>
            </w:r>
          </w:p>
        </w:tc>
        <w:tc>
          <w:tcPr/>
          <w:p>
            <w:pPr>
              <w:pStyle w:val="Compact"/>
              <w:jc w:val="left"/>
            </w:pPr>
            <w:r>
              <w:t xml:space="preserve">Tashkent City, Navoi, Fergana</w:t>
            </w:r>
          </w:p>
        </w:tc>
        <w:tc>
          <w:tcPr/>
          <w:p>
            <w:pPr>
              <w:pStyle w:val="Compact"/>
              <w:jc w:val="left"/>
            </w:pPr>
            <w:r>
              <w:t xml:space="preserve">Bukhara, Khorezm, Karakalpakstan</w:t>
            </w:r>
          </w:p>
        </w:tc>
        <w:tc>
          <w:tcPr/>
          <w:p>
            <w:pPr>
              <w:pStyle w:val="Compact"/>
              <w:jc w:val="left"/>
            </w:pPr>
            <w:r>
              <w:t xml:space="preserve">62.6%</w:t>
            </w:r>
          </w:p>
        </w:tc>
        <w:tc>
          <w:tcPr/>
          <w:p>
            <w:pPr>
              <w:pStyle w:val="Compact"/>
              <w:jc w:val="left"/>
            </w:pPr>
            <w:r>
              <w:t xml:space="preserve">2021, 2022, 2023, 2024, 2025</w:t>
            </w:r>
          </w:p>
        </w:tc>
      </w:tr>
    </w:tbl>
    <w:bookmarkEnd w:id="23"/>
    <w:bookmarkStart w:id="24" w:name="younger-cohort-profile"/>
    <w:p>
      <w:pPr>
        <w:pStyle w:val="Heading2"/>
      </w:pPr>
      <w:r>
        <w:t xml:space="preserve">Younger Cohort Profile</w:t>
      </w:r>
    </w:p>
    <w:p>
      <w:pPr>
        <w:pStyle w:val="FirstParagraph"/>
      </w:pPr>
      <w:r>
        <w:t xml:space="preserve">The younger-cohort profile is person-weighted and focuses on the age ranges closest to the current education pipeline. It combines person-level enrollment markers with household environment variables carried through the harmonized HBS person overlay.</w:t>
      </w:r>
    </w:p>
    <w:tbl>
      <w:tblPr>
        <w:tblStyle w:val="Table"/>
        <w:tblW w:type="pct" w:w="5000"/>
        <w:tblLayout w:type="fixed"/>
        <w:tblLook w:firstRow="1" w:lastRow="0" w:firstColumn="0" w:lastColumn="0" w:noHBand="0" w:noVBand="0" w:val="0020"/>
      </w:tblPr>
      <w:tblGrid>
        <w:gridCol w:w="2558"/>
        <w:gridCol w:w="295"/>
        <w:gridCol w:w="295"/>
        <w:gridCol w:w="737"/>
        <w:gridCol w:w="1180"/>
        <w:gridCol w:w="1426"/>
        <w:gridCol w:w="1426"/>
      </w:tblGrid>
      <w:tr>
        <w:trPr>
          <w:tblHeader w:val="on"/>
        </w:trPr>
        <w:tc>
          <w:tcPr/>
          <w:p>
            <w:pPr>
              <w:pStyle w:val="Compact"/>
              <w:jc w:val="left"/>
            </w:pPr>
            <w:r>
              <w:t xml:space="preserve">Indicator</w:t>
            </w:r>
          </w:p>
        </w:tc>
        <w:tc>
          <w:tcPr/>
          <w:p>
            <w:pPr>
              <w:pStyle w:val="Compact"/>
              <w:jc w:val="left"/>
            </w:pPr>
            <w:r>
              <w:t xml:space="preserve">18-24</w:t>
            </w:r>
          </w:p>
        </w:tc>
        <w:tc>
          <w:tcPr/>
          <w:p>
            <w:pPr>
              <w:pStyle w:val="Compact"/>
              <w:jc w:val="left"/>
            </w:pPr>
            <w:r>
              <w:t xml:space="preserve">25-30</w:t>
            </w:r>
          </w:p>
        </w:tc>
        <w:tc>
          <w:tcPr/>
          <w:p>
            <w:pPr>
              <w:pStyle w:val="Compact"/>
              <w:jc w:val="left"/>
            </w:pPr>
            <w:r>
              <w:t xml:space="preserve">18-30 combined</w:t>
            </w:r>
          </w:p>
        </w:tc>
        <w:tc>
          <w:tcPr/>
          <w:p>
            <w:pPr>
              <w:pStyle w:val="Compact"/>
              <w:jc w:val="left"/>
            </w:pPr>
            <w:r>
              <w:t xml:space="preserve">Denominator</w:t>
            </w:r>
          </w:p>
        </w:tc>
        <w:tc>
          <w:tcPr/>
          <w:p>
            <w:pPr>
              <w:pStyle w:val="Compact"/>
              <w:jc w:val="left"/>
            </w:pPr>
            <w:r>
              <w:t xml:space="preserve">Years for 18-24</w:t>
            </w:r>
          </w:p>
        </w:tc>
        <w:tc>
          <w:tcPr/>
          <w:p>
            <w:pPr>
              <w:pStyle w:val="Compact"/>
              <w:jc w:val="left"/>
            </w:pPr>
            <w:r>
              <w:t xml:space="preserve">Years for 25-30</w:t>
            </w:r>
          </w:p>
        </w:tc>
      </w:tr>
      <w:tr>
        <w:tc>
          <w:tcPr/>
          <w:p>
            <w:pPr>
              <w:pStyle w:val="Compact"/>
              <w:jc w:val="left"/>
            </w:pPr>
            <w:r>
              <w:t xml:space="preserve">Individuals currently enrolled</w:t>
            </w:r>
          </w:p>
        </w:tc>
        <w:tc>
          <w:tcPr/>
          <w:p>
            <w:pPr>
              <w:pStyle w:val="Compact"/>
              <w:jc w:val="left"/>
            </w:pPr>
            <w:r>
              <w:t xml:space="preserve">31.4%</w:t>
            </w:r>
          </w:p>
        </w:tc>
        <w:tc>
          <w:tcPr/>
          <w:p>
            <w:pPr>
              <w:pStyle w:val="Compact"/>
              <w:jc w:val="left"/>
            </w:pPr>
            <w:r>
              <w:t xml:space="preserve">5.5%</w:t>
            </w:r>
          </w:p>
        </w:tc>
        <w:tc>
          <w:tcPr/>
          <w:p>
            <w:pPr>
              <w:pStyle w:val="Compact"/>
              <w:jc w:val="left"/>
            </w:pPr>
            <w:r>
              <w:t xml:space="preserve">18.8%</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Individuals with tertiary enrollment proxy</w:t>
            </w:r>
          </w:p>
        </w:tc>
        <w:tc>
          <w:tcPr/>
          <w:p>
            <w:pPr>
              <w:pStyle w:val="Compact"/>
              <w:jc w:val="left"/>
            </w:pPr>
            <w:r>
              <w:t xml:space="preserve">0.5%</w:t>
            </w:r>
          </w:p>
        </w:tc>
        <w:tc>
          <w:tcPr/>
          <w:p>
            <w:pPr>
              <w:pStyle w:val="Compact"/>
              <w:jc w:val="left"/>
            </w:pPr>
            <w:r>
              <w:t xml:space="preserve">0.7%</w:t>
            </w:r>
          </w:p>
        </w:tc>
        <w:tc>
          <w:tcPr/>
          <w:p>
            <w:pPr>
              <w:pStyle w:val="Compact"/>
              <w:jc w:val="left"/>
            </w:pPr>
            <w:r>
              <w:t xml:space="preserve">0.6%</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Individuals with tertiary completion proxy</w:t>
            </w:r>
          </w:p>
        </w:tc>
        <w:tc>
          <w:tcPr/>
          <w:p>
            <w:pPr>
              <w:pStyle w:val="Compact"/>
              <w:jc w:val="left"/>
            </w:pPr>
            <w:r>
              <w:t xml:space="preserve">5.2%</w:t>
            </w:r>
          </w:p>
        </w:tc>
        <w:tc>
          <w:tcPr/>
          <w:p>
            <w:pPr>
              <w:pStyle w:val="Compact"/>
              <w:jc w:val="left"/>
            </w:pPr>
            <w:r>
              <w:t xml:space="preserve">14.2%</w:t>
            </w:r>
          </w:p>
        </w:tc>
        <w:tc>
          <w:tcPr/>
          <w:p>
            <w:pPr>
              <w:pStyle w:val="Compact"/>
              <w:jc w:val="left"/>
            </w:pPr>
            <w:r>
              <w:t xml:space="preserve">9.6%</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Lives in household with an enrolled member</w:t>
            </w:r>
          </w:p>
        </w:tc>
        <w:tc>
          <w:tcPr/>
          <w:p>
            <w:pPr>
              <w:pStyle w:val="Compact"/>
              <w:jc w:val="left"/>
            </w:pPr>
            <w:r>
              <w:t xml:space="preserve">66.8%</w:t>
            </w:r>
          </w:p>
        </w:tc>
        <w:tc>
          <w:tcPr/>
          <w:p>
            <w:pPr>
              <w:pStyle w:val="Compact"/>
              <w:jc w:val="left"/>
            </w:pPr>
            <w:r>
              <w:t xml:space="preserve">50.9%</w:t>
            </w:r>
          </w:p>
        </w:tc>
        <w:tc>
          <w:tcPr/>
          <w:p>
            <w:pPr>
              <w:pStyle w:val="Compact"/>
              <w:jc w:val="left"/>
            </w:pPr>
            <w:r>
              <w:t xml:space="preserve">59.1%</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Lives in household with positive education spending</w:t>
            </w:r>
          </w:p>
        </w:tc>
        <w:tc>
          <w:tcPr/>
          <w:p>
            <w:pPr>
              <w:pStyle w:val="Compact"/>
              <w:jc w:val="left"/>
            </w:pPr>
            <w:r>
              <w:t xml:space="preserve">65.0%</w:t>
            </w:r>
          </w:p>
        </w:tc>
        <w:tc>
          <w:tcPr/>
          <w:p>
            <w:pPr>
              <w:pStyle w:val="Compact"/>
              <w:jc w:val="left"/>
            </w:pPr>
            <w:r>
              <w:t xml:space="preserve">44.1%</w:t>
            </w:r>
          </w:p>
        </w:tc>
        <w:tc>
          <w:tcPr/>
          <w:p>
            <w:pPr>
              <w:pStyle w:val="Compact"/>
              <w:jc w:val="left"/>
            </w:pPr>
            <w:r>
              <w:t xml:space="preserve">54.9%</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Lives in household with tutoring</w:t>
            </w:r>
          </w:p>
        </w:tc>
        <w:tc>
          <w:tcPr/>
          <w:p>
            <w:pPr>
              <w:pStyle w:val="Compact"/>
              <w:jc w:val="left"/>
            </w:pPr>
            <w:r>
              <w:t xml:space="preserve">15.2%</w:t>
            </w:r>
          </w:p>
        </w:tc>
        <w:tc>
          <w:tcPr/>
          <w:p>
            <w:pPr>
              <w:pStyle w:val="Compact"/>
              <w:jc w:val="left"/>
            </w:pPr>
            <w:r>
              <w:t xml:space="preserve">7.6%</w:t>
            </w:r>
          </w:p>
        </w:tc>
        <w:tc>
          <w:tcPr/>
          <w:p>
            <w:pPr>
              <w:pStyle w:val="Compact"/>
              <w:jc w:val="left"/>
            </w:pPr>
            <w:r>
              <w:t xml:space="preserve">11.5%</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Lives in remittance-receiving household</w:t>
            </w:r>
          </w:p>
        </w:tc>
        <w:tc>
          <w:tcPr/>
          <w:p>
            <w:pPr>
              <w:pStyle w:val="Compact"/>
              <w:jc w:val="left"/>
            </w:pPr>
            <w:r>
              <w:t xml:space="preserve">21.3%</w:t>
            </w:r>
          </w:p>
        </w:tc>
        <w:tc>
          <w:tcPr/>
          <w:p>
            <w:pPr>
              <w:pStyle w:val="Compact"/>
              <w:jc w:val="left"/>
            </w:pPr>
            <w:r>
              <w:t xml:space="preserve">19.9%</w:t>
            </w:r>
          </w:p>
        </w:tc>
        <w:tc>
          <w:tcPr/>
          <w:p>
            <w:pPr>
              <w:pStyle w:val="Compact"/>
              <w:jc w:val="left"/>
            </w:pPr>
            <w:r>
              <w:t xml:space="preserve">20.6%</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Lives in household with internet access</w:t>
            </w:r>
          </w:p>
        </w:tc>
        <w:tc>
          <w:tcPr/>
          <w:p>
            <w:pPr>
              <w:pStyle w:val="Compact"/>
              <w:jc w:val="left"/>
            </w:pPr>
            <w:r>
              <w:t xml:space="preserve">80.2%</w:t>
            </w:r>
          </w:p>
        </w:tc>
        <w:tc>
          <w:tcPr/>
          <w:p>
            <w:pPr>
              <w:pStyle w:val="Compact"/>
              <w:jc w:val="left"/>
            </w:pPr>
            <w:r>
              <w:t xml:space="preserve">81.3%</w:t>
            </w:r>
          </w:p>
        </w:tc>
        <w:tc>
          <w:tcPr/>
          <w:p>
            <w:pPr>
              <w:pStyle w:val="Compact"/>
              <w:jc w:val="left"/>
            </w:pPr>
            <w:r>
              <w:t xml:space="preserve">80.8%</w:t>
            </w:r>
          </w:p>
        </w:tc>
        <w:tc>
          <w:tcPr/>
          <w:p>
            <w:pPr>
              <w:pStyle w:val="Compact"/>
              <w:jc w:val="left"/>
            </w:pPr>
            <w:r>
              <w:t xml:space="preserve">all people in age group</w:t>
            </w:r>
          </w:p>
        </w:tc>
        <w:tc>
          <w:tcPr/>
          <w:p>
            <w:pPr>
              <w:pStyle w:val="Compact"/>
              <w:jc w:val="left"/>
            </w:pPr>
            <w:r>
              <w:t xml:space="preserve">2021, 2022, 2023, 2024</w:t>
            </w:r>
          </w:p>
        </w:tc>
        <w:tc>
          <w:tcPr/>
          <w:p>
            <w:pPr>
              <w:pStyle w:val="Compact"/>
              <w:jc w:val="left"/>
            </w:pPr>
            <w:r>
              <w:t xml:space="preserve">2021, 2022, 2023, 2024</w:t>
            </w:r>
          </w:p>
        </w:tc>
      </w:tr>
      <w:tr>
        <w:tc>
          <w:tcPr/>
          <w:p>
            <w:pPr>
              <w:pStyle w:val="Compact"/>
              <w:jc w:val="left"/>
            </w:pPr>
            <w:r>
              <w:t xml:space="preserve">Urban</w:t>
            </w:r>
          </w:p>
        </w:tc>
        <w:tc>
          <w:tcPr/>
          <w:p>
            <w:pPr>
              <w:pStyle w:val="Compact"/>
              <w:jc w:val="left"/>
            </w:pPr>
            <w:r>
              <w:t xml:space="preserve">46.7%</w:t>
            </w:r>
          </w:p>
        </w:tc>
        <w:tc>
          <w:tcPr/>
          <w:p>
            <w:pPr>
              <w:pStyle w:val="Compact"/>
              <w:jc w:val="left"/>
            </w:pPr>
            <w:r>
              <w:t xml:space="preserve">47.3%</w:t>
            </w:r>
          </w:p>
        </w:tc>
        <w:tc>
          <w:tcPr/>
          <w:p>
            <w:pPr>
              <w:pStyle w:val="Compact"/>
              <w:jc w:val="left"/>
            </w:pPr>
            <w:r>
              <w:t xml:space="preserve">47.0%</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r>
        <w:tc>
          <w:tcPr/>
          <w:p>
            <w:pPr>
              <w:pStyle w:val="Compact"/>
              <w:jc w:val="left"/>
            </w:pPr>
            <w:r>
              <w:t xml:space="preserve">Rural</w:t>
            </w:r>
          </w:p>
        </w:tc>
        <w:tc>
          <w:tcPr/>
          <w:p>
            <w:pPr>
              <w:pStyle w:val="Compact"/>
              <w:jc w:val="left"/>
            </w:pPr>
            <w:r>
              <w:t xml:space="preserve">53.3%</w:t>
            </w:r>
          </w:p>
        </w:tc>
        <w:tc>
          <w:tcPr/>
          <w:p>
            <w:pPr>
              <w:pStyle w:val="Compact"/>
              <w:jc w:val="left"/>
            </w:pPr>
            <w:r>
              <w:t xml:space="preserve">52.7%</w:t>
            </w:r>
          </w:p>
        </w:tc>
        <w:tc>
          <w:tcPr/>
          <w:p>
            <w:pPr>
              <w:pStyle w:val="Compact"/>
              <w:jc w:val="left"/>
            </w:pPr>
            <w:r>
              <w:t xml:space="preserve">53.0%</w:t>
            </w:r>
          </w:p>
        </w:tc>
        <w:tc>
          <w:tcPr/>
          <w:p>
            <w:pPr>
              <w:pStyle w:val="Compact"/>
              <w:jc w:val="left"/>
            </w:pPr>
            <w:r>
              <w:t xml:space="preserve">all people in age group</w:t>
            </w:r>
          </w:p>
        </w:tc>
        <w:tc>
          <w:tcPr/>
          <w:p>
            <w:pPr>
              <w:pStyle w:val="Compact"/>
              <w:jc w:val="left"/>
            </w:pPr>
            <w:r>
              <w:t xml:space="preserve">2021, 2022, 2023, 2024, 2025</w:t>
            </w:r>
          </w:p>
        </w:tc>
        <w:tc>
          <w:tcPr/>
          <w:p>
            <w:pPr>
              <w:pStyle w:val="Compact"/>
              <w:jc w:val="left"/>
            </w:pPr>
            <w:r>
              <w:t xml:space="preserve">2021, 2022, 2023, 2024, 2025</w:t>
            </w:r>
          </w:p>
        </w:tc>
      </w:tr>
    </w:tbl>
    <w:bookmarkEnd w:id="24"/>
    <w:bookmarkStart w:id="25" w:name="high--and-low-expansion-region-grouping"/>
    <w:p>
      <w:pPr>
        <w:pStyle w:val="Heading2"/>
      </w:pPr>
      <w:r>
        <w:t xml:space="preserve">High- and Low-Expansion Region Grouping</w:t>
      </w:r>
    </w:p>
    <w:p>
      <w:pPr>
        <w:pStyle w:val="FirstParagraph"/>
      </w:pPr>
      <w:r>
        <w:t xml:space="preserve">The expansion comparison uses the existing university-expansion treatment panel only to group regions descriptively. Survey years are aligned to the prior academic year, following the established merge rule in the separate HBS expansion module. These contrasts are not causal treatment effects.</w:t>
      </w:r>
    </w:p>
    <w:p>
      <w:pPr>
        <w:pStyle w:val="SourceCode"/>
      </w:pPr>
      <w:r>
        <w:rPr>
          <w:rStyle w:val="VerbatimChar"/>
        </w:rPr>
        <w:t xml:space="preserve">High-low expansion figure not available at render time.</w:t>
      </w:r>
    </w:p>
    <w:tbl>
      <w:tblPr>
        <w:tblStyle w:val="Table"/>
        <w:tblW w:type="pct" w:w="5000"/>
        <w:tblLayout w:type="fixed"/>
        <w:tblLook w:firstRow="1" w:lastRow="0" w:firstColumn="0" w:lastColumn="0" w:noHBand="0" w:noVBand="0" w:val="0020"/>
      </w:tblPr>
      <w:tblGrid>
        <w:gridCol w:w="2656"/>
        <w:gridCol w:w="688"/>
        <w:gridCol w:w="737"/>
        <w:gridCol w:w="541"/>
        <w:gridCol w:w="787"/>
        <w:gridCol w:w="1082"/>
        <w:gridCol w:w="1426"/>
      </w:tblGrid>
      <w:tr>
        <w:trPr>
          <w:tblHeader w:val="on"/>
        </w:trPr>
        <w:tc>
          <w:tcPr/>
          <w:p>
            <w:pPr>
              <w:pStyle w:val="Compact"/>
              <w:jc w:val="left"/>
            </w:pPr>
            <w:r>
              <w:t xml:space="preserve">Indicator</w:t>
            </w:r>
          </w:p>
        </w:tc>
        <w:tc>
          <w:tcPr/>
          <w:p>
            <w:pPr>
              <w:pStyle w:val="Compact"/>
              <w:jc w:val="left"/>
            </w:pPr>
            <w:r>
              <w:t xml:space="preserve">Low expansion</w:t>
            </w:r>
          </w:p>
        </w:tc>
        <w:tc>
          <w:tcPr/>
          <w:p>
            <w:pPr>
              <w:pStyle w:val="Compact"/>
              <w:jc w:val="left"/>
            </w:pPr>
            <w:r>
              <w:t xml:space="preserve">High expansion</w:t>
            </w:r>
          </w:p>
        </w:tc>
        <w:tc>
          <w:tcPr/>
          <w:p>
            <w:pPr>
              <w:pStyle w:val="Compact"/>
              <w:jc w:val="left"/>
            </w:pPr>
            <w:r>
              <w:t xml:space="preserve">High - low</w:t>
            </w:r>
          </w:p>
        </w:tc>
        <w:tc>
          <w:tcPr/>
          <w:p>
            <w:pPr>
              <w:pStyle w:val="Compact"/>
              <w:jc w:val="left"/>
            </w:pPr>
            <w:r>
              <w:t xml:space="preserve">Pooled national</w:t>
            </w:r>
          </w:p>
        </w:tc>
        <w:tc>
          <w:tcPr/>
          <w:p>
            <w:pPr>
              <w:pStyle w:val="Compact"/>
              <w:jc w:val="left"/>
            </w:pPr>
            <w:r>
              <w:t xml:space="preserve">Denominator</w:t>
            </w:r>
          </w:p>
        </w:tc>
        <w:tc>
          <w:tcPr/>
          <w:p>
            <w:pPr>
              <w:pStyle w:val="Compact"/>
              <w:jc w:val="left"/>
            </w:pPr>
            <w:r>
              <w:t xml:space="preserve">Available years</w:t>
            </w:r>
          </w:p>
        </w:tc>
      </w:tr>
      <w:tr>
        <w:tc>
          <w:tcPr/>
          <w:p>
            <w:pPr>
              <w:pStyle w:val="Compact"/>
              <w:jc w:val="left"/>
            </w:pPr>
            <w:r>
              <w:t xml:space="preserve">Households with enrolled members</w:t>
            </w:r>
          </w:p>
        </w:tc>
        <w:tc>
          <w:tcPr/>
          <w:p>
            <w:pPr>
              <w:pStyle w:val="Compact"/>
              <w:jc w:val="left"/>
            </w:pPr>
            <w:r>
              <w:t xml:space="preserve">65.3%</w:t>
            </w:r>
          </w:p>
        </w:tc>
        <w:tc>
          <w:tcPr/>
          <w:p>
            <w:pPr>
              <w:pStyle w:val="Compact"/>
              <w:jc w:val="left"/>
            </w:pPr>
            <w:r>
              <w:t xml:space="preserve">66.2%</w:t>
            </w:r>
          </w:p>
        </w:tc>
        <w:tc>
          <w:tcPr/>
          <w:p>
            <w:pPr>
              <w:pStyle w:val="Compact"/>
              <w:jc w:val="left"/>
            </w:pPr>
            <w:r>
              <w:t xml:space="preserve">0.9%</w:t>
            </w:r>
          </w:p>
        </w:tc>
        <w:tc>
          <w:tcPr/>
          <w:p>
            <w:pPr>
              <w:pStyle w:val="Compact"/>
              <w:jc w:val="left"/>
            </w:pPr>
            <w:r>
              <w:t xml:space="preserve">65.7%</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positive education spending</w:t>
            </w:r>
          </w:p>
        </w:tc>
        <w:tc>
          <w:tcPr/>
          <w:p>
            <w:pPr>
              <w:pStyle w:val="Compact"/>
              <w:jc w:val="left"/>
            </w:pPr>
            <w:r>
              <w:t xml:space="preserve">62.4%</w:t>
            </w:r>
          </w:p>
        </w:tc>
        <w:tc>
          <w:tcPr/>
          <w:p>
            <w:pPr>
              <w:pStyle w:val="Compact"/>
              <w:jc w:val="left"/>
            </w:pPr>
            <w:r>
              <w:t xml:space="preserve">62.9%</w:t>
            </w:r>
          </w:p>
        </w:tc>
        <w:tc>
          <w:tcPr/>
          <w:p>
            <w:pPr>
              <w:pStyle w:val="Compact"/>
              <w:jc w:val="left"/>
            </w:pPr>
            <w:r>
              <w:t xml:space="preserve">0.5%</w:t>
            </w:r>
          </w:p>
        </w:tc>
        <w:tc>
          <w:tcPr/>
          <w:p>
            <w:pPr>
              <w:pStyle w:val="Compact"/>
              <w:jc w:val="left"/>
            </w:pPr>
            <w:r>
              <w:t xml:space="preserve">62.6%</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tutoring</w:t>
            </w:r>
          </w:p>
        </w:tc>
        <w:tc>
          <w:tcPr/>
          <w:p>
            <w:pPr>
              <w:pStyle w:val="Compact"/>
              <w:jc w:val="left"/>
            </w:pPr>
            <w:r>
              <w:t xml:space="preserve">17.2%</w:t>
            </w:r>
          </w:p>
        </w:tc>
        <w:tc>
          <w:tcPr/>
          <w:p>
            <w:pPr>
              <w:pStyle w:val="Compact"/>
              <w:jc w:val="left"/>
            </w:pPr>
            <w:r>
              <w:t xml:space="preserve">15.9%</w:t>
            </w:r>
          </w:p>
        </w:tc>
        <w:tc>
          <w:tcPr/>
          <w:p>
            <w:pPr>
              <w:pStyle w:val="Compact"/>
              <w:jc w:val="left"/>
            </w:pPr>
            <w:r>
              <w:t xml:space="preserve">-1.2%</w:t>
            </w:r>
          </w:p>
        </w:tc>
        <w:tc>
          <w:tcPr/>
          <w:p>
            <w:pPr>
              <w:pStyle w:val="Compact"/>
              <w:jc w:val="left"/>
            </w:pPr>
            <w:r>
              <w:t xml:space="preserve">16.7%</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with emigrant member</w:t>
            </w:r>
          </w:p>
        </w:tc>
        <w:tc>
          <w:tcPr/>
          <w:p>
            <w:pPr>
              <w:pStyle w:val="Compact"/>
              <w:jc w:val="left"/>
            </w:pPr>
            <w:r>
              <w:t xml:space="preserve">18.2%</w:t>
            </w:r>
          </w:p>
        </w:tc>
        <w:tc>
          <w:tcPr/>
          <w:p>
            <w:pPr>
              <w:pStyle w:val="Compact"/>
              <w:jc w:val="left"/>
            </w:pPr>
            <w:r>
              <w:t xml:space="preserve">13.3%</w:t>
            </w:r>
          </w:p>
        </w:tc>
        <w:tc>
          <w:tcPr/>
          <w:p>
            <w:pPr>
              <w:pStyle w:val="Compact"/>
              <w:jc w:val="left"/>
            </w:pPr>
            <w:r>
              <w:t xml:space="preserve">-4.9%</w:t>
            </w:r>
          </w:p>
        </w:tc>
        <w:tc>
          <w:tcPr/>
          <w:p>
            <w:pPr>
              <w:pStyle w:val="Compact"/>
              <w:jc w:val="left"/>
            </w:pPr>
            <w:r>
              <w:t xml:space="preserve">16.3%</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Households receiving remittances</w:t>
            </w:r>
          </w:p>
        </w:tc>
        <w:tc>
          <w:tcPr/>
          <w:p>
            <w:pPr>
              <w:pStyle w:val="Compact"/>
              <w:jc w:val="left"/>
            </w:pPr>
            <w:r>
              <w:t xml:space="preserve">16.7%</w:t>
            </w:r>
          </w:p>
        </w:tc>
        <w:tc>
          <w:tcPr/>
          <w:p>
            <w:pPr>
              <w:pStyle w:val="Compact"/>
              <w:jc w:val="left"/>
            </w:pPr>
            <w:r>
              <w:t xml:space="preserve">12.0%</w:t>
            </w:r>
          </w:p>
        </w:tc>
        <w:tc>
          <w:tcPr/>
          <w:p>
            <w:pPr>
              <w:pStyle w:val="Compact"/>
              <w:jc w:val="left"/>
            </w:pPr>
            <w:r>
              <w:t xml:space="preserve">-4.8%</w:t>
            </w:r>
          </w:p>
        </w:tc>
        <w:tc>
          <w:tcPr/>
          <w:p>
            <w:pPr>
              <w:pStyle w:val="Compact"/>
              <w:jc w:val="left"/>
            </w:pPr>
            <w:r>
              <w:t xml:space="preserve">14.8%</w:t>
            </w:r>
          </w:p>
        </w:tc>
        <w:tc>
          <w:tcPr/>
          <w:p>
            <w:pPr>
              <w:pStyle w:val="Compact"/>
              <w:jc w:val="left"/>
            </w:pPr>
            <w:r>
              <w:t xml:space="preserve">all households</w:t>
            </w:r>
          </w:p>
        </w:tc>
        <w:tc>
          <w:tcPr/>
          <w:p>
            <w:pPr>
              <w:pStyle w:val="Compact"/>
              <w:jc w:val="left"/>
            </w:pPr>
            <w:r>
              <w:t xml:space="preserve">2021, 2022, 2023, 2024, 2025</w:t>
            </w:r>
          </w:p>
        </w:tc>
      </w:tr>
      <w:tr>
        <w:tc>
          <w:tcPr/>
          <w:p>
            <w:pPr>
              <w:pStyle w:val="Compact"/>
              <w:jc w:val="left"/>
            </w:pPr>
            <w:r>
              <w:t xml:space="preserve">Remittance households using remittances for education</w:t>
            </w:r>
          </w:p>
        </w:tc>
        <w:tc>
          <w:tcPr/>
          <w:p>
            <w:pPr>
              <w:pStyle w:val="Compact"/>
              <w:jc w:val="left"/>
            </w:pPr>
            <w:r>
              <w:t xml:space="preserve">16.4%</w:t>
            </w:r>
          </w:p>
        </w:tc>
        <w:tc>
          <w:tcPr/>
          <w:p>
            <w:pPr>
              <w:pStyle w:val="Compact"/>
              <w:jc w:val="left"/>
            </w:pPr>
            <w:r>
              <w:t xml:space="preserve">26.1%</w:t>
            </w:r>
          </w:p>
        </w:tc>
        <w:tc>
          <w:tcPr/>
          <w:p>
            <w:pPr>
              <w:pStyle w:val="Compact"/>
              <w:jc w:val="left"/>
            </w:pPr>
            <w:r>
              <w:t xml:space="preserve">9.7%</w:t>
            </w:r>
          </w:p>
        </w:tc>
        <w:tc>
          <w:tcPr/>
          <w:p>
            <w:pPr>
              <w:pStyle w:val="Compact"/>
              <w:jc w:val="left"/>
            </w:pPr>
            <w:r>
              <w:t xml:space="preserve">19.6%</w:t>
            </w:r>
          </w:p>
        </w:tc>
        <w:tc>
          <w:tcPr/>
          <w:p>
            <w:pPr>
              <w:pStyle w:val="Compact"/>
              <w:jc w:val="left"/>
            </w:pPr>
            <w:r>
              <w:t xml:space="preserve">remittance households</w:t>
            </w:r>
          </w:p>
        </w:tc>
        <w:tc>
          <w:tcPr/>
          <w:p>
            <w:pPr>
              <w:pStyle w:val="Compact"/>
              <w:jc w:val="left"/>
            </w:pPr>
            <w:r>
              <w:t xml:space="preserve">2021, 2022, 2023, 2024, 2025</w:t>
            </w:r>
          </w:p>
        </w:tc>
      </w:tr>
      <w:tr>
        <w:tc>
          <w:tcPr/>
          <w:p>
            <w:pPr>
              <w:pStyle w:val="Compact"/>
              <w:jc w:val="left"/>
            </w:pPr>
            <w:r>
              <w:t xml:space="preserve">Households with internet access</w:t>
            </w:r>
          </w:p>
        </w:tc>
        <w:tc>
          <w:tcPr/>
          <w:p>
            <w:pPr>
              <w:pStyle w:val="Compact"/>
              <w:jc w:val="left"/>
            </w:pPr>
            <w:r>
              <w:t xml:space="preserve">79.6%</w:t>
            </w:r>
          </w:p>
        </w:tc>
        <w:tc>
          <w:tcPr/>
          <w:p>
            <w:pPr>
              <w:pStyle w:val="Compact"/>
              <w:jc w:val="left"/>
            </w:pPr>
            <w:r>
              <w:t xml:space="preserve">79.7%</w:t>
            </w:r>
          </w:p>
        </w:tc>
        <w:tc>
          <w:tcPr/>
          <w:p>
            <w:pPr>
              <w:pStyle w:val="Compact"/>
              <w:jc w:val="left"/>
            </w:pPr>
            <w:r>
              <w:t xml:space="preserve">0.1%</w:t>
            </w:r>
          </w:p>
        </w:tc>
        <w:tc>
          <w:tcPr/>
          <w:p>
            <w:pPr>
              <w:pStyle w:val="Compact"/>
              <w:jc w:val="left"/>
            </w:pPr>
            <w:r>
              <w:t xml:space="preserve">79.7%</w:t>
            </w:r>
          </w:p>
        </w:tc>
        <w:tc>
          <w:tcPr/>
          <w:p>
            <w:pPr>
              <w:pStyle w:val="Compact"/>
              <w:jc w:val="left"/>
            </w:pPr>
            <w:r>
              <w:t xml:space="preserve">all households</w:t>
            </w:r>
          </w:p>
        </w:tc>
        <w:tc>
          <w:tcPr/>
          <w:p>
            <w:pPr>
              <w:pStyle w:val="Compact"/>
              <w:jc w:val="left"/>
            </w:pPr>
            <w:r>
              <w:t xml:space="preserve">2021, 2022, 2023, 2024</w:t>
            </w:r>
          </w:p>
        </w:tc>
      </w:tr>
    </w:tbl>
    <w:bookmarkEnd w:id="25"/>
    <w:bookmarkStart w:id="26" w:name="interpretation-and-limits"/>
    <w:p>
      <w:pPr>
        <w:pStyle w:val="Heading2"/>
      </w:pPr>
      <w:r>
        <w:t xml:space="preserve">Interpretation and Limits</w:t>
      </w:r>
    </w:p>
    <w:p>
      <w:pPr>
        <w:pStyle w:val="FirstParagraph"/>
      </w:pPr>
      <w:r>
        <w:t xml:space="preserve">Three boundaries matter for interpretation. First, LiTS remains the paper’s only source of headline intergenerational mobility estimates. Second, the HBS support variables are most useful as descriptive household context rather than as substitutes for parent-child mobility measures. Third, indicator availability is not perfectly uniform: internet access is year-limited in the current processed layer, and remittance use for education is defined only among remittance-receiving households.</w:t>
      </w:r>
    </w:p>
    <w:p>
      <w:pPr>
        <w:pStyle w:val="BodyText"/>
      </w:pPr>
      <w:r>
        <w:t xml:space="preserve">The descriptive message is nevertheless useful. Household support conditions vary across years, place, and regions, and those conditions provide a more concrete background for interpreting the LiTS evidence on persistence, household constraints, and learning support.</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HBS Descriptive Companion Note</dc:title>
  <dc:creator>Research Team</dc:creator>
  <cp:keywords/>
  <dcterms:created xsi:type="dcterms:W3CDTF">2026-04-02T07:13:14Z</dcterms:created>
  <dcterms:modified xsi:type="dcterms:W3CDTF">2026-04-02T07:13:14Z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2026-04-02</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reference-section-title">
    <vt:lpwstr>References</vt:lpwstr>
  </property>
  <property fmtid="{D5CDD505-2E9C-101B-9397-08002B2CF9AE}" pid="15" name="toc-title">
    <vt:lpwstr>Table of contents</vt:lpwstr>
  </property>
</Properties>
</file>