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Policy Brief</w:t>
      </w:r>
    </w:p>
    <w:p>
      <w:pPr>
        <w:pStyle w:val="Subtitle"/>
      </w:pPr>
      <w:r>
        <w:t xml:space="preserve">Intergenerational Educational Mobility in Uzbekistan</w:t>
      </w:r>
    </w:p>
    <w:p>
      <w:pPr>
        <w:pStyle w:val="Author"/>
      </w:pPr>
      <w:r>
        <w:t xml:space="preserve">Research Team</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udience"/>
    <w:p>
      <w:pPr>
        <w:pStyle w:val="Heading2"/>
      </w:pPr>
      <w:r>
        <w:t xml:space="preserve">Audience</w:t>
      </w:r>
    </w:p>
    <w:p>
      <w:pPr>
        <w:pStyle w:val="FirstParagraph"/>
      </w:pPr>
      <w:r>
        <w:t xml:space="preserve">This brief is written for three core audiences: education policymakers in Uzbekistan, development partners supporting education and human-capital programs, and researchers working on mobility and inequality measurement.</w:t>
      </w:r>
    </w:p>
    <w:bookmarkEnd w:id="20"/>
    <w:bookmarkStart w:id="21" w:name="what-this-evidence-is"/>
    <w:p>
      <w:pPr>
        <w:pStyle w:val="Heading2"/>
      </w:pPr>
      <w:r>
        <w:t xml:space="preserve">What This Evidence Is</w:t>
      </w:r>
    </w:p>
    <w:p>
      <w:pPr>
        <w:pStyle w:val="FirstParagraph"/>
      </w:pPr>
      <w:r>
        <w:t xml:space="preserve">The paper provides a descriptive and associational profile of intergenerational educational mobility in Uzbekistan using LiTS 2010, 2016, and 2022-23. It does not estimate causal policy effects.</w:t>
      </w:r>
    </w:p>
    <w:bookmarkEnd w:id="21"/>
    <w:bookmarkStart w:id="22" w:name="core-findings"/>
    <w:p>
      <w:pPr>
        <w:pStyle w:val="Heading2"/>
      </w:pPr>
      <w:r>
        <w:t xml:space="preserve">Core Findings</w:t>
      </w:r>
    </w:p>
    <w:p>
      <w:pPr>
        <w:pStyle w:val="FirstParagraph"/>
      </w:pPr>
      <w:r>
        <w:t xml:space="preserve">Descriptive persistence measures rise across the three LiTS waves, but pooled models do not estimate that change precisely once controls and fixed effects are added. The strongest inference is therefore about substantial persistence levels, not a precisely estimated worsening time trend.</w:t>
      </w:r>
    </w:p>
    <w:p>
      <w:pPr>
        <w:pStyle w:val="BodyText"/>
      </w:pPr>
      <w:r>
        <w:t xml:space="preserve">Across pooled correlates models, parental education remains the clearest predictor of adult educational attainment. Other household correlates are less consistently estimated once fixed effects are included.</w:t>
      </w:r>
    </w:p>
    <w:p>
      <w:pPr>
        <w:pStyle w:val="BodyText"/>
      </w:pPr>
      <w:r>
        <w:t xml:space="preserve">The bounded LiTS IV child-module extension shows widespread disruption during COVID-era schooling and heavy reliance on household support, especially maternal support. It also shows higher education-stoppage risk among children from lower-parent-education households. These patterns are suggestive, not causal.</w:t>
      </w:r>
    </w:p>
    <w:bookmarkEnd w:id="22"/>
    <w:bookmarkStart w:id="23" w:name="caveats-for-decision-makers"/>
    <w:p>
      <w:pPr>
        <w:pStyle w:val="Heading2"/>
      </w:pPr>
      <w:r>
        <w:t xml:space="preserve">Caveats for Decision-Makers</w:t>
      </w:r>
    </w:p>
    <w:p>
      <w:pPr>
        <w:pStyle w:val="FirstParagraph"/>
      </w:pPr>
      <w:r>
        <w:t xml:space="preserve">The 2022-23 category-based mobility rates should be treated cautiously because the valid categorical denominator is much smaller than the valid sample used for the 2022 rank-based measure. Those rates are useful as directional checks, not stand-alone headline evidence.</w:t>
      </w:r>
    </w:p>
    <w:bookmarkEnd w:id="23"/>
    <w:bookmarkStart w:id="24" w:name="policy-implications"/>
    <w:p>
      <w:pPr>
        <w:pStyle w:val="Heading2"/>
      </w:pPr>
      <w:r>
        <w:t xml:space="preserve">Policy Implications</w:t>
      </w:r>
    </w:p>
    <w:p>
      <w:pPr>
        <w:pStyle w:val="Compact"/>
        <w:numPr>
          <w:ilvl w:val="0"/>
          <w:numId w:val="1001"/>
        </w:numPr>
      </w:pPr>
      <w:r>
        <w:t xml:space="preserve">Protect learning transitions where persistence is most likely to harden: prioritize remedial support at lower-to-upper-secondary and upper-secondary-to-post-secondary transitions in regions with weaker progression profiles.</w:t>
      </w:r>
    </w:p>
    <w:p>
      <w:pPr>
        <w:pStyle w:val="Compact"/>
        <w:numPr>
          <w:ilvl w:val="0"/>
          <w:numId w:val="1001"/>
        </w:numPr>
      </w:pPr>
      <w:r>
        <w:t xml:space="preserve">Target household learning constraints directly: combine school-side interventions with household-side support packages (device access, reliable connectivity support, and practical caregiver guidance for home learning).</w:t>
      </w:r>
    </w:p>
    <w:p>
      <w:pPr>
        <w:pStyle w:val="Compact"/>
        <w:numPr>
          <w:ilvl w:val="0"/>
          <w:numId w:val="1001"/>
        </w:numPr>
      </w:pPr>
      <w:r>
        <w:t xml:space="preserve">Build shock-readiness protocols into routine education planning: pre-position remote-learning continuity tools so future disruptions are less likely to convert into education stoppage among lower-parent-education households.</w:t>
      </w:r>
    </w:p>
    <w:p>
      <w:pPr>
        <w:pStyle w:val="Compact"/>
        <w:numPr>
          <w:ilvl w:val="0"/>
          <w:numId w:val="1001"/>
        </w:numPr>
      </w:pPr>
      <w:r>
        <w:t xml:space="preserve">Recognize household care and support burdens in program design: when continuity plans assume home support, include gender-aware measures that reduce disproportionate burdens on mothers.</w:t>
      </w:r>
    </w:p>
    <w:p>
      <w:pPr>
        <w:pStyle w:val="Compact"/>
        <w:numPr>
          <w:ilvl w:val="0"/>
          <w:numId w:val="1001"/>
        </w:numPr>
      </w:pPr>
      <w:r>
        <w:t xml:space="preserve">Strengthen mobility monitoring: maintain regular rank-based and category-based reporting from repeated surveys so policy can track persistence levels without over-interpreting noisy categorical cells.</w:t>
      </w:r>
    </w:p>
    <w:p>
      <w:pPr>
        <w:pStyle w:val="FirstParagraph"/>
      </w:pPr>
      <w:r>
        <w:t xml:space="preserve">Supplementary HBS evidence on the household support environment points in the same direction: connectivity, tutoring access, education spending capacity, and migration/remittance resources remain part of the constraint set facing families, even though HBS is not used for headline mobility estimation.</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 Brief</dc:title>
  <dc:creator>Research Team</dc:creator>
  <cp:keywords/>
  <dcterms:created xsi:type="dcterms:W3CDTF">2026-03-27T17:13:52Z</dcterms:created>
  <dcterms:modified xsi:type="dcterms:W3CDTF">2026-03-27T17:13:52Z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2026-03-27</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reference-section-title">
    <vt:lpwstr>References</vt:lpwstr>
  </property>
  <property fmtid="{D5CDD505-2E9C-101B-9397-08002B2CF9AE}" pid="15" name="subtitle">
    <vt:lpwstr>Intergenerational Educational Mobility in Uzbekistan</vt:lpwstr>
  </property>
  <property fmtid="{D5CDD505-2E9C-101B-9397-08002B2CF9AE}" pid="16" name="toc-title">
    <vt:lpwstr>Table of contents</vt:lpwstr>
  </property>
</Properties>
</file>