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Intergenerational Educational Mobility in Uzbekistan</w:t>
      </w:r>
    </w:p>
    <w:p>
      <w:pPr>
        <w:pStyle w:val="Author"/>
      </w:pPr>
      <w:r>
        <w:t xml:space="preserve">Research Team</w:t>
      </w:r>
    </w:p>
    <w:p>
      <w:pPr>
        <w:pStyle w:val="Date"/>
      </w:pPr>
      <w:r>
        <w:t xml:space="preserve">2026-03-27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2"/>
      </w:pPr>
      <w:r>
        <w:t xml:space="preserve">Abstract</w:t>
      </w:r>
    </w:p>
    <w:p>
      <w:pPr>
        <w:pStyle w:val="FirstParagraph"/>
      </w:pPr>
      <w:r>
        <w:t xml:space="preserve">This paper studies intergenerational educational mobility in Uzbekistan using the 2010, 2016, and 2022-23 waves of the Life in Transition Survey (LiTS). It asks how strongly educational attainment is associated across generations, which household and regional characteristics are correlated with mobility, and what the 2022-23 child module suggests about household learning conditions during pandemic disruption.</w:t>
      </w:r>
    </w:p>
    <w:p>
      <w:pPr>
        <w:pStyle w:val="BodyText"/>
      </w:pPr>
      <w:r>
        <w:t xml:space="preserve">The paper’s contribution is a reproducible multi-wave mobility profile built around descriptive and associational evidence. Descriptive rank-based persistence measures rise from 0.133 in 2010 to 0.299 in 2016 and 0.350 in 2022-23, but pooled models do not estimate that change precisely once controls and fixed effects are added. Category-based rates move in the same direction, yet the 2022-23 categorical estimates rely on only 124 valid observations and therefore receive limited interpretive weight. In pooled correlates models, parental education remains the clearest predictor of attainment, while women record somewhat lower attainment scores conditional on controls. The LiTS IV child module suggests widespread disruption and household-based support, and lower parental education is associated with a higher probability that education stopped during COVID, though the child-module evidence remains suggestive because of sample limits.</w:t>
      </w:r>
    </w:p>
    <w:p>
      <w:pPr>
        <w:pStyle w:val="BodyText"/>
      </w:pPr>
      <w:r>
        <w:t xml:space="preserve">The results point to substantial educational persistence and to the importance of household support conditions, but they do not provide precise model-based evidence of a worsening time trend or a causal pandemic mechanism.</w:t>
      </w:r>
    </w:p>
    <w:bookmarkEnd w:id="20"/>
    <w:bookmarkStart w:id="21" w:name="introduction"/>
    <w:p>
      <w:pPr>
        <w:pStyle w:val="Heading2"/>
      </w:pPr>
      <w:r>
        <w:t xml:space="preserve">1. Introduction</w:t>
      </w:r>
    </w:p>
    <w:p>
      <w:pPr>
        <w:pStyle w:val="FirstParagraph"/>
      </w:pPr>
      <w:r>
        <w:t xml:space="preserve">Educational mobility links family background to the allocation of opportunity. When mobility is low, parental education remains a strong predictor of children’s schooling, and the distribution of skills is shaped more by inherited circumstance than by individual potential.</w:t>
      </w:r>
    </w:p>
    <w:p>
      <w:pPr>
        <w:pStyle w:val="BodyText"/>
      </w:pPr>
      <w:r>
        <w:t xml:space="preserve">Uzbekistan is an important setting for this question. The country combines a young population, persistent regional inequality, and a policy agenda centered on human capital and productivity growth. At the same time, market transition, urbanization, higher-education expansion, and digital change have altered both the returns to schooling and the ways households support children’s learning.</w:t>
      </w:r>
    </w:p>
    <w:p>
      <w:pPr>
        <w:pStyle w:val="BodyText"/>
      </w:pPr>
      <w:r>
        <w:t xml:space="preserve">This paper uses LiTS repeated cross-sections from 2010, 2016, and 2022-23 to provide a structured profile of intergenerational educational mobility in Uzbekistan. It makes three contributions. First, it documents national mobility patterns using a locked bundle of measures: a rank-rank slope, upward mobility, downward mobility, and same-category persistence. Second, it estimates pooled correlates models with a disciplined set of household and regional controls. Third, it adds a short LiTS IV child-module extension on pandemic-era disruption and support patterns.</w:t>
      </w:r>
    </w:p>
    <w:p>
      <w:pPr>
        <w:pStyle w:val="BodyText"/>
      </w:pPr>
      <w:r>
        <w:t xml:space="preserve">The claims are intentionally limited by design. Module A is descriptive, Module B is associational, and Module C is a bounded non-causal extension. Descriptive persistence measures rise across waves, but the pooled models do not estimate the change precisely. The paper therefore emphasizes levels, correlates, and household constraints rather than a firm time-trend claim. Section 2 positions the paper in the literature, Section 3 describes the data and measurement choices, Sections 4-7 present the empirical design and results, and Sections 8-10 discuss interpretation, limitations, and conclusion.</w:t>
      </w:r>
    </w:p>
    <w:bookmarkEnd w:id="21"/>
    <w:bookmarkStart w:id="29" w:name="related-literature"/>
    <w:p>
      <w:pPr>
        <w:pStyle w:val="Heading2"/>
      </w:pPr>
      <w:r>
        <w:t xml:space="preserve">2. Related Literature</w:t>
      </w:r>
    </w:p>
    <w:bookmarkStart w:id="22" w:name="why-educational-mobility-matters"/>
    <w:p>
      <w:pPr>
        <w:pStyle w:val="Heading3"/>
      </w:pPr>
      <w:r>
        <w:t xml:space="preserve">Why educational mobility matters</w:t>
      </w:r>
    </w:p>
    <w:p>
      <w:pPr>
        <w:pStyle w:val="FirstParagraph"/>
      </w:pPr>
      <w:r>
        <w:t xml:space="preserve">Intergenerational educational mobility is central to both equity and productivity. When parent-child schooling links are strong, educational attainment reflects inherited background as much as individual ability, which can slow skill allocation and long-run growth. Cross-country evidence consistently shows that educational persistence is substantial and uneven across development levels rather than mechanically declining over time. Hertz et al.</w:t>
      </w:r>
      <w:r>
        <w:t xml:space="preserve"> </w:t>
      </w:r>
      <w:r>
        <w:t xml:space="preserve">(</w:t>
      </w:r>
      <w:hyperlink w:anchor="ref-hertz_2008">
        <w:r>
          <w:rPr>
            <w:rStyle w:val="Hyperlink"/>
          </w:rPr>
          <w:t xml:space="preserve">Hertz et al. 2008</w:t>
        </w:r>
      </w:hyperlink>
      <w:r>
        <w:t xml:space="preserve">)</w:t>
      </w:r>
      <w:r>
        <w:t xml:space="preserve"> </w:t>
      </w:r>
      <w:r>
        <w:t xml:space="preserve">and Causa and Johansson</w:t>
      </w:r>
      <w:r>
        <w:t xml:space="preserve"> </w:t>
      </w:r>
      <w:r>
        <w:t xml:space="preserve">(</w:t>
      </w:r>
      <w:hyperlink w:anchor="ref-causa_johansson_2010">
        <w:r>
          <w:rPr>
            <w:rStyle w:val="Hyperlink"/>
          </w:rPr>
          <w:t xml:space="preserve">Causa and Johansson 2010</w:t>
        </w:r>
      </w:hyperlink>
      <w:r>
        <w:t xml:space="preserve">)</w:t>
      </w:r>
      <w:r>
        <w:t xml:space="preserve"> </w:t>
      </w:r>
      <w:r>
        <w:t xml:space="preserve">document large variation across countries, and the GDIM database by van der Weide et al.</w:t>
      </w:r>
      <w:r>
        <w:t xml:space="preserve"> </w:t>
      </w:r>
      <w:r>
        <w:t xml:space="preserve">(</w:t>
      </w:r>
      <w:hyperlink w:anchor="ref-weide_etal_2024">
        <w:r>
          <w:rPr>
            <w:rStyle w:val="Hyperlink"/>
          </w:rPr>
          <w:t xml:space="preserve">Weide et al. 2024</w:t>
        </w:r>
      </w:hyperlink>
      <w:r>
        <w:t xml:space="preserve">)</w:t>
      </w:r>
      <w:r>
        <w:t xml:space="preserve"> </w:t>
      </w:r>
      <w:r>
        <w:t xml:space="preserve">confirms that mobility remains lower, on average, in many developing contexts.</w:t>
      </w:r>
    </w:p>
    <w:bookmarkEnd w:id="22"/>
    <w:bookmarkStart w:id="23" w:name="Xf7cc99bfb492b7b9d87e84d4bb99a8893a21bb6"/>
    <w:p>
      <w:pPr>
        <w:pStyle w:val="Heading3"/>
      </w:pPr>
      <w:r>
        <w:t xml:space="preserve">Measurement choices and contribution discipline</w:t>
      </w:r>
    </w:p>
    <w:p>
      <w:pPr>
        <w:pStyle w:val="FirstParagraph"/>
      </w:pPr>
      <w:r>
        <w:t xml:space="preserve">The mobility literature also warns against one-number interpretations. Torche</w:t>
      </w:r>
      <w:r>
        <w:t xml:space="preserve"> </w:t>
      </w:r>
      <w:r>
        <w:t xml:space="preserve">(</w:t>
      </w:r>
      <w:hyperlink w:anchor="ref-torche_2015">
        <w:r>
          <w:rPr>
            <w:rStyle w:val="Hyperlink"/>
          </w:rPr>
          <w:t xml:space="preserve">Torche 2015</w:t>
        </w:r>
      </w:hyperlink>
      <w:r>
        <w:t xml:space="preserve">)</w:t>
      </w:r>
      <w:r>
        <w:t xml:space="preserve"> </w:t>
      </w:r>
      <w:r>
        <w:t xml:space="preserve">emphasizes that mobility metrics summarize intergenerational association but do not by themselves recover a full model of equality of opportunity. Recent measurement work further shows that country rankings can move with coding and estimator choices</w:t>
      </w:r>
      <w:r>
        <w:t xml:space="preserve"> </w:t>
      </w:r>
      <w:r>
        <w:t xml:space="preserve">(</w:t>
      </w:r>
      <w:hyperlink w:anchor="ref-stromberg_engzell_2025">
        <w:r>
          <w:rPr>
            <w:rStyle w:val="Hyperlink"/>
          </w:rPr>
          <w:t xml:space="preserve">Stromberg and Engzell 2025</w:t>
        </w:r>
      </w:hyperlink>
      <w:r>
        <w:t xml:space="preserve">)</w:t>
      </w:r>
      <w:r>
        <w:t xml:space="preserve">. This motivates the paper’s locked measure bundle: rank-rank persistence as the core statistic, complemented by directional category measures (upward, downward, same-category persistence). The rank measure is more robust to modest cross-wave questionnaire differences, while category rates preserve an interpretable notion of educational transitions. Using both, with explicit weighting of reliability, is more defensible than relying on either in isolation.</w:t>
      </w:r>
    </w:p>
    <w:p>
      <w:pPr>
        <w:pStyle w:val="BodyText"/>
      </w:pPr>
      <w:r>
        <w:t xml:space="preserve">A related point from comparative studies is that mobility can differ across cohorts even when average schooling expands. Chevalier, Denny, and McMahon</w:t>
      </w:r>
      <w:r>
        <w:t xml:space="preserve"> </w:t>
      </w:r>
      <w:r>
        <w:t xml:space="preserve">(</w:t>
      </w:r>
      <w:hyperlink w:anchor="ref-chevalier_denny_mcmahon_2009">
        <w:r>
          <w:rPr>
            <w:rStyle w:val="Hyperlink"/>
          </w:rPr>
          <w:t xml:space="preserve">Chevalier, Denny, and McMahon 2009</w:t>
        </w:r>
      </w:hyperlink>
      <w:r>
        <w:t xml:space="preserve">)</w:t>
      </w:r>
      <w:r>
        <w:t xml:space="preserve"> </w:t>
      </w:r>
      <w:r>
        <w:t xml:space="preserve">and Razzu and Wambile</w:t>
      </w:r>
      <w:r>
        <w:t xml:space="preserve"> </w:t>
      </w:r>
      <w:r>
        <w:t xml:space="preserve">(</w:t>
      </w:r>
      <w:hyperlink w:anchor="ref-razzu_wambile_2022">
        <w:r>
          <w:rPr>
            <w:rStyle w:val="Hyperlink"/>
          </w:rPr>
          <w:t xml:space="preserve">Razzu and Wambile 2022</w:t>
        </w:r>
      </w:hyperlink>
      <w:r>
        <w:t xml:space="preserve">)</w:t>
      </w:r>
      <w:r>
        <w:t xml:space="preserve"> </w:t>
      </w:r>
      <w:r>
        <w:t xml:space="preserve">highlight that expansion in enrollment does not automatically imply weaker intergenerational persistence. This directly supports the paper’s caution that descriptive increases in persistence should not be over-interpreted as a precisely estimated structural trend.</w:t>
      </w:r>
    </w:p>
    <w:bookmarkEnd w:id="23"/>
    <w:bookmarkStart w:id="24" w:name="X860bec3a4fe6febda157ac1960898ecb61a6e30"/>
    <w:p>
      <w:pPr>
        <w:pStyle w:val="Heading3"/>
      </w:pPr>
      <w:r>
        <w:t xml:space="preserve">Transition economies and regional comparators</w:t>
      </w:r>
    </w:p>
    <w:p>
      <w:pPr>
        <w:pStyle w:val="FirstParagraph"/>
      </w:pPr>
      <w:r>
        <w:t xml:space="preserve">Transition settings are especially relevant for Uzbekistan because schooling systems, labor-market returns, and household strategies changed rapidly after socialism. Comparative evidence does not support a single post-socialist trajectory. Verashchagina</w:t>
      </w:r>
      <w:r>
        <w:t xml:space="preserve"> </w:t>
      </w:r>
      <w:r>
        <w:t xml:space="preserve">(</w:t>
      </w:r>
      <w:hyperlink w:anchor="ref-verashchagina_2009">
        <w:r>
          <w:rPr>
            <w:rStyle w:val="Hyperlink"/>
          </w:rPr>
          <w:t xml:space="preserve">Verashchagina 2009</w:t>
        </w:r>
      </w:hyperlink>
      <w:r>
        <w:t xml:space="preserve">)</w:t>
      </w:r>
      <w:r>
        <w:t xml:space="preserve"> </w:t>
      </w:r>
      <w:r>
        <w:t xml:space="preserve">reports substantial heterogeneity in educational inheritance across post-communist countries, while Bruck and Esenaliev</w:t>
      </w:r>
      <w:r>
        <w:t xml:space="preserve"> </w:t>
      </w:r>
      <w:r>
        <w:t xml:space="preserve">(</w:t>
      </w:r>
      <w:hyperlink w:anchor="ref-bruck_esenaliev_2018">
        <w:r>
          <w:rPr>
            <w:rStyle w:val="Hyperlink"/>
          </w:rPr>
          <w:t xml:space="preserve">Bruck and Esenaliev 2018</w:t>
        </w:r>
      </w:hyperlink>
      <w:r>
        <w:t xml:space="preserve">)</w:t>
      </w:r>
      <w:r>
        <w:t xml:space="preserve"> </w:t>
      </w:r>
      <w:r>
        <w:t xml:space="preserve">show a distinct Kyrgyz trajectory. Turkey offers a close middle-income comparator: Aydemir and Yazici</w:t>
      </w:r>
      <w:r>
        <w:t xml:space="preserve"> </w:t>
      </w:r>
      <w:r>
        <w:t xml:space="preserve">(</w:t>
      </w:r>
      <w:hyperlink w:anchor="ref-aydemir_yazici_2019">
        <w:r>
          <w:rPr>
            <w:rStyle w:val="Hyperlink"/>
          </w:rPr>
          <w:t xml:space="preserve">Aydemir and Yazici 2019</w:t>
        </w:r>
      </w:hyperlink>
      <w:r>
        <w:t xml:space="preserve">)</w:t>
      </w:r>
      <w:r>
        <w:t xml:space="preserve"> </w:t>
      </w:r>
      <w:r>
        <w:t xml:space="preserve">document strong regional and family-background gradients, and Akarcay-Gurbuz and Polat</w:t>
      </w:r>
      <w:r>
        <w:t xml:space="preserve"> </w:t>
      </w:r>
      <w:r>
        <w:t xml:space="preserve">(</w:t>
      </w:r>
      <w:hyperlink w:anchor="ref-akarcay_polat_2017">
        <w:r>
          <w:rPr>
            <w:rStyle w:val="Hyperlink"/>
          </w:rPr>
          <w:t xml:space="preserve">Akarcay-Gurbuz and Polat 2017</w:t>
        </w:r>
      </w:hyperlink>
      <w:r>
        <w:t xml:space="preserve">)</w:t>
      </w:r>
      <w:r>
        <w:t xml:space="preserve"> </w:t>
      </w:r>
      <w:r>
        <w:t xml:space="preserve">illustrate how causal claims require explicit exogenous variation.</w:t>
      </w:r>
    </w:p>
    <w:p>
      <w:pPr>
        <w:pStyle w:val="BodyText"/>
      </w:pPr>
      <w:r>
        <w:t xml:space="preserve">Broader regional evidence also links mobility to local opportunity structures. Guell et al.</w:t>
      </w:r>
      <w:r>
        <w:t xml:space="preserve"> </w:t>
      </w:r>
      <w:r>
        <w:t xml:space="preserve">(</w:t>
      </w:r>
      <w:hyperlink w:anchor="ref-guell_etal_2018">
        <w:r>
          <w:rPr>
            <w:rStyle w:val="Hyperlink"/>
          </w:rPr>
          <w:t xml:space="preserve">Guell et al. 2018</w:t>
        </w:r>
      </w:hyperlink>
      <w:r>
        <w:t xml:space="preserve">)</w:t>
      </w:r>
      <w:r>
        <w:t xml:space="preserve"> </w:t>
      </w:r>
      <w:r>
        <w:t xml:space="preserve">and Neidhoefer et al.</w:t>
      </w:r>
      <w:r>
        <w:t xml:space="preserve"> </w:t>
      </w:r>
      <w:r>
        <w:t xml:space="preserve">(</w:t>
      </w:r>
      <w:hyperlink w:anchor="ref-neidhoefer_etal_2024">
        <w:r>
          <w:rPr>
            <w:rStyle w:val="Hyperlink"/>
          </w:rPr>
          <w:t xml:space="preserve">Neidhoefer et al. 2024</w:t>
        </w:r>
      </w:hyperlink>
      <w:r>
        <w:t xml:space="preserve">)</w:t>
      </w:r>
      <w:r>
        <w:t xml:space="preserve"> </w:t>
      </w:r>
      <w:r>
        <w:t xml:space="preserve">show that mobility covaries with local development conditions, inequality, and institutional context. These findings motivate including region and cohort fixed effects in pooled correlates models while keeping interpretation associational.</w:t>
      </w:r>
    </w:p>
    <w:bookmarkEnd w:id="24"/>
    <w:bookmarkStart w:id="25" w:name="uzbekistan-specific-relevance"/>
    <w:p>
      <w:pPr>
        <w:pStyle w:val="Heading3"/>
      </w:pPr>
      <w:r>
        <w:t xml:space="preserve">Uzbekistan-specific relevance</w:t>
      </w:r>
    </w:p>
    <w:p>
      <w:pPr>
        <w:pStyle w:val="FirstParagraph"/>
      </w:pPr>
      <w:r>
        <w:t xml:space="preserve">Country diagnostics explain why the Uzbek case is substantively important. World Bank and UNICEF assessments point to persistent disparities in tertiary access, gendered constraints, and rural-urban differences in educational opportunity</w:t>
      </w:r>
      <w:r>
        <w:t xml:space="preserve"> </w:t>
      </w:r>
      <w:r>
        <w:t xml:space="preserve">(</w:t>
      </w:r>
      <w:hyperlink w:anchor="ref-wb_uzb_2018">
        <w:r>
          <w:rPr>
            <w:rStyle w:val="Hyperlink"/>
          </w:rPr>
          <w:t xml:space="preserve">World Bank 2018</w:t>
        </w:r>
      </w:hyperlink>
      <w:r>
        <w:t xml:space="preserve">,</w:t>
      </w:r>
      <w:r>
        <w:t xml:space="preserve"> </w:t>
      </w:r>
      <w:hyperlink w:anchor="ref-wb_gender_2024">
        <w:r>
          <w:rPr>
            <w:rStyle w:val="Hyperlink"/>
          </w:rPr>
          <w:t xml:space="preserve">2024</w:t>
        </w:r>
      </w:hyperlink>
      <w:r>
        <w:t xml:space="preserve">;</w:t>
      </w:r>
      <w:r>
        <w:t xml:space="preserve"> </w:t>
      </w:r>
      <w:hyperlink w:anchor="ref-unicef_uzb_2021">
        <w:r>
          <w:rPr>
            <w:rStyle w:val="Hyperlink"/>
          </w:rPr>
          <w:t xml:space="preserve">UNICEF 2021</w:t>
        </w:r>
      </w:hyperlink>
      <w:r>
        <w:t xml:space="preserve">,</w:t>
      </w:r>
      <w:r>
        <w:t xml:space="preserve"> </w:t>
      </w:r>
      <w:hyperlink w:anchor="ref-unicef_sitan_2023">
        <w:r>
          <w:rPr>
            <w:rStyle w:val="Hyperlink"/>
          </w:rPr>
          <w:t xml:space="preserve">2023</w:t>
        </w:r>
      </w:hyperlink>
      <w:r>
        <w:t xml:space="preserve">)</w:t>
      </w:r>
      <w:r>
        <w:t xml:space="preserve">. These sources are not mobility designs themselves, but they establish why parental education, household resources, and place-based conditions are plausible correlates in this setting.</w:t>
      </w:r>
    </w:p>
    <w:bookmarkEnd w:id="25"/>
    <w:bookmarkStart w:id="26" w:name="X42679dabf73d04686fcbf45baf2aa97ef885a13"/>
    <w:p>
      <w:pPr>
        <w:pStyle w:val="Heading3"/>
      </w:pPr>
      <w:r>
        <w:t xml:space="preserve">Pandemic learning background and bounded Module C framing</w:t>
      </w:r>
    </w:p>
    <w:p>
      <w:pPr>
        <w:pStyle w:val="FirstParagraph"/>
      </w:pPr>
      <w:r>
        <w:t xml:space="preserve">The pandemic-learning literature is included only to frame Module C’s limited role. Evidence from global and country studies shows that remote schooling amplified differences in household support, connectivity, and device access</w:t>
      </w:r>
      <w:r>
        <w:t xml:space="preserve"> </w:t>
      </w:r>
      <w:r>
        <w:t xml:space="preserve">(</w:t>
      </w:r>
      <w:hyperlink w:anchor="ref-unicef_remote_2020">
        <w:r>
          <w:rPr>
            <w:rStyle w:val="Hyperlink"/>
          </w:rPr>
          <w:t xml:space="preserve">UNICEF 2020</w:t>
        </w:r>
      </w:hyperlink>
      <w:r>
        <w:t xml:space="preserve">;</w:t>
      </w:r>
      <w:r>
        <w:t xml:space="preserve"> </w:t>
      </w:r>
      <w:hyperlink w:anchor="ref-munoznajar_2021">
        <w:r>
          <w:rPr>
            <w:rStyle w:val="Hyperlink"/>
          </w:rPr>
          <w:t xml:space="preserve">Munoz-Najar et al. 2021</w:t>
        </w:r>
      </w:hyperlink>
      <w:r>
        <w:t xml:space="preserve">)</w:t>
      </w:r>
      <w:r>
        <w:t xml:space="preserve">. Studies from Europe similarly report that parents absorbed a large share of the learning-adjustment burden during closures</w:t>
      </w:r>
      <w:r>
        <w:t xml:space="preserve"> </w:t>
      </w:r>
      <w:r>
        <w:t xml:space="preserve">(</w:t>
      </w:r>
      <w:hyperlink w:anchor="ref-daniela_2021">
        <w:r>
          <w:rPr>
            <w:rStyle w:val="Hyperlink"/>
          </w:rPr>
          <w:t xml:space="preserve">Daniela et al. 2021</w:t>
        </w:r>
      </w:hyperlink>
      <w:r>
        <w:t xml:space="preserve">;</w:t>
      </w:r>
      <w:r>
        <w:t xml:space="preserve"> </w:t>
      </w:r>
      <w:hyperlink w:anchor="ref-knopik_2021">
        <w:r>
          <w:rPr>
            <w:rStyle w:val="Hyperlink"/>
          </w:rPr>
          <w:t xml:space="preserve">Knopik et al. 2021</w:t>
        </w:r>
      </w:hyperlink>
      <w:r>
        <w:t xml:space="preserve">)</w:t>
      </w:r>
      <w:r>
        <w:t xml:space="preserve">. For Uzbekistan, policy-response and learning-recovery evidence provides context but does not resolve household-level causal channels</w:t>
      </w:r>
      <w:r>
        <w:t xml:space="preserve"> </w:t>
      </w:r>
      <w:r>
        <w:t xml:space="preserve">(</w:t>
      </w:r>
      <w:hyperlink w:anchor="ref-wb_blog_2020">
        <w:r>
          <w:rPr>
            <w:rStyle w:val="Hyperlink"/>
          </w:rPr>
          <w:t xml:space="preserve">Meliboeva, Patrinos, and Teixeira 2020</w:t>
        </w:r>
      </w:hyperlink>
      <w:r>
        <w:t xml:space="preserve">;</w:t>
      </w:r>
      <w:r>
        <w:t xml:space="preserve"> </w:t>
      </w:r>
      <w:hyperlink w:anchor="ref-iqbal_patrinos_2025">
        <w:r>
          <w:rPr>
            <w:rStyle w:val="Hyperlink"/>
          </w:rPr>
          <w:t xml:space="preserve">Iqbal, Patrinos, and coauthors 2025</w:t>
        </w:r>
      </w:hyperlink>
      <w:r>
        <w:t xml:space="preserve">)</w:t>
      </w:r>
      <w:r>
        <w:t xml:space="preserve">.</w:t>
      </w:r>
    </w:p>
    <w:bookmarkEnd w:id="26"/>
    <w:bookmarkStart w:id="27" w:name="positioning-this-paper"/>
    <w:p>
      <w:pPr>
        <w:pStyle w:val="Heading3"/>
      </w:pPr>
      <w:r>
        <w:t xml:space="preserve">Positioning this paper</w:t>
      </w:r>
    </w:p>
    <w:p>
      <w:pPr>
        <w:pStyle w:val="FirstParagraph"/>
      </w:pPr>
      <w:r>
        <w:t xml:space="preserve">The literature supports a deliberately narrow contribution: a transparent multi-wave descriptive and associational profile of educational mobility in Uzbekistan. Module A documents persistence levels, Module B evaluates pooled correlates under fixed effects, and Module C provides bounded descriptive mechanism evidence from the LiTS IV child module. This framing is aligned with what the data can identify and avoids conflating suggestive household patterns with causal claims.</w:t>
      </w:r>
    </w:p>
    <w:bookmarkEnd w:id="27"/>
    <w:bookmarkStart w:id="28" w:name="scope-and-identification-limits"/>
    <w:p>
      <w:pPr>
        <w:pStyle w:val="Heading3"/>
      </w:pPr>
      <w:r>
        <w:t xml:space="preserve">Scope and Identification Limits</w:t>
      </w:r>
    </w:p>
    <w:p>
      <w:pPr>
        <w:pStyle w:val="FirstParagraph"/>
      </w:pPr>
      <w:r>
        <w:t xml:space="preserve">The literature supports a cautious interpretation strategy. Mobility statistics are informative summaries of intergenerational association, but they are not causal estimates of equality of opportunity</w:t>
      </w:r>
      <w:r>
        <w:t xml:space="preserve"> </w:t>
      </w:r>
      <w:r>
        <w:t xml:space="preserve">(</w:t>
      </w:r>
      <w:hyperlink w:anchor="ref-torche_2015">
        <w:r>
          <w:rPr>
            <w:rStyle w:val="Hyperlink"/>
          </w:rPr>
          <w:t xml:space="preserve">Torche 2015</w:t>
        </w:r>
      </w:hyperlink>
      <w:r>
        <w:t xml:space="preserve">)</w:t>
      </w:r>
      <w:r>
        <w:t xml:space="preserve">. Measurement studies also show that mobility rankings can shift with coding and estimator choices</w:t>
      </w:r>
      <w:r>
        <w:t xml:space="preserve"> </w:t>
      </w:r>
      <w:r>
        <w:t xml:space="preserve">(</w:t>
      </w:r>
      <w:hyperlink w:anchor="ref-stromberg_engzell_2025">
        <w:r>
          <w:rPr>
            <w:rStyle w:val="Hyperlink"/>
          </w:rPr>
          <w:t xml:space="preserve">Stromberg and Engzell 2025</w:t>
        </w:r>
      </w:hyperlink>
      <w:r>
        <w:t xml:space="preserve">)</w:t>
      </w:r>
      <w:r>
        <w:t xml:space="preserve">, which is why this paper reports a locked bundle of complementary metrics rather than a single headline statistic.</w:t>
      </w:r>
    </w:p>
    <w:p>
      <w:pPr>
        <w:pStyle w:val="BodyText"/>
      </w:pPr>
      <w:r>
        <w:t xml:space="preserve">The core evidence uses repeated LiTS cross-sections, not a panel following fixed families. The design can therefore characterize population-level persistence patterns by wave, but it cannot isolate within-family causal change over time. This distinction is central for trend claims: descriptive persistence measures rise across waves, but pooled models do not estimate the change precisely once controls and fixed effects are added.</w:t>
      </w:r>
    </w:p>
    <w:p>
      <w:pPr>
        <w:pStyle w:val="BodyText"/>
      </w:pPr>
      <w:r>
        <w:t xml:space="preserve">The causal literature shows what stronger identification would require. For example, Akarcay-Gurbuz and Polat</w:t>
      </w:r>
      <w:r>
        <w:t xml:space="preserve"> </w:t>
      </w:r>
      <w:r>
        <w:t xml:space="preserve">(</w:t>
      </w:r>
      <w:hyperlink w:anchor="ref-akarcay_polat_2017">
        <w:r>
          <w:rPr>
            <w:rStyle w:val="Hyperlink"/>
          </w:rPr>
          <w:t xml:space="preserve">Akarcay-Gurbuz and Polat 2017</w:t>
        </w:r>
      </w:hyperlink>
      <w:r>
        <w:t xml:space="preserve">)</w:t>
      </w:r>
      <w:r>
        <w:t xml:space="preserve"> </w:t>
      </w:r>
      <w:r>
        <w:t xml:space="preserve">exploit exogenous provincial variation in schooling opportunity. The current Uzbekistan design does not include comparable exogenous region-time variation, so Modules A and B are appropriately interpreted as descriptive and associational.</w:t>
      </w:r>
    </w:p>
    <w:p>
      <w:pPr>
        <w:pStyle w:val="BodyText"/>
      </w:pPr>
      <w:r>
        <w:t xml:space="preserve">The same boundary applies to the pandemic extension. Remote-learning studies motivate attention to devices, internet quality, and household support</w:t>
      </w:r>
      <w:r>
        <w:t xml:space="preserve"> </w:t>
      </w:r>
      <w:r>
        <w:t xml:space="preserve">(</w:t>
      </w:r>
      <w:hyperlink w:anchor="ref-unicef_remote_2020">
        <w:r>
          <w:rPr>
            <w:rStyle w:val="Hyperlink"/>
          </w:rPr>
          <w:t xml:space="preserve">UNICEF 2020</w:t>
        </w:r>
      </w:hyperlink>
      <w:r>
        <w:t xml:space="preserve">;</w:t>
      </w:r>
      <w:r>
        <w:t xml:space="preserve"> </w:t>
      </w:r>
      <w:hyperlink w:anchor="ref-munoznajar_2021">
        <w:r>
          <w:rPr>
            <w:rStyle w:val="Hyperlink"/>
          </w:rPr>
          <w:t xml:space="preserve">Munoz-Najar et al. 2021</w:t>
        </w:r>
      </w:hyperlink>
      <w:r>
        <w:t xml:space="preserve">)</w:t>
      </w:r>
      <w:r>
        <w:t xml:space="preserve">, but the LiTS IV child module remains a small cross-sectional subsample. Module C can flag household vulnerability patterns, especially around education stoppage, but it cannot identify the causal effect of parental education net of all correlated constraints.</w:t>
      </w:r>
    </w:p>
    <w:p>
      <w:pPr>
        <w:pStyle w:val="BodyText"/>
      </w:pPr>
      <w:r>
        <w:t xml:space="preserve">These limits are substantive design choices, not weaknesses to conceal. They keep the paper’s claims aligned with what the available data can credibly support.</w:t>
      </w:r>
    </w:p>
    <w:bookmarkEnd w:id="28"/>
    <w:bookmarkEnd w:id="29"/>
    <w:bookmarkStart w:id="35" w:name="data-and-measurement"/>
    <w:p>
      <w:pPr>
        <w:pStyle w:val="Heading2"/>
      </w:pPr>
      <w:r>
        <w:t xml:space="preserve">3. Data and Measurement</w:t>
      </w:r>
    </w:p>
    <w:bookmarkStart w:id="30" w:name="core-data"/>
    <w:p>
      <w:pPr>
        <w:pStyle w:val="Heading3"/>
      </w:pPr>
      <w:r>
        <w:t xml:space="preserve">3.1 Core data</w:t>
      </w:r>
    </w:p>
    <w:p>
      <w:pPr>
        <w:pStyle w:val="FirstParagraph"/>
      </w:pPr>
      <w:r>
        <w:t xml:space="preserve">The main source is the Life in Transition Survey (LiTS) for 2010, 2016, and 2022-23. These repeated cross-sections provide comparable information on respondents’ own education, parental education, age, sex, place of residence, and regional identifiers, which makes them suitable for multi-wave mobility analysis.</w:t>
      </w:r>
    </w:p>
    <w:p>
      <w:pPr>
        <w:pStyle w:val="BodyText"/>
      </w:pPr>
      <w:r>
        <w:t xml:space="preserve">The analytical sample is restricted to respondents aged 25-64 so that own education is largely complete. Cohorts are grouped as 25-34, 35-44, 45-54, and 55-64. Weighted estimates are used throughout, and subgroup outputs are suppressed when the valid cell size is below 30.</w:t>
      </w:r>
    </w:p>
    <w:p>
      <w:pPr>
        <w:pStyle w:val="BodyText"/>
      </w:pPr>
      <w:r>
        <w:t xml:space="preserve">The Household Budget Survey is used only as a supplementary source for context and construct validation, especially around household structure, migration, schooling expenses, tutoring, and internet access. Because direct parent-child linkage in HBS is only partially supported in the current audit, it is not the source of the intergenerational estimates reported here.</w:t>
      </w:r>
    </w:p>
    <w:bookmarkEnd w:id="30"/>
    <w:bookmarkStart w:id="31" w:name="education-measures"/>
    <w:p>
      <w:pPr>
        <w:pStyle w:val="Heading3"/>
      </w:pPr>
      <w:r>
        <w:t xml:space="preserve">3.2 Education measures</w:t>
      </w:r>
    </w:p>
    <w:p>
      <w:pPr>
        <w:pStyle w:val="FirstParagraph"/>
      </w:pPr>
      <w:r>
        <w:t xml:space="preserve">The paper uses two complementary education-measure families built from one harmonization rule. Within each wave, mothers’ and fathers’ schooling responses are mapped to a shared six-category ladder (no formal education, primary, lower secondary, upper secondary, post-secondary non-tertiary, tertiary). The parental education variable is the higher observed parental category, which stabilizes coding when one parent’s schooling is missing or reported with less detail.</w:t>
      </w:r>
    </w:p>
    <w:p>
      <w:pPr>
        <w:pStyle w:val="BodyText"/>
      </w:pPr>
      <w:r>
        <w:t xml:space="preserve">From that harmonized scale, the analysis constructs:</w:t>
      </w:r>
    </w:p>
    <w:p>
      <w:pPr>
        <w:pStyle w:val="Compact"/>
        <w:numPr>
          <w:ilvl w:val="0"/>
          <w:numId w:val="1001"/>
        </w:numPr>
      </w:pPr>
      <w:r>
        <w:t xml:space="preserve">an ordered attainment score used for category-based mobility rates and pooled attainment regressions;</w:t>
      </w:r>
    </w:p>
    <w:p>
      <w:pPr>
        <w:pStyle w:val="Compact"/>
        <w:numPr>
          <w:ilvl w:val="0"/>
          <w:numId w:val="1001"/>
        </w:numPr>
      </w:pPr>
      <w:r>
        <w:t xml:space="preserve">within-wave weighted percentile ranks for own and parental schooling used in rank-rank persistence models.</w:t>
      </w:r>
    </w:p>
    <w:p>
      <w:pPr>
        <w:pStyle w:val="FirstParagraph"/>
      </w:pPr>
      <w:r>
        <w:t xml:space="preserve">The category-based outcomes retain intuitive transition interpretation (upward, downward, same-category), while rank-based outcomes improve comparability across waves by focusing on relative position inside each survey distribution. Reporting both allows the paper to preserve substantive interpretability and measurement robustness.</w:t>
      </w:r>
    </w:p>
    <w:bookmarkEnd w:id="31"/>
    <w:bookmarkStart w:id="32" w:name="mobility-outcomes"/>
    <w:p>
      <w:pPr>
        <w:pStyle w:val="Heading3"/>
      </w:pPr>
      <w:r>
        <w:t xml:space="preserve">3.3 Mobility outcomes</w:t>
      </w:r>
    </w:p>
    <w:p>
      <w:pPr>
        <w:pStyle w:val="FirstParagraph"/>
      </w:pPr>
      <w:r>
        <w:t xml:space="preserve">The main outcomes are:</w:t>
      </w:r>
    </w:p>
    <w:p>
      <w:pPr>
        <w:pStyle w:val="Compact"/>
        <w:numPr>
          <w:ilvl w:val="0"/>
          <w:numId w:val="1002"/>
        </w:numPr>
      </w:pPr>
      <w:r>
        <w:t xml:space="preserve">Rank-rank slope: the relationship between own education rank and parental education rank within each wave.</w:t>
      </w:r>
    </w:p>
    <w:p>
      <w:pPr>
        <w:pStyle w:val="Compact"/>
        <w:numPr>
          <w:ilvl w:val="0"/>
          <w:numId w:val="1002"/>
        </w:numPr>
      </w:pPr>
      <w:r>
        <w:t xml:space="preserve">Upward mobility: an indicator that own education exceeds parental education.</w:t>
      </w:r>
    </w:p>
    <w:p>
      <w:pPr>
        <w:pStyle w:val="Compact"/>
        <w:numPr>
          <w:ilvl w:val="0"/>
          <w:numId w:val="1002"/>
        </w:numPr>
      </w:pPr>
      <w:r>
        <w:t xml:space="preserve">Downward mobility: an indicator that own education is lower than parental education.</w:t>
      </w:r>
    </w:p>
    <w:p>
      <w:pPr>
        <w:pStyle w:val="Compact"/>
        <w:numPr>
          <w:ilvl w:val="0"/>
          <w:numId w:val="1002"/>
        </w:numPr>
      </w:pPr>
      <w:r>
        <w:t xml:space="preserve">Persistence: an indicator that own education remains at the same category as parental education.</w:t>
      </w:r>
    </w:p>
    <w:p>
      <w:pPr>
        <w:pStyle w:val="FirstParagraph"/>
      </w:pPr>
      <w:r>
        <w:t xml:space="preserve">These measures are reported nationally and, where the denominator permits, by subgroup.</w:t>
      </w:r>
    </w:p>
    <w:bookmarkEnd w:id="32"/>
    <w:bookmarkStart w:id="33" w:name="covariates"/>
    <w:p>
      <w:pPr>
        <w:pStyle w:val="Heading3"/>
      </w:pPr>
      <w:r>
        <w:t xml:space="preserve">3.4 Covariates</w:t>
      </w:r>
    </w:p>
    <w:p>
      <w:pPr>
        <w:pStyle w:val="FirstParagraph"/>
      </w:pPr>
      <w:r>
        <w:t xml:space="preserve">The core covariates in the pooled correlates models are urban residence, female, migration exposure, and multigenerational household structure, with region, cohort, and wave fixed effects. These were selected through the project’s audit and coverage rules and represent the active set of non-core controls in the current design.</w:t>
      </w:r>
    </w:p>
    <w:bookmarkEnd w:id="33"/>
    <w:bookmarkStart w:id="34" w:name="pandemic-mechanism-variables"/>
    <w:p>
      <w:pPr>
        <w:pStyle w:val="Heading3"/>
      </w:pPr>
      <w:r>
        <w:t xml:space="preserve">3.5 Pandemic mechanism variables</w:t>
      </w:r>
    </w:p>
    <w:p>
      <w:pPr>
        <w:pStyle w:val="FirstParagraph"/>
      </w:pPr>
      <w:r>
        <w:t xml:space="preserve">The 2022-23 LiTS child module is used to create descriptive indicators for remote-learning disruption, learning support, and home-learning constraints. These include switching to online learning, switching to hybrid learning, education stopping during COVID, school closure without online learning, shared-device use, support from mother, father, or relatives, and indicators for internet, device, cost, and time-balance challenges.</w:t>
      </w:r>
    </w:p>
    <w:p>
      <w:pPr>
        <w:pStyle w:val="BodyText"/>
      </w:pPr>
      <w:r>
        <w:t xml:space="preserve">The mechanism sample is much smaller than the full LiTS IV sample. The child-module flow is as follows: 1006 Uzbekistan respondents in LiTS IV, 650 with child-module eligibility information, 186 with a child enrolled before COVID, and 183 with non-missing parental schooling. This extension is therefore used to illustrate patterns rather than to support broad generalization.</w:t>
      </w:r>
    </w:p>
    <w:bookmarkEnd w:id="34"/>
    <w:bookmarkEnd w:id="35"/>
    <w:bookmarkStart w:id="39" w:name="empirical-strategy"/>
    <w:p>
      <w:pPr>
        <w:pStyle w:val="Heading2"/>
      </w:pPr>
      <w:r>
        <w:t xml:space="preserve">4. Empirical Strategy</w:t>
      </w:r>
    </w:p>
    <w:p>
      <w:pPr>
        <w:pStyle w:val="FirstParagraph"/>
      </w:pPr>
      <w:r>
        <w:t xml:space="preserve">The empirical strategy has three modules.</w:t>
      </w:r>
    </w:p>
    <w:p>
      <w:pPr>
        <w:pStyle w:val="BodyText"/>
      </w:pPr>
      <w:r>
        <w:t xml:space="preserve">Notation is shared across modules. Index (i) denotes respondents, (w) survey waves, (r) regions, and (c) birth cohorts. (R^{C}</w:t>
      </w:r>
      <w:r>
        <w:rPr>
          <w:i/>
          <w:iCs/>
        </w:rPr>
        <w:t xml:space="preserve">{iw}) is the within-wave weighted rank of respondents’ own education, and (R^{P}</w:t>
      </w:r>
      <w:r>
        <w:t xml:space="preserve">{iw}) is the corresponding parental rank. (</w:t>
      </w:r>
      <w:r>
        <w:t xml:space="preserve">_i) collects the core covariates (urban residence, female, migration exposure, multigenerational household). Region, cohort, and wave fixed effects are denoted by (</w:t>
      </w:r>
      <w:r>
        <w:t xml:space="preserve">_r), (</w:t>
      </w:r>
      <w:r>
        <w:t xml:space="preserve">_c), and (</w:t>
      </w:r>
      <w:r>
        <w:t xml:space="preserve">_w). In Module C, (L_i) indicates low parental education.</w:t>
      </w:r>
    </w:p>
    <w:bookmarkStart w:id="36" w:name="module-a-mobility-levels-and-trends"/>
    <w:p>
      <w:pPr>
        <w:pStyle w:val="Heading3"/>
      </w:pPr>
      <w:r>
        <w:t xml:space="preserve">4.1 Module A: mobility levels and trends</w:t>
      </w:r>
    </w:p>
    <w:p>
      <w:pPr>
        <w:pStyle w:val="FirstParagraph"/>
      </w:pPr>
      <w:r>
        <w:t xml:space="preserve">The first module estimates national mobility levels by wave. The core rank-based specification is:</w:t>
      </w:r>
    </w:p>
    <w:p>
      <w:pPr>
        <w:pStyle w:val="BodyText"/>
      </w:pPr>
      <w:r>
        <w:t xml:space="preserve">[</w:t>
      </w:r>
      <w:r>
        <w:t xml:space="preserve"> </w:t>
      </w:r>
      <w:r>
        <w:t xml:space="preserve">R^{C}_{iw} =</w:t>
      </w:r>
      <w:r>
        <w:t xml:space="preserve"> </w:t>
      </w:r>
      <w:r>
        <w:rPr>
          <w:i/>
          <w:iCs/>
        </w:rPr>
        <w:t xml:space="preserve">w +</w:t>
      </w:r>
      <w:r>
        <w:rPr>
          <w:i/>
          <w:iCs/>
        </w:rPr>
        <w:t xml:space="preserve"> </w:t>
      </w:r>
      <w:r>
        <w:rPr>
          <w:i/>
          <w:i/>
          <w:iCs/>
          <w:iCs/>
        </w:rPr>
        <w:t xml:space="preserve">w R^{P}</w:t>
      </w:r>
      <w:r>
        <w:rPr>
          <w:i/>
          <w:iCs/>
        </w:rPr>
        <w:t xml:space="preserve">{iw} +</w:t>
      </w:r>
      <w:r>
        <w:rPr>
          <w:i/>
          <w:iCs/>
        </w:rPr>
        <w:t xml:space="preserve"> </w:t>
      </w:r>
      <w:r>
        <w:t xml:space="preserve">{iw}</w:t>
      </w:r>
      <w:r>
        <w:t xml:space="preserve"> </w:t>
      </w:r>
      <w:r>
        <w:t xml:space="preserve">]</w:t>
      </w:r>
    </w:p>
    <w:p>
      <w:pPr>
        <w:pStyle w:val="BodyText"/>
      </w:pPr>
      <w:r>
        <w:t xml:space="preserve">where (</w:t>
      </w:r>
      <w:r>
        <w:t xml:space="preserve">_w) summarizes intergenerational persistence in wave (w): larger values imply stronger parent-child rank linkage and lower relative mobility.</w:t>
      </w:r>
    </w:p>
    <w:p>
      <w:pPr>
        <w:pStyle w:val="BodyText"/>
      </w:pPr>
      <w:r>
        <w:t xml:space="preserve">The module also reports the weighted rates of upward mobility, downward mobility, and persistence using harmonized education categories.</w:t>
      </w:r>
    </w:p>
    <w:bookmarkEnd w:id="36"/>
    <w:bookmarkStart w:id="37" w:name="module-b-correlates-of-mobility"/>
    <w:p>
      <w:pPr>
        <w:pStyle w:val="Heading3"/>
      </w:pPr>
      <w:r>
        <w:t xml:space="preserve">4.2 Module B: correlates of mobility</w:t>
      </w:r>
    </w:p>
    <w:p>
      <w:pPr>
        <w:pStyle w:val="FirstParagraph"/>
      </w:pPr>
      <w:r>
        <w:t xml:space="preserve">The second module estimates pooled correlates models with region, cohort, and wave fixed effects. The baseline pooled rank specification is:</w:t>
      </w:r>
    </w:p>
    <w:p>
      <w:pPr>
        <w:pStyle w:val="BodyText"/>
      </w:pPr>
      <w:r>
        <w:t xml:space="preserve">[</w:t>
      </w:r>
      <w:r>
        <w:t xml:space="preserve"> </w:t>
      </w:r>
      <w:r>
        <w:t xml:space="preserve">R^{C}</w:t>
      </w:r>
      <w:r>
        <w:rPr>
          <w:i/>
          <w:iCs/>
        </w:rPr>
        <w:t xml:space="preserve">{i}</w:t>
      </w:r>
      <w:r>
        <w:rPr>
          <w:i/>
          <w:iCs/>
        </w:rPr>
        <w:t xml:space="preserve"> </w:t>
      </w:r>
      <w:r>
        <w:rPr>
          <w:i/>
          <w:iCs/>
        </w:rPr>
        <w:t xml:space="preserve">=</w:t>
      </w:r>
      <w:r>
        <w:rPr>
          <w:i/>
          <w:iCs/>
        </w:rPr>
        <w:t xml:space="preserve"> </w:t>
      </w:r>
      <w:r>
        <w:rPr>
          <w:i/>
          <w:iCs/>
        </w:rPr>
        <w:t xml:space="preserve">+</w:t>
      </w:r>
      <w:r>
        <w:rPr>
          <w:i/>
          <w:iCs/>
        </w:rPr>
        <w:t xml:space="preserve"> </w:t>
      </w:r>
      <w:r>
        <w:rPr>
          <w:i/>
          <w:iCs/>
        </w:rPr>
        <w:t xml:space="preserve">R^{P}</w:t>
      </w:r>
      <w:r>
        <w:t xml:space="preserve">{i}</w:t>
      </w:r>
      <w:r>
        <w:t xml:space="preserve"> </w:t>
      </w:r>
      <w:r>
        <w:t xml:space="preserve">+</w:t>
      </w:r>
      <w:r>
        <w:t xml:space="preserve"> </w:t>
      </w:r>
      <w:r>
        <w:rPr>
          <w:i/>
          <w:iCs/>
        </w:rPr>
        <w:t xml:space="preserve">{2016}</w:t>
      </w:r>
      <w:r>
        <w:rPr>
          <w:i/>
          <w:iCs/>
        </w:rPr>
        <w:t xml:space="preserve"> </w:t>
      </w:r>
      <w:r>
        <w:rPr>
          <w:i/>
          <w:iCs/>
        </w:rPr>
        <w:t xml:space="preserve">(R^{P}</w:t>
      </w:r>
      <w:r>
        <w:t xml:space="preserve">{i}</w:t>
      </w:r>
      <w:r>
        <w:t xml:space="preserve"> </w:t>
      </w:r>
      <w:r>
        <w:t xml:space="preserve">D_{2016}</w:t>
      </w:r>
      <w:r>
        <w:t xml:space="preserve">)</w:t>
      </w:r>
      <w:r>
        <w:t xml:space="preserve"> </w:t>
      </w:r>
      <w:r>
        <w:t xml:space="preserve">+</w:t>
      </w:r>
      <w:r>
        <w:t xml:space="preserve"> </w:t>
      </w:r>
      <w:r>
        <w:rPr>
          <w:i/>
          <w:iCs/>
        </w:rPr>
        <w:t xml:space="preserve">{2022}</w:t>
      </w:r>
      <w:r>
        <w:rPr>
          <w:i/>
          <w:iCs/>
        </w:rPr>
        <w:t xml:space="preserve"> </w:t>
      </w:r>
      <w:r>
        <w:rPr>
          <w:i/>
          <w:iCs/>
        </w:rPr>
        <w:t xml:space="preserve">(R^{P}</w:t>
      </w:r>
      <w:r>
        <w:t xml:space="preserve">{i}</w:t>
      </w:r>
      <w:r>
        <w:t xml:space="preserve"> </w:t>
      </w:r>
      <w:r>
        <w:t xml:space="preserve">D_{2022}</w:t>
      </w:r>
      <w:r>
        <w:t xml:space="preserve">)</w:t>
      </w:r>
      <w:r>
        <w:t xml:space="preserve"> </w:t>
      </w:r>
      <w:r>
        <w:t xml:space="preserve">+</w:t>
      </w:r>
      <w:r>
        <w:t xml:space="preserve"> </w:t>
      </w:r>
      <w:r>
        <w:t xml:space="preserve">’</w:t>
      </w:r>
      <w:r>
        <w:t xml:space="preserve"> </w:t>
      </w:r>
      <w:r>
        <w:t xml:space="preserve">_i +</w:t>
      </w:r>
      <w:r>
        <w:t xml:space="preserve"> </w:t>
      </w:r>
      <w:r>
        <w:t xml:space="preserve">_r +</w:t>
      </w:r>
      <w:r>
        <w:t xml:space="preserve"> </w:t>
      </w:r>
      <w:r>
        <w:t xml:space="preserve">_c +</w:t>
      </w:r>
      <w:r>
        <w:t xml:space="preserve"> </w:t>
      </w:r>
      <w:r>
        <w:t xml:space="preserve">_w +</w:t>
      </w:r>
      <w:r>
        <w:t xml:space="preserve"> </w:t>
      </w:r>
      <w:r>
        <w:t xml:space="preserve">_i</w:t>
      </w:r>
      <w:r>
        <w:t xml:space="preserve"> </w:t>
      </w:r>
      <w:r>
        <w:t xml:space="preserve">]</w:t>
      </w:r>
    </w:p>
    <w:p>
      <w:pPr>
        <w:pStyle w:val="BodyText"/>
      </w:pPr>
      <w:r>
        <w:t xml:space="preserve">The paper also estimates:</w:t>
      </w:r>
    </w:p>
    <w:p>
      <w:pPr>
        <w:pStyle w:val="Compact"/>
        <w:numPr>
          <w:ilvl w:val="0"/>
          <w:numId w:val="1003"/>
        </w:numPr>
      </w:pPr>
      <w:r>
        <w:t xml:space="preserve">an attainment-score regression,</w:t>
      </w:r>
    </w:p>
    <w:p>
      <w:pPr>
        <w:pStyle w:val="Compact"/>
        <w:numPr>
          <w:ilvl w:val="0"/>
          <w:numId w:val="1003"/>
        </w:numPr>
      </w:pPr>
      <w:r>
        <w:t xml:space="preserve">an upward-mobility linear probability model,</w:t>
      </w:r>
    </w:p>
    <w:p>
      <w:pPr>
        <w:pStyle w:val="Compact"/>
        <w:numPr>
          <w:ilvl w:val="0"/>
          <w:numId w:val="1003"/>
        </w:numPr>
      </w:pPr>
      <w:r>
        <w:t xml:space="preserve">a persistence heterogeneity model with interactions for urban residence, female, and the 2022 wave.</w:t>
      </w:r>
    </w:p>
    <w:p>
      <w:pPr>
        <w:pStyle w:val="FirstParagraph"/>
      </w:pPr>
      <w:r>
        <w:t xml:space="preserve">These models are interpreted as correlates, not causal effects.</w:t>
      </w:r>
    </w:p>
    <w:bookmarkEnd w:id="37"/>
    <w:bookmarkStart w:id="38" w:name="module-c-pandemic-era-mechanisms"/>
    <w:p>
      <w:pPr>
        <w:pStyle w:val="Heading3"/>
      </w:pPr>
      <w:r>
        <w:t xml:space="preserve">4.3 Module C: pandemic-era mechanisms</w:t>
      </w:r>
    </w:p>
    <w:p>
      <w:pPr>
        <w:pStyle w:val="FirstParagraph"/>
      </w:pPr>
      <w:r>
        <w:t xml:space="preserve">The third module uses the 2022-23 child module to examine whether disruption and support patterns differ by parental education. The baseline mechanism equation is:</w:t>
      </w:r>
    </w:p>
    <w:p>
      <w:pPr>
        <w:pStyle w:val="BodyText"/>
      </w:pPr>
      <w:r>
        <w:t xml:space="preserve">[</w:t>
      </w:r>
      <w:r>
        <w:t xml:space="preserve"> </w:t>
      </w:r>
      <w:r>
        <w:t xml:space="preserve">M_i =</w:t>
      </w:r>
      <w:r>
        <w:t xml:space="preserve"> </w:t>
      </w:r>
      <w:r>
        <w:t xml:space="preserve">+</w:t>
      </w:r>
      <w:r>
        <w:t xml:space="preserve"> </w:t>
      </w:r>
      <w:r>
        <w:t xml:space="preserve">L_i +</w:t>
      </w:r>
      <w:r>
        <w:t xml:space="preserve"> </w:t>
      </w:r>
      <w:r>
        <w:t xml:space="preserve">Urban_i +</w:t>
      </w:r>
      <w:r>
        <w:t xml:space="preserve"> </w:t>
      </w:r>
      <w:r>
        <w:t xml:space="preserve">Male_i +</w:t>
      </w:r>
      <w:r>
        <w:t xml:space="preserve"> </w:t>
      </w:r>
      <w:r>
        <w:t xml:space="preserve">(L_i</w:t>
      </w:r>
      <w:r>
        <w:t xml:space="preserve"> </w:t>
      </w:r>
      <w:r>
        <w:t xml:space="preserve">Urban_i</w:t>
      </w:r>
      <w:r>
        <w:t xml:space="preserve">) +</w:t>
      </w:r>
      <w:r>
        <w:t xml:space="preserve"> </w:t>
      </w:r>
      <w:r>
        <w:t xml:space="preserve">_r +</w:t>
      </w:r>
      <w:r>
        <w:t xml:space="preserve"> </w:t>
      </w:r>
      <w:r>
        <w:t xml:space="preserve">_i</w:t>
      </w:r>
      <w:r>
        <w:t xml:space="preserve"> </w:t>
      </w:r>
      <w:r>
        <w:t xml:space="preserve">]</w:t>
      </w:r>
    </w:p>
    <w:p>
      <w:pPr>
        <w:pStyle w:val="BodyText"/>
      </w:pPr>
      <w:r>
        <w:t xml:space="preserve">where (M_i) is a binary disruption or support outcome. These models are best treated as descriptive heterogeneity exercises rather than as identification strategies.</w:t>
      </w:r>
    </w:p>
    <w:bookmarkEnd w:id="38"/>
    <w:bookmarkEnd w:id="39"/>
    <w:bookmarkStart w:id="52" w:name="mobility-levels-and-trends"/>
    <w:p>
      <w:pPr>
        <w:pStyle w:val="Heading2"/>
      </w:pPr>
      <w:r>
        <w:t xml:space="preserve">5. Mobility Levels and Trends</w:t>
      </w:r>
    </w:p>
    <w:bookmarkStart w:id="40" w:name="rank-based-persistence"/>
    <w:p>
      <w:pPr>
        <w:pStyle w:val="Heading3"/>
      </w:pPr>
      <w:r>
        <w:t xml:space="preserve">5.1 Rank-based persistence</w:t>
      </w:r>
    </w:p>
    <w:p>
      <w:pPr>
        <w:pStyle w:val="FirstParagraph"/>
      </w:pPr>
      <w:r>
        <w:t xml:space="preserve">The rank-rank slope is the paper’s most stable descriptive mobility measure. It rises from</w:t>
      </w:r>
      <w:r>
        <w:t xml:space="preserve"> </w:t>
      </w:r>
      <w:r>
        <w:rPr>
          <w:b/>
          <w:bCs/>
        </w:rPr>
        <w:t xml:space="preserve">0.133</w:t>
      </w:r>
      <w:r>
        <w:t xml:space="preserve"> </w:t>
      </w:r>
      <w:r>
        <w:t xml:space="preserve">in 2010 to</w:t>
      </w:r>
      <w:r>
        <w:t xml:space="preserve"> </w:t>
      </w:r>
      <w:r>
        <w:rPr>
          <w:b/>
          <w:bCs/>
        </w:rPr>
        <w:t xml:space="preserve">0.299</w:t>
      </w:r>
      <w:r>
        <w:t xml:space="preserve"> </w:t>
      </w:r>
      <w:r>
        <w:t xml:space="preserve">in 2016 and</w:t>
      </w:r>
      <w:r>
        <w:t xml:space="preserve"> </w:t>
      </w:r>
      <w:r>
        <w:rPr>
          <w:b/>
          <w:bCs/>
        </w:rPr>
        <w:t xml:space="preserve">0.350</w:t>
      </w:r>
      <w:r>
        <w:t xml:space="preserve"> </w:t>
      </w:r>
      <w:r>
        <w:t xml:space="preserve">in 2022-23. Read descriptively, later waves show a stronger parent-child rank association than 2010.</w:t>
      </w:r>
    </w:p>
    <w:p>
      <w:pPr>
        <w:pStyle w:val="BodyText"/>
      </w:pPr>
      <w:r>
        <w:t xml:space="preserve">That pattern should not, however, be read as precise evidence of a monotonic time trend. The by-wave estimates are informative about levels in each survey, while the pooled models in Section 6 do not estimate the change precisely once controls and fixed effects are added. The safest conclusion is therefore that educational persistence remains substantial across all three waves.</w:t>
      </w:r>
    </w:p>
    <w:bookmarkEnd w:id="40"/>
    <w:bookmarkStart w:id="42" w:name="category-based-mobility-measures"/>
    <w:p>
      <w:pPr>
        <w:pStyle w:val="Heading3"/>
      </w:pPr>
      <w:r>
        <w:t xml:space="preserve">5.2 Category-based mobility measures</w:t>
      </w:r>
    </w:p>
    <w:p>
      <w:pPr>
        <w:pStyle w:val="FirstParagraph"/>
      </w:pPr>
      <w:r>
        <w:t xml:space="preserve">The category-based measures broadly move in the same direction as the rank-based profile, but they receive lower evidentiary weight in 2022-23 because of denominator size.</w:t>
      </w:r>
    </w:p>
    <w:p>
      <w:pPr>
        <w:pStyle w:val="BodyText"/>
      </w:pPr>
      <w:r>
        <w:t xml:space="preserve">In 2010, the weighted upward mobility rate is</w:t>
      </w:r>
      <w:r>
        <w:t xml:space="preserve"> </w:t>
      </w:r>
      <w:r>
        <w:rPr>
          <w:b/>
          <w:bCs/>
        </w:rPr>
        <w:t xml:space="preserve">26.2 percent</w:t>
      </w:r>
      <w:r>
        <w:t xml:space="preserve">, the downward mobility rate is</w:t>
      </w:r>
      <w:r>
        <w:t xml:space="preserve"> </w:t>
      </w:r>
      <w:r>
        <w:rPr>
          <w:b/>
          <w:bCs/>
        </w:rPr>
        <w:t xml:space="preserve">13.5 percent</w:t>
      </w:r>
      <w:r>
        <w:t xml:space="preserve">, and persistence is</w:t>
      </w:r>
      <w:r>
        <w:t xml:space="preserve"> </w:t>
      </w:r>
      <w:r>
        <w:rPr>
          <w:b/>
          <w:bCs/>
        </w:rPr>
        <w:t xml:space="preserve">60.3 percent</w:t>
      </w:r>
      <w:r>
        <w:t xml:space="preserve">. In 2016, upward mobility is</w:t>
      </w:r>
      <w:r>
        <w:t xml:space="preserve"> </w:t>
      </w:r>
      <w:r>
        <w:rPr>
          <w:b/>
          <w:bCs/>
        </w:rPr>
        <w:t xml:space="preserve">24.7 percent</w:t>
      </w:r>
      <w:r>
        <w:t xml:space="preserve">, downward mobility is</w:t>
      </w:r>
      <w:r>
        <w:t xml:space="preserve"> </w:t>
      </w:r>
      <w:r>
        <w:rPr>
          <w:b/>
          <w:bCs/>
        </w:rPr>
        <w:t xml:space="preserve">5.8 percent</w:t>
      </w:r>
      <w:r>
        <w:t xml:space="preserve">, and persistence is</w:t>
      </w:r>
      <w:r>
        <w:t xml:space="preserve"> </w:t>
      </w:r>
      <w:r>
        <w:rPr>
          <w:b/>
          <w:bCs/>
        </w:rPr>
        <w:t xml:space="preserve">69.5 percent</w:t>
      </w:r>
      <w:r>
        <w:t xml:space="preserve">. In 2022-23, category-based rates indicate</w:t>
      </w:r>
      <w:r>
        <w:t xml:space="preserve"> </w:t>
      </w:r>
      <w:r>
        <w:rPr>
          <w:b/>
          <w:bCs/>
        </w:rPr>
        <w:t xml:space="preserve">3.0 percent</w:t>
      </w:r>
      <w:r>
        <w:t xml:space="preserve"> </w:t>
      </w:r>
      <w:r>
        <w:t xml:space="preserve">upward mobility,</w:t>
      </w:r>
      <w:r>
        <w:t xml:space="preserve"> </w:t>
      </w:r>
      <w:r>
        <w:rPr>
          <w:b/>
          <w:bCs/>
        </w:rPr>
        <w:t xml:space="preserve">1.6 percent</w:t>
      </w:r>
      <w:r>
        <w:t xml:space="preserve"> </w:t>
      </w:r>
      <w:r>
        <w:t xml:space="preserve">downward mobility, and</w:t>
      </w:r>
      <w:r>
        <w:t xml:space="preserve"> </w:t>
      </w:r>
      <w:r>
        <w:rPr>
          <w:b/>
          <w:bCs/>
        </w:rPr>
        <w:t xml:space="preserve">95.3 percent</w:t>
      </w:r>
      <w:r>
        <w:t xml:space="preserve"> </w:t>
      </w:r>
      <w:r>
        <w:t xml:space="preserve">persistence.</w:t>
      </w:r>
    </w:p>
    <w:p>
      <w:pPr>
        <w:pStyle w:val="BodyText"/>
      </w:pPr>
      <w:r>
        <w:t xml:space="preserve">These 2022-23 category-based results should be treated very cautiously. The valid denominator for the 2022 rank-rank slope is 782, while the valid denominator for 2022 category-based mobility rates is only 124. The 2022 category rates are therefore used as a directional cross-check, not as primary headline evidence.</w:t>
      </w:r>
    </w:p>
    <w:tbl>
      <w:tblPr>
        <w:tblStyle w:val="Table"/>
        <w:tblW w:type="pct" w:w="5000"/>
        <w:tblLayout w:type="fixed"/>
        <w:tblLook w:firstRow="0" w:lastRow="0" w:firstColumn="0" w:lastColumn="0" w:noHBand="0" w:noVBand="0" w:val="0000"/>
      </w:tblPr>
      <w:tblGrid>
        <w:gridCol w:w="7920"/>
      </w:tblGrid>
      <w:tr>
        <w:tc>
          <w:tcPr/>
          <w:bookmarkStart w:id="41" w:name="tbl-mobility-metrics"/>
          <w:p>
            <w:pPr>
              <w:jc w:val="center"/>
            </w:pPr>
            <w:pPr>
              <w:jc w:val="left"/>
              <w:spacing w:before="200"/>
              <w:pStyle w:val="ImageCaption"/>
            </w:pPr>
            <w:r>
              <w:t xml:space="preserve">Table 1: National mobility metrics by LiTS wave.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Wave</w:t>
                  </w:r>
                </w:p>
              </w:tc>
              <w:tc>
                <w:tcPr/>
                <w:p>
                  <w:pPr>
                    <w:pStyle w:val="Compact"/>
                    <w:jc w:val="left"/>
                    <w:jc w:val="center"/>
                  </w:pPr>
                  <w:r>
                    <w:t xml:space="preserve">Metric</w:t>
                  </w:r>
                </w:p>
              </w:tc>
              <w:tc>
                <w:tcPr/>
                <w:p>
                  <w:pPr>
                    <w:pStyle w:val="Compact"/>
                    <w:jc w:val="left"/>
                    <w:jc w:val="center"/>
                  </w:pPr>
                  <w:r>
                    <w:t xml:space="preserve">Estimate</w:t>
                  </w:r>
                </w:p>
              </w:tc>
              <w:tc>
                <w:tcPr/>
                <w:p>
                  <w:pPr>
                    <w:pStyle w:val="Compact"/>
                    <w:jc w:val="right"/>
                    <w:jc w:val="center"/>
                  </w:pPr>
                  <w:r>
                    <w:t xml:space="preserve">Valid N</w:t>
                  </w:r>
                </w:p>
              </w:tc>
            </w:tr>
            <w:tr>
              <w:tc>
                <w:tcPr/>
                <w:p>
                  <w:pPr>
                    <w:pStyle w:val="Compact"/>
                    <w:jc w:val="left"/>
                    <w:jc w:val="center"/>
                  </w:pPr>
                  <w:r>
                    <w:t xml:space="preserve">1</w:t>
                  </w:r>
                </w:p>
              </w:tc>
              <w:tc>
                <w:tcPr/>
                <w:p>
                  <w:pPr>
                    <w:pStyle w:val="Compact"/>
                    <w:jc w:val="left"/>
                    <w:jc w:val="center"/>
                  </w:pPr>
                  <w:r>
                    <w:t xml:space="preserve">2010</w:t>
                  </w:r>
                </w:p>
              </w:tc>
              <w:tc>
                <w:tcPr/>
                <w:p>
                  <w:pPr>
                    <w:pStyle w:val="Compact"/>
                    <w:jc w:val="left"/>
                    <w:jc w:val="center"/>
                  </w:pPr>
                  <w:r>
                    <w:t xml:space="preserve">Rank-rank slope</w:t>
                  </w:r>
                </w:p>
              </w:tc>
              <w:tc>
                <w:tcPr/>
                <w:p>
                  <w:pPr>
                    <w:pStyle w:val="Compact"/>
                    <w:jc w:val="left"/>
                    <w:jc w:val="center"/>
                  </w:pPr>
                  <w:r>
                    <w:t xml:space="preserve">0.133</w:t>
                  </w:r>
                </w:p>
              </w:tc>
              <w:tc>
                <w:tcPr/>
                <w:p>
                  <w:pPr>
                    <w:pStyle w:val="Compact"/>
                    <w:jc w:val="right"/>
                    <w:jc w:val="center"/>
                  </w:pPr>
                  <w:r>
                    <w:t xml:space="preserve">936</w:t>
                  </w:r>
                </w:p>
              </w:tc>
            </w:tr>
            <w:tr>
              <w:tc>
                <w:tcPr/>
                <w:p>
                  <w:pPr>
                    <w:pStyle w:val="Compact"/>
                    <w:jc w:val="left"/>
                    <w:jc w:val="center"/>
                  </w:pPr>
                  <w:r>
                    <w:t xml:space="preserve">2</w:t>
                  </w:r>
                </w:p>
              </w:tc>
              <w:tc>
                <w:tcPr/>
                <w:p>
                  <w:pPr>
                    <w:pStyle w:val="Compact"/>
                    <w:jc w:val="left"/>
                    <w:jc w:val="center"/>
                  </w:pPr>
                  <w:r>
                    <w:t xml:space="preserve">2016</w:t>
                  </w:r>
                </w:p>
              </w:tc>
              <w:tc>
                <w:tcPr/>
                <w:p>
                  <w:pPr>
                    <w:pStyle w:val="Compact"/>
                    <w:jc w:val="left"/>
                    <w:jc w:val="center"/>
                  </w:pPr>
                  <w:r>
                    <w:t xml:space="preserve">Rank-rank slope</w:t>
                  </w:r>
                </w:p>
              </w:tc>
              <w:tc>
                <w:tcPr/>
                <w:p>
                  <w:pPr>
                    <w:pStyle w:val="Compact"/>
                    <w:jc w:val="left"/>
                    <w:jc w:val="center"/>
                  </w:pPr>
                  <w:r>
                    <w:t xml:space="preserve">0.299</w:t>
                  </w:r>
                </w:p>
              </w:tc>
              <w:tc>
                <w:tcPr/>
                <w:p>
                  <w:pPr>
                    <w:pStyle w:val="Compact"/>
                    <w:jc w:val="right"/>
                    <w:jc w:val="center"/>
                  </w:pPr>
                  <w:r>
                    <w:t xml:space="preserve">1186</w:t>
                  </w:r>
                </w:p>
              </w:tc>
            </w:tr>
            <w:tr>
              <w:tc>
                <w:tcPr/>
                <w:p>
                  <w:pPr>
                    <w:pStyle w:val="Compact"/>
                    <w:jc w:val="left"/>
                    <w:jc w:val="center"/>
                  </w:pPr>
                  <w:r>
                    <w:t xml:space="preserve">3</w:t>
                  </w:r>
                </w:p>
              </w:tc>
              <w:tc>
                <w:tcPr/>
                <w:p>
                  <w:pPr>
                    <w:pStyle w:val="Compact"/>
                    <w:jc w:val="left"/>
                    <w:jc w:val="center"/>
                  </w:pPr>
                  <w:r>
                    <w:t xml:space="preserve">2022-23</w:t>
                  </w:r>
                </w:p>
              </w:tc>
              <w:tc>
                <w:tcPr/>
                <w:p>
                  <w:pPr>
                    <w:pStyle w:val="Compact"/>
                    <w:jc w:val="left"/>
                    <w:jc w:val="center"/>
                  </w:pPr>
                  <w:r>
                    <w:t xml:space="preserve">Rank-rank slope</w:t>
                  </w:r>
                </w:p>
              </w:tc>
              <w:tc>
                <w:tcPr/>
                <w:p>
                  <w:pPr>
                    <w:pStyle w:val="Compact"/>
                    <w:jc w:val="left"/>
                    <w:jc w:val="center"/>
                  </w:pPr>
                  <w:r>
                    <w:t xml:space="preserve">0.350</w:t>
                  </w:r>
                </w:p>
              </w:tc>
              <w:tc>
                <w:tcPr/>
                <w:p>
                  <w:pPr>
                    <w:pStyle w:val="Compact"/>
                    <w:jc w:val="right"/>
                    <w:jc w:val="center"/>
                  </w:pPr>
                  <w:r>
                    <w:t xml:space="preserve">782</w:t>
                  </w:r>
                </w:p>
              </w:tc>
            </w:tr>
            <w:tr>
              <w:tc>
                <w:tcPr/>
                <w:p>
                  <w:pPr>
                    <w:pStyle w:val="Compact"/>
                    <w:jc w:val="left"/>
                    <w:jc w:val="center"/>
                  </w:pPr>
                  <w:r>
                    <w:t xml:space="preserve">4</w:t>
                  </w:r>
                </w:p>
              </w:tc>
              <w:tc>
                <w:tcPr/>
                <w:p>
                  <w:pPr>
                    <w:pStyle w:val="Compact"/>
                    <w:jc w:val="left"/>
                    <w:jc w:val="center"/>
                  </w:pPr>
                  <w:r>
                    <w:t xml:space="preserve">2010</w:t>
                  </w:r>
                </w:p>
              </w:tc>
              <w:tc>
                <w:tcPr/>
                <w:p>
                  <w:pPr>
                    <w:pStyle w:val="Compact"/>
                    <w:jc w:val="left"/>
                    <w:jc w:val="center"/>
                  </w:pPr>
                  <w:r>
                    <w:t xml:space="preserve">Upward mobility rate</w:t>
                  </w:r>
                </w:p>
              </w:tc>
              <w:tc>
                <w:tcPr/>
                <w:p>
                  <w:pPr>
                    <w:pStyle w:val="Compact"/>
                    <w:jc w:val="left"/>
                    <w:jc w:val="center"/>
                  </w:pPr>
                  <w:r>
                    <w:t xml:space="preserve">26.2 percent</w:t>
                  </w:r>
                </w:p>
              </w:tc>
              <w:tc>
                <w:tcPr/>
                <w:p>
                  <w:pPr>
                    <w:pStyle w:val="Compact"/>
                    <w:jc w:val="right"/>
                    <w:jc w:val="center"/>
                  </w:pPr>
                  <w:r>
                    <w:t xml:space="preserve">612</w:t>
                  </w:r>
                </w:p>
              </w:tc>
            </w:tr>
            <w:tr>
              <w:tc>
                <w:tcPr/>
                <w:p>
                  <w:pPr>
                    <w:pStyle w:val="Compact"/>
                    <w:jc w:val="left"/>
                    <w:jc w:val="center"/>
                  </w:pPr>
                  <w:r>
                    <w:t xml:space="preserve">7</w:t>
                  </w:r>
                </w:p>
              </w:tc>
              <w:tc>
                <w:tcPr/>
                <w:p>
                  <w:pPr>
                    <w:pStyle w:val="Compact"/>
                    <w:jc w:val="left"/>
                    <w:jc w:val="center"/>
                  </w:pPr>
                  <w:r>
                    <w:t xml:space="preserve">2016</w:t>
                  </w:r>
                </w:p>
              </w:tc>
              <w:tc>
                <w:tcPr/>
                <w:p>
                  <w:pPr>
                    <w:pStyle w:val="Compact"/>
                    <w:jc w:val="left"/>
                    <w:jc w:val="center"/>
                  </w:pPr>
                  <w:r>
                    <w:t xml:space="preserve">Upward mobility rate</w:t>
                  </w:r>
                </w:p>
              </w:tc>
              <w:tc>
                <w:tcPr/>
                <w:p>
                  <w:pPr>
                    <w:pStyle w:val="Compact"/>
                    <w:jc w:val="left"/>
                    <w:jc w:val="center"/>
                  </w:pPr>
                  <w:r>
                    <w:t xml:space="preserve">24.7 percent</w:t>
                  </w:r>
                </w:p>
              </w:tc>
              <w:tc>
                <w:tcPr/>
                <w:p>
                  <w:pPr>
                    <w:pStyle w:val="Compact"/>
                    <w:jc w:val="right"/>
                    <w:jc w:val="center"/>
                  </w:pPr>
                  <w:r>
                    <w:t xml:space="preserve">439</w:t>
                  </w:r>
                </w:p>
              </w:tc>
            </w:tr>
            <w:tr>
              <w:tc>
                <w:tcPr/>
                <w:p>
                  <w:pPr>
                    <w:pStyle w:val="Compact"/>
                    <w:jc w:val="left"/>
                    <w:jc w:val="center"/>
                  </w:pPr>
                  <w:r>
                    <w:t xml:space="preserve">10</w:t>
                  </w:r>
                </w:p>
              </w:tc>
              <w:tc>
                <w:tcPr/>
                <w:p>
                  <w:pPr>
                    <w:pStyle w:val="Compact"/>
                    <w:jc w:val="left"/>
                    <w:jc w:val="center"/>
                  </w:pPr>
                  <w:r>
                    <w:t xml:space="preserve">2022-23</w:t>
                  </w:r>
                </w:p>
              </w:tc>
              <w:tc>
                <w:tcPr/>
                <w:p>
                  <w:pPr>
                    <w:pStyle w:val="Compact"/>
                    <w:jc w:val="left"/>
                    <w:jc w:val="center"/>
                  </w:pPr>
                  <w:r>
                    <w:t xml:space="preserve">Upward mobility rate</w:t>
                  </w:r>
                </w:p>
              </w:tc>
              <w:tc>
                <w:tcPr/>
                <w:p>
                  <w:pPr>
                    <w:pStyle w:val="Compact"/>
                    <w:jc w:val="left"/>
                    <w:jc w:val="center"/>
                  </w:pPr>
                  <w:r>
                    <w:t xml:space="preserve">3.0 percent</w:t>
                  </w:r>
                </w:p>
              </w:tc>
              <w:tc>
                <w:tcPr/>
                <w:p>
                  <w:pPr>
                    <w:pStyle w:val="Compact"/>
                    <w:jc w:val="right"/>
                    <w:jc w:val="center"/>
                  </w:pPr>
                  <w:r>
                    <w:t xml:space="preserve">124</w:t>
                  </w:r>
                </w:p>
              </w:tc>
            </w:tr>
            <w:tr>
              <w:tc>
                <w:tcPr/>
                <w:p>
                  <w:pPr>
                    <w:pStyle w:val="Compact"/>
                    <w:jc w:val="left"/>
                    <w:jc w:val="center"/>
                  </w:pPr>
                  <w:r>
                    <w:t xml:space="preserve">5</w:t>
                  </w:r>
                </w:p>
              </w:tc>
              <w:tc>
                <w:tcPr/>
                <w:p>
                  <w:pPr>
                    <w:pStyle w:val="Compact"/>
                    <w:jc w:val="left"/>
                    <w:jc w:val="center"/>
                  </w:pPr>
                  <w:r>
                    <w:t xml:space="preserve">2010</w:t>
                  </w:r>
                </w:p>
              </w:tc>
              <w:tc>
                <w:tcPr/>
                <w:p>
                  <w:pPr>
                    <w:pStyle w:val="Compact"/>
                    <w:jc w:val="left"/>
                    <w:jc w:val="center"/>
                  </w:pPr>
                  <w:r>
                    <w:t xml:space="preserve">Downward mobility rate</w:t>
                  </w:r>
                </w:p>
              </w:tc>
              <w:tc>
                <w:tcPr/>
                <w:p>
                  <w:pPr>
                    <w:pStyle w:val="Compact"/>
                    <w:jc w:val="left"/>
                    <w:jc w:val="center"/>
                  </w:pPr>
                  <w:r>
                    <w:t xml:space="preserve">13.5 percent</w:t>
                  </w:r>
                </w:p>
              </w:tc>
              <w:tc>
                <w:tcPr/>
                <w:p>
                  <w:pPr>
                    <w:pStyle w:val="Compact"/>
                    <w:jc w:val="right"/>
                    <w:jc w:val="center"/>
                  </w:pPr>
                  <w:r>
                    <w:t xml:space="preserve">612</w:t>
                  </w:r>
                </w:p>
              </w:tc>
            </w:tr>
            <w:tr>
              <w:tc>
                <w:tcPr/>
                <w:p>
                  <w:pPr>
                    <w:pStyle w:val="Compact"/>
                    <w:jc w:val="left"/>
                    <w:jc w:val="center"/>
                  </w:pPr>
                  <w:r>
                    <w:t xml:space="preserve">8</w:t>
                  </w:r>
                </w:p>
              </w:tc>
              <w:tc>
                <w:tcPr/>
                <w:p>
                  <w:pPr>
                    <w:pStyle w:val="Compact"/>
                    <w:jc w:val="left"/>
                    <w:jc w:val="center"/>
                  </w:pPr>
                  <w:r>
                    <w:t xml:space="preserve">2016</w:t>
                  </w:r>
                </w:p>
              </w:tc>
              <w:tc>
                <w:tcPr/>
                <w:p>
                  <w:pPr>
                    <w:pStyle w:val="Compact"/>
                    <w:jc w:val="left"/>
                    <w:jc w:val="center"/>
                  </w:pPr>
                  <w:r>
                    <w:t xml:space="preserve">Downward mobility rate</w:t>
                  </w:r>
                </w:p>
              </w:tc>
              <w:tc>
                <w:tcPr/>
                <w:p>
                  <w:pPr>
                    <w:pStyle w:val="Compact"/>
                    <w:jc w:val="left"/>
                    <w:jc w:val="center"/>
                  </w:pPr>
                  <w:r>
                    <w:t xml:space="preserve">5.8 percent</w:t>
                  </w:r>
                </w:p>
              </w:tc>
              <w:tc>
                <w:tcPr/>
                <w:p>
                  <w:pPr>
                    <w:pStyle w:val="Compact"/>
                    <w:jc w:val="right"/>
                    <w:jc w:val="center"/>
                  </w:pPr>
                  <w:r>
                    <w:t xml:space="preserve">439</w:t>
                  </w:r>
                </w:p>
              </w:tc>
            </w:tr>
            <w:tr>
              <w:tc>
                <w:tcPr/>
                <w:p>
                  <w:pPr>
                    <w:pStyle w:val="Compact"/>
                    <w:jc w:val="left"/>
                    <w:jc w:val="center"/>
                  </w:pPr>
                  <w:r>
                    <w:t xml:space="preserve">11</w:t>
                  </w:r>
                </w:p>
              </w:tc>
              <w:tc>
                <w:tcPr/>
                <w:p>
                  <w:pPr>
                    <w:pStyle w:val="Compact"/>
                    <w:jc w:val="left"/>
                    <w:jc w:val="center"/>
                  </w:pPr>
                  <w:r>
                    <w:t xml:space="preserve">2022-23</w:t>
                  </w:r>
                </w:p>
              </w:tc>
              <w:tc>
                <w:tcPr/>
                <w:p>
                  <w:pPr>
                    <w:pStyle w:val="Compact"/>
                    <w:jc w:val="left"/>
                    <w:jc w:val="center"/>
                  </w:pPr>
                  <w:r>
                    <w:t xml:space="preserve">Downward mobility rate</w:t>
                  </w:r>
                </w:p>
              </w:tc>
              <w:tc>
                <w:tcPr/>
                <w:p>
                  <w:pPr>
                    <w:pStyle w:val="Compact"/>
                    <w:jc w:val="left"/>
                    <w:jc w:val="center"/>
                  </w:pPr>
                  <w:r>
                    <w:t xml:space="preserve">1.6 percent</w:t>
                  </w:r>
                </w:p>
              </w:tc>
              <w:tc>
                <w:tcPr/>
                <w:p>
                  <w:pPr>
                    <w:pStyle w:val="Compact"/>
                    <w:jc w:val="right"/>
                    <w:jc w:val="center"/>
                  </w:pPr>
                  <w:r>
                    <w:t xml:space="preserve">124</w:t>
                  </w:r>
                </w:p>
              </w:tc>
            </w:tr>
            <w:tr>
              <w:tc>
                <w:tcPr/>
                <w:p>
                  <w:pPr>
                    <w:pStyle w:val="Compact"/>
                    <w:jc w:val="left"/>
                    <w:jc w:val="center"/>
                  </w:pPr>
                  <w:r>
                    <w:t xml:space="preserve">6</w:t>
                  </w:r>
                </w:p>
              </w:tc>
              <w:tc>
                <w:tcPr/>
                <w:p>
                  <w:pPr>
                    <w:pStyle w:val="Compact"/>
                    <w:jc w:val="left"/>
                    <w:jc w:val="center"/>
                  </w:pPr>
                  <w:r>
                    <w:t xml:space="preserve">2010</w:t>
                  </w:r>
                </w:p>
              </w:tc>
              <w:tc>
                <w:tcPr/>
                <w:p>
                  <w:pPr>
                    <w:pStyle w:val="Compact"/>
                    <w:jc w:val="left"/>
                    <w:jc w:val="center"/>
                  </w:pPr>
                  <w:r>
                    <w:t xml:space="preserve">Persistence probability</w:t>
                  </w:r>
                </w:p>
              </w:tc>
              <w:tc>
                <w:tcPr/>
                <w:p>
                  <w:pPr>
                    <w:pStyle w:val="Compact"/>
                    <w:jc w:val="left"/>
                    <w:jc w:val="center"/>
                  </w:pPr>
                  <w:r>
                    <w:t xml:space="preserve">60.3 percent</w:t>
                  </w:r>
                </w:p>
              </w:tc>
              <w:tc>
                <w:tcPr/>
                <w:p>
                  <w:pPr>
                    <w:pStyle w:val="Compact"/>
                    <w:jc w:val="right"/>
                    <w:jc w:val="center"/>
                  </w:pPr>
                  <w:r>
                    <w:t xml:space="preserve">612</w:t>
                  </w:r>
                </w:p>
              </w:tc>
            </w:tr>
            <w:tr>
              <w:tc>
                <w:tcPr/>
                <w:p>
                  <w:pPr>
                    <w:pStyle w:val="Compact"/>
                    <w:jc w:val="left"/>
                    <w:jc w:val="center"/>
                  </w:pPr>
                  <w:r>
                    <w:t xml:space="preserve">9</w:t>
                  </w:r>
                </w:p>
              </w:tc>
              <w:tc>
                <w:tcPr/>
                <w:p>
                  <w:pPr>
                    <w:pStyle w:val="Compact"/>
                    <w:jc w:val="left"/>
                    <w:jc w:val="center"/>
                  </w:pPr>
                  <w:r>
                    <w:t xml:space="preserve">2016</w:t>
                  </w:r>
                </w:p>
              </w:tc>
              <w:tc>
                <w:tcPr/>
                <w:p>
                  <w:pPr>
                    <w:pStyle w:val="Compact"/>
                    <w:jc w:val="left"/>
                    <w:jc w:val="center"/>
                  </w:pPr>
                  <w:r>
                    <w:t xml:space="preserve">Persistence probability</w:t>
                  </w:r>
                </w:p>
              </w:tc>
              <w:tc>
                <w:tcPr/>
                <w:p>
                  <w:pPr>
                    <w:pStyle w:val="Compact"/>
                    <w:jc w:val="left"/>
                    <w:jc w:val="center"/>
                  </w:pPr>
                  <w:r>
                    <w:t xml:space="preserve">69.5 percent</w:t>
                  </w:r>
                </w:p>
              </w:tc>
              <w:tc>
                <w:tcPr/>
                <w:p>
                  <w:pPr>
                    <w:pStyle w:val="Compact"/>
                    <w:jc w:val="right"/>
                    <w:jc w:val="center"/>
                  </w:pPr>
                  <w:r>
                    <w:t xml:space="preserve">439</w:t>
                  </w:r>
                </w:p>
              </w:tc>
            </w:tr>
            <w:tr>
              <w:tc>
                <w:tcPr/>
                <w:p>
                  <w:pPr>
                    <w:pStyle w:val="Compact"/>
                    <w:jc w:val="left"/>
                    <w:jc w:val="center"/>
                  </w:pPr>
                  <w:r>
                    <w:t xml:space="preserve">12</w:t>
                  </w:r>
                </w:p>
              </w:tc>
              <w:tc>
                <w:tcPr/>
                <w:p>
                  <w:pPr>
                    <w:pStyle w:val="Compact"/>
                    <w:jc w:val="left"/>
                    <w:jc w:val="center"/>
                  </w:pPr>
                  <w:r>
                    <w:t xml:space="preserve">2022-23</w:t>
                  </w:r>
                </w:p>
              </w:tc>
              <w:tc>
                <w:tcPr/>
                <w:p>
                  <w:pPr>
                    <w:pStyle w:val="Compact"/>
                    <w:jc w:val="left"/>
                    <w:jc w:val="center"/>
                  </w:pPr>
                  <w:r>
                    <w:t xml:space="preserve">Persistence probability</w:t>
                  </w:r>
                </w:p>
              </w:tc>
              <w:tc>
                <w:tcPr/>
                <w:p>
                  <w:pPr>
                    <w:pStyle w:val="Compact"/>
                    <w:jc w:val="left"/>
                    <w:jc w:val="center"/>
                  </w:pPr>
                  <w:r>
                    <w:t xml:space="preserve">95.3 percent</w:t>
                  </w:r>
                </w:p>
              </w:tc>
              <w:tc>
                <w:tcPr/>
                <w:p>
                  <w:pPr>
                    <w:pStyle w:val="Compact"/>
                    <w:jc w:val="right"/>
                    <w:jc w:val="center"/>
                  </w:pPr>
                  <w:r>
                    <w:t xml:space="preserve">124</w:t>
                  </w:r>
                </w:p>
              </w:tc>
            </w:tr>
          </w:tbl>
          <w:bookmarkEnd w:id="41"/>
          <w:p/>
        </w:tc>
      </w:tr>
    </w:tbl>
    <w:p>
      <w:pPr>
        <w:pStyle w:val="BodyText"/>
      </w:pPr>
      <w:r>
        <w:rPr>
          <w:b/>
          <w:bCs/>
        </w:rPr>
        <w:t xml:space="preserve">Reporting note.</w:t>
      </w:r>
      <w:r>
        <w:t xml:space="preserve"> </w:t>
      </w:r>
      <w:r>
        <w:t xml:space="preserve">Table</w:t>
      </w:r>
      <w:r>
        <w:t xml:space="preserve"> </w:t>
      </w:r>
      <w:hyperlink w:anchor="tbl-mobility-metrics">
        <w:r>
          <w:rPr>
            <w:rStyle w:val="Hyperlink"/>
          </w:rPr>
          <w:t xml:space="preserve">Table 1</w:t>
        </w:r>
      </w:hyperlink>
      <w:r>
        <w:t xml:space="preserve"> </w:t>
      </w:r>
      <w:r>
        <w:t xml:space="preserve">summarizes the headline mobility estimates. Current reporting outputs provide Module A point estimates and valid denominators, but not design-consistent standard errors or confidence intervals for the weighted mobility measures. Adding uncertainty for these headline estimates is the next recommended reporting improvement.</w:t>
      </w:r>
    </w:p>
    <w:bookmarkEnd w:id="42"/>
    <w:bookmarkStart w:id="51" w:name="interpretation"/>
    <w:p>
      <w:pPr>
        <w:pStyle w:val="Heading3"/>
      </w:pPr>
      <w:r>
        <w:t xml:space="preserve">5.3 Interpretation</w:t>
      </w:r>
    </w:p>
    <w:p>
      <w:pPr>
        <w:pStyle w:val="FirstParagraph"/>
      </w:pPr>
      <w:r>
        <w:t xml:space="preserve">Table</w:t>
      </w:r>
      <w:r>
        <w:t xml:space="preserve"> </w:t>
      </w:r>
      <w:hyperlink w:anchor="tbl-mobility-metrics">
        <w:r>
          <w:rPr>
            <w:rStyle w:val="Hyperlink"/>
          </w:rPr>
          <w:t xml:space="preserve">Table 1</w:t>
        </w:r>
      </w:hyperlink>
      <w:r>
        <w:t xml:space="preserve"> </w:t>
      </w:r>
      <w:r>
        <w:t xml:space="preserve">and Figures</w:t>
      </w:r>
      <w:r>
        <w:t xml:space="preserve"> </w:t>
      </w:r>
      <w:hyperlink w:anchor="fig-rank-rank">
        <w:r>
          <w:rPr>
            <w:rStyle w:val="Hyperlink"/>
          </w:rPr>
          <w:t xml:space="preserve">Figure 1</w:t>
        </w:r>
      </w:hyperlink>
      <w:r>
        <w:t xml:space="preserve"> </w:t>
      </w:r>
      <w:r>
        <w:t xml:space="preserve">and</w:t>
      </w:r>
      <w:r>
        <w:t xml:space="preserve"> </w:t>
      </w:r>
      <w:hyperlink w:anchor="fig-directional-rates">
        <w:r>
          <w:rPr>
            <w:rStyle w:val="Hyperlink"/>
          </w:rPr>
          <w:t xml:space="preserve">Figure 2</w:t>
        </w:r>
      </w:hyperlink>
      <w:r>
        <w:t xml:space="preserve"> </w:t>
      </w:r>
      <w:r>
        <w:t xml:space="preserve">tell a consistent high-level story: intergenerational persistence is substantial in Uzbekistan, and the descriptive measures do not suggest a weakening over time. The rank-based pattern is the more informative part of this result because it uses much larger valid samples and is less vulnerable to sparse category cells.</w:t>
      </w:r>
    </w:p>
    <w:p>
      <w:pPr>
        <w:pStyle w:val="BodyText"/>
      </w:pPr>
      <w:r>
        <w:t xml:space="preserve">The descriptive profile does not, however, identify why persistence differs across waves. Composition changes, regional inequality, tertiary expansion, and measurement noise all remain plausible explanations. The rest of the paper therefore turns to pooled correlates rather than causal explanations.</w:t>
      </w:r>
    </w:p>
    <w:tbl>
      <w:tblPr>
        <w:tblStyle w:val="Table"/>
        <w:tblW w:type="pct" w:w="5000"/>
        <w:tblLayout w:type="fixed"/>
        <w:tblLook w:firstRow="0" w:lastRow="0" w:firstColumn="0" w:lastColumn="0" w:noHBand="0" w:noVBand="0" w:val="0000"/>
      </w:tblPr>
      <w:tblGrid>
        <w:gridCol w:w="7920"/>
      </w:tblGrid>
      <w:tr>
        <w:tc>
          <w:tcPr/>
          <w:bookmarkStart w:id="46" w:name="fig-rank-rank"/>
          <w:p>
            <w:pPr>
              <w:pStyle w:val="Compact"/>
              <w:jc w:val="center"/>
            </w:pPr>
            <w:r>
              <w:drawing>
                <wp:inline>
                  <wp:extent cx="5334000" cy="3555999"/>
                  <wp:effectExtent b="0" l="0" r="0" t="0"/>
                  <wp:docPr descr="" title="" id="44" name="Picture"/>
                  <a:graphic>
                    <a:graphicData uri="http://schemas.openxmlformats.org/drawingml/2006/picture">
                      <pic:pic>
                        <pic:nvPicPr>
                          <pic:cNvPr descr="../outputs/figures/tier_a_rank_rank_by_wave.png" id="45" name="Picture"/>
                          <pic:cNvPicPr>
                            <a:picLocks noChangeArrowheads="1" noChangeAspect="1"/>
                          </pic:cNvPicPr>
                        </pic:nvPicPr>
                        <pic:blipFill>
                          <a:blip r:embed="rId43"/>
                          <a:stretch>
                            <a:fillRect/>
                          </a:stretch>
                        </pic:blipFill>
                        <pic:spPr bwMode="auto">
                          <a:xfrm>
                            <a:off x="0" y="0"/>
                            <a:ext cx="5334000" cy="3555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Rank-rank slope by LiTS wave.</w:t>
            </w:r>
          </w:p>
          <w:bookmarkEnd w:id="4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fig-directional-rates"/>
          <w:p>
            <w:pPr>
              <w:pStyle w:val="Compact"/>
              <w:jc w:val="center"/>
            </w:pPr>
            <w:r>
              <w:drawing>
                <wp:inline>
                  <wp:extent cx="5334000" cy="3555999"/>
                  <wp:effectExtent b="0" l="0" r="0" t="0"/>
                  <wp:docPr descr="" title="" id="48" name="Picture"/>
                  <a:graphic>
                    <a:graphicData uri="http://schemas.openxmlformats.org/drawingml/2006/picture">
                      <pic:pic>
                        <pic:nvPicPr>
                          <pic:cNvPr descr="../outputs/figures/tier_a_directional_rates_by_wave.png" id="49" name="Picture"/>
                          <pic:cNvPicPr>
                            <a:picLocks noChangeArrowheads="1" noChangeAspect="1"/>
                          </pic:cNvPicPr>
                        </pic:nvPicPr>
                        <pic:blipFill>
                          <a:blip r:embed="rId47"/>
                          <a:stretch>
                            <a:fillRect/>
                          </a:stretch>
                        </pic:blipFill>
                        <pic:spPr bwMode="auto">
                          <a:xfrm>
                            <a:off x="0" y="0"/>
                            <a:ext cx="5334000" cy="3555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Directional mobility rates by LiTS wave.</w:t>
            </w:r>
          </w:p>
          <w:bookmarkEnd w:id="50"/>
        </w:tc>
      </w:tr>
    </w:tbl>
    <w:bookmarkEnd w:id="51"/>
    <w:bookmarkEnd w:id="52"/>
    <w:bookmarkStart w:id="58" w:name="correlates-of-educational-mobility"/>
    <w:p>
      <w:pPr>
        <w:pStyle w:val="Heading2"/>
      </w:pPr>
      <w:r>
        <w:t xml:space="preserve">6. Correlates of Educational Mobility</w:t>
      </w:r>
    </w:p>
    <w:bookmarkStart w:id="53" w:name="pooled-persistence-trend-model"/>
    <w:p>
      <w:pPr>
        <w:pStyle w:val="Heading3"/>
      </w:pPr>
      <w:r>
        <w:t xml:space="preserve">6.1 Pooled persistence-trend model</w:t>
      </w:r>
    </w:p>
    <w:p>
      <w:pPr>
        <w:pStyle w:val="FirstParagraph"/>
      </w:pPr>
      <w:r>
        <w:t xml:space="preserve">The pooled rank-based persistence model does not provide precise evidence that persistence changed relative to 2010 once controls and fixed effects are added. The coefficient on parental rank is positive at</w:t>
      </w:r>
      <w:r>
        <w:t xml:space="preserve"> </w:t>
      </w:r>
      <w:r>
        <w:rPr>
          <w:b/>
          <w:bCs/>
        </w:rPr>
        <w:t xml:space="preserve">0.080</w:t>
      </w:r>
      <w:r>
        <w:t xml:space="preserve">, but the interaction terms for 2016 and 2022 relative to 2010 are imprecisely estimated in this specification.</w:t>
      </w:r>
    </w:p>
    <w:p>
      <w:pPr>
        <w:pStyle w:val="BodyText"/>
      </w:pPr>
      <w:r>
        <w:t xml:space="preserve">This result matters for interpretation. The descriptive by-wave rank-rank slopes clearly rise across the three surveys, but once the model adds region, cohort, wave fixed effects, and the selected covariates, the change in persistence over time is estimated less precisely. That suggests that part of the raw trend may reflect shifts in composition or limited power rather than a simple structural break.</w:t>
      </w:r>
    </w:p>
    <w:p>
      <w:pPr>
        <w:pStyle w:val="BodyText"/>
      </w:pPr>
      <w:r>
        <w:t xml:space="preserve">Takeaway: descriptive persistence rises across waves, but pooled interaction models do not estimate the change precisely.</w:t>
      </w:r>
    </w:p>
    <w:bookmarkEnd w:id="53"/>
    <w:bookmarkStart w:id="54" w:name="attainment-score-model"/>
    <w:p>
      <w:pPr>
        <w:pStyle w:val="Heading3"/>
      </w:pPr>
      <w:r>
        <w:t xml:space="preserve">6.2 Attainment-score model</w:t>
      </w:r>
    </w:p>
    <w:p>
      <w:pPr>
        <w:pStyle w:val="FirstParagraph"/>
      </w:pPr>
      <w:r>
        <w:t xml:space="preserve">The attainment-score regression shows a robust positive association between parental education and own educational attainment. The coefficient on parental education score is</w:t>
      </w:r>
      <w:r>
        <w:t xml:space="preserve"> </w:t>
      </w:r>
      <w:r>
        <w:rPr>
          <w:b/>
          <w:bCs/>
        </w:rPr>
        <w:t xml:space="preserve">0.082</w:t>
      </w:r>
      <w:r>
        <w:t xml:space="preserve"> </w:t>
      </w:r>
      <w:r>
        <w:t xml:space="preserve">and is precisely estimated. This is the clearest correlates result in the paper: better-educated parents are associated with higher educational attainment among adult children even after adding fixed effects and the active covariates.</w:t>
      </w:r>
    </w:p>
    <w:p>
      <w:pPr>
        <w:pStyle w:val="BodyText"/>
      </w:pPr>
      <w:r>
        <w:t xml:space="preserve">Among the covariates, the female coefficient is negative and statistically significant at</w:t>
      </w:r>
      <w:r>
        <w:t xml:space="preserve"> </w:t>
      </w:r>
      <w:r>
        <w:rPr>
          <w:b/>
          <w:bCs/>
        </w:rPr>
        <w:t xml:space="preserve">-0.045</w:t>
      </w:r>
      <w:r>
        <w:t xml:space="preserve">, while the urban coefficient is positive but not statistically precise. Migration exposure and multigenerational household structure are not estimated precisely in this specification.</w:t>
      </w:r>
    </w:p>
    <w:p>
      <w:pPr>
        <w:pStyle w:val="BodyText"/>
      </w:pPr>
      <w:r>
        <w:t xml:space="preserve">Takeaway: parental educational background is the strongest and most stable correlate in the pooled attainment model.</w:t>
      </w:r>
    </w:p>
    <w:bookmarkEnd w:id="54"/>
    <w:bookmarkStart w:id="55" w:name="upward-mobility-models"/>
    <w:p>
      <w:pPr>
        <w:pStyle w:val="Heading3"/>
      </w:pPr>
      <w:r>
        <w:t xml:space="preserve">6.3 Upward mobility models</w:t>
      </w:r>
    </w:p>
    <w:p>
      <w:pPr>
        <w:pStyle w:val="FirstParagraph"/>
      </w:pPr>
      <w:r>
        <w:t xml:space="preserve">The upward-mobility linear probability models are useful mainly for showing where upward transitions are mechanically more likely. Relative to the upper-secondary reference group, respondents from primary-educated households and lower-secondary households have much higher estimated probabilities of upward mobility, with coefficients of</w:t>
      </w:r>
      <w:r>
        <w:t xml:space="preserve"> </w:t>
      </w:r>
      <w:r>
        <w:rPr>
          <w:b/>
          <w:bCs/>
        </w:rPr>
        <w:t xml:space="preserve">0.974</w:t>
      </w:r>
      <w:r>
        <w:t xml:space="preserve"> </w:t>
      </w:r>
      <w:r>
        <w:t xml:space="preserve">and</w:t>
      </w:r>
      <w:r>
        <w:t xml:space="preserve"> </w:t>
      </w:r>
      <w:r>
        <w:rPr>
          <w:b/>
          <w:bCs/>
        </w:rPr>
        <w:t xml:space="preserve">0.736</w:t>
      </w:r>
      <w:r>
        <w:t xml:space="preserve">, respectively.</w:t>
      </w:r>
    </w:p>
    <w:p>
      <w:pPr>
        <w:pStyle w:val="BodyText"/>
      </w:pPr>
      <w:r>
        <w:t xml:space="preserve">The non-parental covariates in the upward-mobility models are weaker. Urban residence is close to zero, the female coefficient is negative but only marginally significant, migration exposure is not precise, and multigenerational household structure is positive but not strongly estimated.</w:t>
      </w:r>
    </w:p>
    <w:p>
      <w:pPr>
        <w:pStyle w:val="BodyText"/>
      </w:pPr>
      <w:r>
        <w:t xml:space="preserve">These results suggest that most of the upward-mobility variation in the pooled model is driven by where the household starts in the parental education distribution rather than by the additional correlates included here.</w:t>
      </w:r>
    </w:p>
    <w:p>
      <w:pPr>
        <w:pStyle w:val="BodyText"/>
      </w:pPr>
      <w:r>
        <w:t xml:space="preserve">Takeaway: upward-mobility coefficients mostly capture baseline parental-education position rather than strong independent effects of other covariates.</w:t>
      </w:r>
    </w:p>
    <w:bookmarkEnd w:id="55"/>
    <w:bookmarkStart w:id="57" w:name="heterogeneity-in-persistence"/>
    <w:p>
      <w:pPr>
        <w:pStyle w:val="Heading3"/>
      </w:pPr>
      <w:r>
        <w:t xml:space="preserve">6.4 Heterogeneity in persistence</w:t>
      </w:r>
    </w:p>
    <w:p>
      <w:pPr>
        <w:pStyle w:val="FirstParagraph"/>
      </w:pPr>
      <w:r>
        <w:t xml:space="preserve">The persistence heterogeneity model shows a strong positive association between parental education score and the probability of remaining in the same education category as one’s parents. The coefficient on parental education score is</w:t>
      </w:r>
      <w:r>
        <w:t xml:space="preserve"> </w:t>
      </w:r>
      <w:r>
        <w:rPr>
          <w:b/>
          <w:bCs/>
        </w:rPr>
        <w:t xml:space="preserve">0.512</w:t>
      </w:r>
      <w:r>
        <w:t xml:space="preserve"> </w:t>
      </w:r>
      <w:r>
        <w:t xml:space="preserve">and is precisely estimated.</w:t>
      </w:r>
    </w:p>
    <w:p>
      <w:pPr>
        <w:pStyle w:val="BodyText"/>
      </w:pPr>
      <w:r>
        <w:t xml:space="preserve">There is suggestive heterogeneity by subgroup. The interaction between parent education and urban residence is positive at</w:t>
      </w:r>
      <w:r>
        <w:t xml:space="preserve"> </w:t>
      </w:r>
      <w:r>
        <w:rPr>
          <w:b/>
          <w:bCs/>
        </w:rPr>
        <w:t xml:space="preserve">0.076</w:t>
      </w:r>
      <w:r>
        <w:t xml:space="preserve">, while the interaction between parent education and female is negative at</w:t>
      </w:r>
      <w:r>
        <w:t xml:space="preserve"> </w:t>
      </w:r>
      <w:r>
        <w:rPr>
          <w:b/>
          <w:bCs/>
        </w:rPr>
        <w:t xml:space="preserve">-0.081</w:t>
      </w:r>
      <w:r>
        <w:t xml:space="preserve">. By contrast, the interaction between parent education and the 2022 wave is not precisely estimated.</w:t>
      </w:r>
    </w:p>
    <w:p>
      <w:pPr>
        <w:pStyle w:val="BodyText"/>
      </w:pPr>
      <w:r>
        <w:t xml:space="preserve">A cautious reading is that parental education translates into same-category persistence across the entire sample, but the strength of that translation may vary by subgroup. In this dataset, the strongest subgroup signal points to weaker persistence among women and somewhat stronger persistence in urban settings. Takeaway: heterogeneity is plausible, but the central result remains the overall persistence gradient by parental education. Table</w:t>
      </w:r>
      <w:r>
        <w:t xml:space="preserve"> </w:t>
      </w:r>
      <w:hyperlink w:anchor="tbl-pooled-correlates">
        <w:r>
          <w:rPr>
            <w:rStyle w:val="Hyperlink"/>
          </w:rPr>
          <w:t xml:space="preserve">Table 2</w:t>
        </w:r>
      </w:hyperlink>
      <w:r>
        <w:t xml:space="preserve"> </w:t>
      </w:r>
      <w:r>
        <w:t xml:space="preserve">collects the selected coefficients discussed in Section 6.</w:t>
      </w:r>
    </w:p>
    <w:tbl>
      <w:tblPr>
        <w:tblStyle w:val="Table"/>
        <w:tblW w:type="pct" w:w="5000"/>
        <w:tblLayout w:type="fixed"/>
        <w:tblLook w:firstRow="0" w:lastRow="0" w:firstColumn="0" w:lastColumn="0" w:noHBand="0" w:noVBand="0" w:val="0000"/>
      </w:tblPr>
      <w:tblGrid>
        <w:gridCol w:w="7920"/>
      </w:tblGrid>
      <w:tr>
        <w:tc>
          <w:tcPr/>
          <w:bookmarkStart w:id="56" w:name="tbl-pooled-correlates"/>
          <w:p>
            <w:pPr>
              <w:jc w:val="center"/>
            </w:pPr>
            <w:pPr>
              <w:jc w:val="left"/>
              <w:spacing w:before="200"/>
              <w:pStyle w:val="ImageCaption"/>
            </w:pPr>
            <w:r>
              <w:t xml:space="preserve">Table 2: Selected pooled correlates estimates.</w:t>
            </w:r>
          </w:p>
          <w:tbl>
            <w:tblPr>
              <w:tblStyle w:val="Table"/>
              <w:tblW w:type="pct" w:w="5000"/>
              <w:tblLayout w:type="fixed"/>
              <w:tblLook w:firstRow="1" w:lastRow="0" w:firstColumn="0" w:lastColumn="0" w:noHBand="0" w:noVBand="0" w:val="0020"/>
            </w:tblPr>
            <w:tblGrid>
              <w:gridCol w:w="261"/>
              <w:gridCol w:w="2262"/>
              <w:gridCol w:w="2959"/>
              <w:gridCol w:w="783"/>
              <w:gridCol w:w="957"/>
              <w:gridCol w:w="696"/>
            </w:tblGrid>
            <w:tr>
              <w:trPr>
                <w:tblHeader w:val="on"/>
              </w:trPr>
              <w:tc>
                <w:tcPr/>
                <w:p>
                  <w:pPr>
                    <w:pStyle w:val="Compact"/>
                  </w:pPr>
                </w:p>
              </w:tc>
              <w:tc>
                <w:tcPr/>
                <w:p>
                  <w:pPr>
                    <w:pStyle w:val="Compact"/>
                    <w:jc w:val="left"/>
                    <w:jc w:val="center"/>
                  </w:pPr>
                  <w:r>
                    <w:t xml:space="preserve">Model</w:t>
                  </w:r>
                </w:p>
              </w:tc>
              <w:tc>
                <w:tcPr/>
                <w:p>
                  <w:pPr>
                    <w:pStyle w:val="Compact"/>
                    <w:jc w:val="left"/>
                    <w:jc w:val="center"/>
                  </w:pPr>
                  <w:r>
                    <w:t xml:space="preserve">Term</w:t>
                  </w:r>
                </w:p>
              </w:tc>
              <w:tc>
                <w:tcPr/>
                <w:p>
                  <w:pPr>
                    <w:pStyle w:val="Compact"/>
                    <w:jc w:val="left"/>
                    <w:jc w:val="center"/>
                  </w:pPr>
                  <w:r>
                    <w:t xml:space="preserve">Estimate</w:t>
                  </w:r>
                </w:p>
              </w:tc>
              <w:tc>
                <w:tcPr/>
                <w:p>
                  <w:pPr>
                    <w:pStyle w:val="Compact"/>
                    <w:jc w:val="left"/>
                    <w:jc w:val="center"/>
                  </w:pPr>
                  <w:r>
                    <w:t xml:space="preserve">Std. Error</w:t>
                  </w:r>
                </w:p>
              </w:tc>
              <w:tc>
                <w:tcPr/>
                <w:p>
                  <w:pPr>
                    <w:pStyle w:val="Compact"/>
                    <w:jc w:val="left"/>
                    <w:jc w:val="center"/>
                  </w:pPr>
                  <w:r>
                    <w:t xml:space="preserve">P-value</w:t>
                  </w:r>
                </w:p>
              </w:tc>
            </w:tr>
            <w:tr>
              <w:tc>
                <w:tcPr/>
                <w:p>
                  <w:pPr>
                    <w:pStyle w:val="Compact"/>
                    <w:jc w:val="left"/>
                    <w:jc w:val="center"/>
                  </w:pPr>
                  <w:r>
                    <w:t xml:space="preserve">1</w:t>
                  </w:r>
                </w:p>
              </w:tc>
              <w:tc>
                <w:tcPr/>
                <w:p>
                  <w:pPr>
                    <w:pStyle w:val="Compact"/>
                    <w:jc w:val="left"/>
                    <w:jc w:val="center"/>
                  </w:pPr>
                  <w:r>
                    <w:t xml:space="preserve">Persistence trend</w:t>
                  </w:r>
                </w:p>
              </w:tc>
              <w:tc>
                <w:tcPr/>
                <w:p>
                  <w:pPr>
                    <w:pStyle w:val="Compact"/>
                    <w:jc w:val="left"/>
                    <w:jc w:val="center"/>
                  </w:pPr>
                  <w:r>
                    <w:t xml:space="preserve">Parent rank</w:t>
                  </w:r>
                </w:p>
              </w:tc>
              <w:tc>
                <w:tcPr/>
                <w:p>
                  <w:pPr>
                    <w:pStyle w:val="Compact"/>
                    <w:jc w:val="left"/>
                    <w:jc w:val="center"/>
                  </w:pPr>
                  <w:r>
                    <w:t xml:space="preserve">0.080</w:t>
                  </w:r>
                </w:p>
              </w:tc>
              <w:tc>
                <w:tcPr/>
                <w:p>
                  <w:pPr>
                    <w:pStyle w:val="Compact"/>
                    <w:jc w:val="left"/>
                    <w:jc w:val="center"/>
                  </w:pPr>
                  <w:r>
                    <w:t xml:space="preserve">0.058</w:t>
                  </w:r>
                </w:p>
              </w:tc>
              <w:tc>
                <w:tcPr/>
                <w:p>
                  <w:pPr>
                    <w:pStyle w:val="Compact"/>
                    <w:jc w:val="left"/>
                    <w:jc w:val="center"/>
                  </w:pPr>
                  <w:r>
                    <w:t xml:space="preserve">0.179</w:t>
                  </w:r>
                </w:p>
              </w:tc>
            </w:tr>
            <w:tr>
              <w:tc>
                <w:tcPr/>
                <w:p>
                  <w:pPr>
                    <w:pStyle w:val="Compact"/>
                    <w:jc w:val="left"/>
                    <w:jc w:val="center"/>
                  </w:pPr>
                  <w:r>
                    <w:t xml:space="preserve">2</w:t>
                  </w:r>
                </w:p>
              </w:tc>
              <w:tc>
                <w:tcPr/>
                <w:p>
                  <w:pPr>
                    <w:pStyle w:val="Compact"/>
                    <w:jc w:val="left"/>
                    <w:jc w:val="center"/>
                  </w:pPr>
                  <w:r>
                    <w:t xml:space="preserve">Persistence trend</w:t>
                  </w:r>
                </w:p>
              </w:tc>
              <w:tc>
                <w:tcPr/>
                <w:p>
                  <w:pPr>
                    <w:pStyle w:val="Compact"/>
                    <w:jc w:val="left"/>
                    <w:jc w:val="center"/>
                  </w:pPr>
                  <w:r>
                    <w:t xml:space="preserve">Parent rank x 2016</w:t>
                  </w:r>
                </w:p>
              </w:tc>
              <w:tc>
                <w:tcPr/>
                <w:p>
                  <w:pPr>
                    <w:pStyle w:val="Compact"/>
                    <w:jc w:val="left"/>
                    <w:jc w:val="center"/>
                  </w:pPr>
                  <w:r>
                    <w:t xml:space="preserve">0.057</w:t>
                  </w:r>
                </w:p>
              </w:tc>
              <w:tc>
                <w:tcPr/>
                <w:p>
                  <w:pPr>
                    <w:pStyle w:val="Compact"/>
                    <w:jc w:val="left"/>
                    <w:jc w:val="center"/>
                  </w:pPr>
                  <w:r>
                    <w:t xml:space="preserve">0.132</w:t>
                  </w:r>
                </w:p>
              </w:tc>
              <w:tc>
                <w:tcPr/>
                <w:p>
                  <w:pPr>
                    <w:pStyle w:val="Compact"/>
                    <w:jc w:val="left"/>
                    <w:jc w:val="center"/>
                  </w:pPr>
                  <w:r>
                    <w:t xml:space="preserve">0.670</w:t>
                  </w:r>
                </w:p>
              </w:tc>
            </w:tr>
            <w:tr>
              <w:tc>
                <w:tcPr/>
                <w:p>
                  <w:pPr>
                    <w:pStyle w:val="Compact"/>
                    <w:jc w:val="left"/>
                    <w:jc w:val="center"/>
                  </w:pPr>
                  <w:r>
                    <w:t xml:space="preserve">3</w:t>
                  </w:r>
                </w:p>
              </w:tc>
              <w:tc>
                <w:tcPr/>
                <w:p>
                  <w:pPr>
                    <w:pStyle w:val="Compact"/>
                    <w:jc w:val="left"/>
                    <w:jc w:val="center"/>
                  </w:pPr>
                  <w:r>
                    <w:t xml:space="preserve">Persistence trend</w:t>
                  </w:r>
                </w:p>
              </w:tc>
              <w:tc>
                <w:tcPr/>
                <w:p>
                  <w:pPr>
                    <w:pStyle w:val="Compact"/>
                    <w:jc w:val="left"/>
                    <w:jc w:val="center"/>
                  </w:pPr>
                  <w:r>
                    <w:t xml:space="preserve">Parent rank x 2022-23</w:t>
                  </w:r>
                </w:p>
              </w:tc>
              <w:tc>
                <w:tcPr/>
                <w:p>
                  <w:pPr>
                    <w:pStyle w:val="Compact"/>
                    <w:jc w:val="left"/>
                    <w:jc w:val="center"/>
                  </w:pPr>
                  <w:r>
                    <w:t xml:space="preserve">-0.028</w:t>
                  </w:r>
                </w:p>
              </w:tc>
              <w:tc>
                <w:tcPr/>
                <w:p>
                  <w:pPr>
                    <w:pStyle w:val="Compact"/>
                    <w:jc w:val="left"/>
                    <w:jc w:val="center"/>
                  </w:pPr>
                  <w:r>
                    <w:t xml:space="preserve">0.067</w:t>
                  </w:r>
                </w:p>
              </w:tc>
              <w:tc>
                <w:tcPr/>
                <w:p>
                  <w:pPr>
                    <w:pStyle w:val="Compact"/>
                    <w:jc w:val="left"/>
                    <w:jc w:val="center"/>
                  </w:pPr>
                  <w:r>
                    <w:t xml:space="preserve">0.680</w:t>
                  </w:r>
                </w:p>
              </w:tc>
            </w:tr>
            <w:tr>
              <w:tc>
                <w:tcPr/>
                <w:p>
                  <w:pPr>
                    <w:pStyle w:val="Compact"/>
                    <w:jc w:val="left"/>
                    <w:jc w:val="center"/>
                  </w:pPr>
                  <w:r>
                    <w:t xml:space="preserve">8</w:t>
                  </w:r>
                </w:p>
              </w:tc>
              <w:tc>
                <w:tcPr/>
                <w:p>
                  <w:pPr>
                    <w:pStyle w:val="Compact"/>
                    <w:jc w:val="left"/>
                    <w:jc w:val="center"/>
                  </w:pPr>
                  <w:r>
                    <w:t xml:space="preserve">Attainment score</w:t>
                  </w:r>
                </w:p>
              </w:tc>
              <w:tc>
                <w:tcPr/>
                <w:p>
                  <w:pPr>
                    <w:pStyle w:val="Compact"/>
                    <w:jc w:val="left"/>
                    <w:jc w:val="center"/>
                  </w:pPr>
                  <w:r>
                    <w:t xml:space="preserve">Parent education score</w:t>
                  </w:r>
                </w:p>
              </w:tc>
              <w:tc>
                <w:tcPr/>
                <w:p>
                  <w:pPr>
                    <w:pStyle w:val="Compact"/>
                    <w:jc w:val="left"/>
                    <w:jc w:val="center"/>
                  </w:pPr>
                  <w:r>
                    <w:t xml:space="preserve">0.082</w:t>
                  </w:r>
                </w:p>
              </w:tc>
              <w:tc>
                <w:tcPr/>
                <w:p>
                  <w:pPr>
                    <w:pStyle w:val="Compact"/>
                    <w:jc w:val="left"/>
                    <w:jc w:val="center"/>
                  </w:pPr>
                  <w:r>
                    <w:t xml:space="preserve">0.024</w:t>
                  </w:r>
                </w:p>
              </w:tc>
              <w:tc>
                <w:tcPr/>
                <w:p>
                  <w:pPr>
                    <w:pStyle w:val="Compact"/>
                    <w:jc w:val="left"/>
                    <w:jc w:val="center"/>
                  </w:pPr>
                  <w:r>
                    <w:t xml:space="preserve">0.002</w:t>
                  </w:r>
                </w:p>
              </w:tc>
            </w:tr>
            <w:tr>
              <w:tc>
                <w:tcPr/>
                <w:p>
                  <w:pPr>
                    <w:pStyle w:val="Compact"/>
                    <w:jc w:val="left"/>
                    <w:jc w:val="center"/>
                  </w:pPr>
                  <w:r>
                    <w:t xml:space="preserve">10</w:t>
                  </w:r>
                </w:p>
              </w:tc>
              <w:tc>
                <w:tcPr/>
                <w:p>
                  <w:pPr>
                    <w:pStyle w:val="Compact"/>
                    <w:jc w:val="left"/>
                    <w:jc w:val="center"/>
                  </w:pPr>
                  <w:r>
                    <w:t xml:space="preserve">Attainment score</w:t>
                  </w:r>
                </w:p>
              </w:tc>
              <w:tc>
                <w:tcPr/>
                <w:p>
                  <w:pPr>
                    <w:pStyle w:val="Compact"/>
                    <w:jc w:val="left"/>
                    <w:jc w:val="center"/>
                  </w:pPr>
                  <w:r>
                    <w:t xml:space="preserve">Female</w:t>
                  </w:r>
                </w:p>
              </w:tc>
              <w:tc>
                <w:tcPr/>
                <w:p>
                  <w:pPr>
                    <w:pStyle w:val="Compact"/>
                    <w:jc w:val="left"/>
                    <w:jc w:val="center"/>
                  </w:pPr>
                  <w:r>
                    <w:t xml:space="preserve">-0.045</w:t>
                  </w:r>
                </w:p>
              </w:tc>
              <w:tc>
                <w:tcPr/>
                <w:p>
                  <w:pPr>
                    <w:pStyle w:val="Compact"/>
                    <w:jc w:val="left"/>
                    <w:jc w:val="center"/>
                  </w:pPr>
                  <w:r>
                    <w:t xml:space="preserve">0.020</w:t>
                  </w:r>
                </w:p>
              </w:tc>
              <w:tc>
                <w:tcPr/>
                <w:p>
                  <w:pPr>
                    <w:pStyle w:val="Compact"/>
                    <w:jc w:val="left"/>
                    <w:jc w:val="center"/>
                  </w:pPr>
                  <w:r>
                    <w:t xml:space="preserve">0.034</w:t>
                  </w:r>
                </w:p>
              </w:tc>
            </w:tr>
            <w:tr>
              <w:tc>
                <w:tcPr/>
                <w:p>
                  <w:pPr>
                    <w:pStyle w:val="Compact"/>
                    <w:jc w:val="left"/>
                    <w:jc w:val="center"/>
                  </w:pPr>
                  <w:r>
                    <w:t xml:space="preserve">13</w:t>
                  </w:r>
                </w:p>
              </w:tc>
              <w:tc>
                <w:tcPr/>
                <w:p>
                  <w:pPr>
                    <w:pStyle w:val="Compact"/>
                    <w:jc w:val="left"/>
                    <w:jc w:val="center"/>
                  </w:pPr>
                  <w:r>
                    <w:t xml:space="preserve">Upward mobility</w:t>
                  </w:r>
                </w:p>
              </w:tc>
              <w:tc>
                <w:tcPr/>
                <w:p>
                  <w:pPr>
                    <w:pStyle w:val="Compact"/>
                    <w:jc w:val="left"/>
                    <w:jc w:val="center"/>
                  </w:pPr>
                  <w:r>
                    <w:t xml:space="preserve">Parent education: primary</w:t>
                  </w:r>
                </w:p>
              </w:tc>
              <w:tc>
                <w:tcPr/>
                <w:p>
                  <w:pPr>
                    <w:pStyle w:val="Compact"/>
                    <w:jc w:val="left"/>
                    <w:jc w:val="center"/>
                  </w:pPr>
                  <w:r>
                    <w:t xml:space="preserve">0.974</w:t>
                  </w:r>
                </w:p>
              </w:tc>
              <w:tc>
                <w:tcPr/>
                <w:p>
                  <w:pPr>
                    <w:pStyle w:val="Compact"/>
                    <w:jc w:val="left"/>
                    <w:jc w:val="center"/>
                  </w:pPr>
                  <w:r>
                    <w:t xml:space="preserve">0.010</w:t>
                  </w:r>
                </w:p>
              </w:tc>
              <w:tc>
                <w:tcPr/>
                <w:p>
                  <w:pPr>
                    <w:pStyle w:val="Compact"/>
                    <w:jc w:val="left"/>
                    <w:jc w:val="center"/>
                  </w:pPr>
                  <w:r>
                    <w:t xml:space="preserve">&lt;0.001</w:t>
                  </w:r>
                </w:p>
              </w:tc>
            </w:tr>
            <w:tr>
              <w:tc>
                <w:tcPr/>
                <w:p>
                  <w:pPr>
                    <w:pStyle w:val="Compact"/>
                    <w:jc w:val="left"/>
                    <w:jc w:val="center"/>
                  </w:pPr>
                  <w:r>
                    <w:t xml:space="preserve">14</w:t>
                  </w:r>
                </w:p>
              </w:tc>
              <w:tc>
                <w:tcPr/>
                <w:p>
                  <w:pPr>
                    <w:pStyle w:val="Compact"/>
                    <w:jc w:val="left"/>
                    <w:jc w:val="center"/>
                  </w:pPr>
                  <w:r>
                    <w:t xml:space="preserve">Upward mobility</w:t>
                  </w:r>
                </w:p>
              </w:tc>
              <w:tc>
                <w:tcPr/>
                <w:p>
                  <w:pPr>
                    <w:pStyle w:val="Compact"/>
                    <w:jc w:val="left"/>
                    <w:jc w:val="center"/>
                  </w:pPr>
                  <w:r>
                    <w:t xml:space="preserve">Parent education: lower secondary</w:t>
                  </w:r>
                </w:p>
              </w:tc>
              <w:tc>
                <w:tcPr/>
                <w:p>
                  <w:pPr>
                    <w:pStyle w:val="Compact"/>
                    <w:jc w:val="left"/>
                    <w:jc w:val="center"/>
                  </w:pPr>
                  <w:r>
                    <w:t xml:space="preserve">0.736</w:t>
                  </w:r>
                </w:p>
              </w:tc>
              <w:tc>
                <w:tcPr/>
                <w:p>
                  <w:pPr>
                    <w:pStyle w:val="Compact"/>
                    <w:jc w:val="left"/>
                    <w:jc w:val="center"/>
                  </w:pPr>
                  <w:r>
                    <w:t xml:space="preserve">0.039</w:t>
                  </w:r>
                </w:p>
              </w:tc>
              <w:tc>
                <w:tcPr/>
                <w:p>
                  <w:pPr>
                    <w:pStyle w:val="Compact"/>
                    <w:jc w:val="left"/>
                    <w:jc w:val="center"/>
                  </w:pPr>
                  <w:r>
                    <w:t xml:space="preserve">&lt;0.001</w:t>
                  </w:r>
                </w:p>
              </w:tc>
            </w:tr>
            <w:tr>
              <w:tc>
                <w:tcPr/>
                <w:p>
                  <w:pPr>
                    <w:pStyle w:val="Compact"/>
                    <w:jc w:val="left"/>
                    <w:jc w:val="center"/>
                  </w:pPr>
                  <w:r>
                    <w:t xml:space="preserve">25</w:t>
                  </w:r>
                </w:p>
              </w:tc>
              <w:tc>
                <w:tcPr/>
                <w:p>
                  <w:pPr>
                    <w:pStyle w:val="Compact"/>
                    <w:jc w:val="left"/>
                    <w:jc w:val="center"/>
                  </w:pPr>
                  <w:r>
                    <w:t xml:space="preserve">Persistence heterogeneity</w:t>
                  </w:r>
                </w:p>
              </w:tc>
              <w:tc>
                <w:tcPr/>
                <w:p>
                  <w:pPr>
                    <w:pStyle w:val="Compact"/>
                    <w:jc w:val="left"/>
                    <w:jc w:val="center"/>
                  </w:pPr>
                  <w:r>
                    <w:t xml:space="preserve">Parent education score</w:t>
                  </w:r>
                </w:p>
              </w:tc>
              <w:tc>
                <w:tcPr/>
                <w:p>
                  <w:pPr>
                    <w:pStyle w:val="Compact"/>
                    <w:jc w:val="left"/>
                    <w:jc w:val="center"/>
                  </w:pPr>
                  <w:r>
                    <w:t xml:space="preserve">0.512</w:t>
                  </w:r>
                </w:p>
              </w:tc>
              <w:tc>
                <w:tcPr/>
                <w:p>
                  <w:pPr>
                    <w:pStyle w:val="Compact"/>
                    <w:jc w:val="left"/>
                    <w:jc w:val="center"/>
                  </w:pPr>
                  <w:r>
                    <w:t xml:space="preserve">0.035</w:t>
                  </w:r>
                </w:p>
              </w:tc>
              <w:tc>
                <w:tcPr/>
                <w:p>
                  <w:pPr>
                    <w:pStyle w:val="Compact"/>
                    <w:jc w:val="left"/>
                    <w:jc w:val="center"/>
                  </w:pPr>
                  <w:r>
                    <w:t xml:space="preserve">&lt;0.001</w:t>
                  </w:r>
                </w:p>
              </w:tc>
            </w:tr>
            <w:tr>
              <w:tc>
                <w:tcPr/>
                <w:p>
                  <w:pPr>
                    <w:pStyle w:val="Compact"/>
                    <w:jc w:val="left"/>
                    <w:jc w:val="center"/>
                  </w:pPr>
                  <w:r>
                    <w:t xml:space="preserve">30</w:t>
                  </w:r>
                </w:p>
              </w:tc>
              <w:tc>
                <w:tcPr/>
                <w:p>
                  <w:pPr>
                    <w:pStyle w:val="Compact"/>
                    <w:jc w:val="left"/>
                    <w:jc w:val="center"/>
                  </w:pPr>
                  <w:r>
                    <w:t xml:space="preserve">Persistence heterogeneity</w:t>
                  </w:r>
                </w:p>
              </w:tc>
              <w:tc>
                <w:tcPr/>
                <w:p>
                  <w:pPr>
                    <w:pStyle w:val="Compact"/>
                    <w:jc w:val="left"/>
                    <w:jc w:val="center"/>
                  </w:pPr>
                  <w:r>
                    <w:t xml:space="preserve">Parent education score x urban</w:t>
                  </w:r>
                </w:p>
              </w:tc>
              <w:tc>
                <w:tcPr/>
                <w:p>
                  <w:pPr>
                    <w:pStyle w:val="Compact"/>
                    <w:jc w:val="left"/>
                    <w:jc w:val="center"/>
                  </w:pPr>
                  <w:r>
                    <w:t xml:space="preserve">0.076</w:t>
                  </w:r>
                </w:p>
              </w:tc>
              <w:tc>
                <w:tcPr/>
                <w:p>
                  <w:pPr>
                    <w:pStyle w:val="Compact"/>
                    <w:jc w:val="left"/>
                    <w:jc w:val="center"/>
                  </w:pPr>
                  <w:r>
                    <w:t xml:space="preserve">0.037</w:t>
                  </w:r>
                </w:p>
              </w:tc>
              <w:tc>
                <w:tcPr/>
                <w:p>
                  <w:pPr>
                    <w:pStyle w:val="Compact"/>
                    <w:jc w:val="left"/>
                    <w:jc w:val="center"/>
                  </w:pPr>
                  <w:r>
                    <w:t xml:space="preserve">0.052</w:t>
                  </w:r>
                </w:p>
              </w:tc>
            </w:tr>
            <w:tr>
              <w:tc>
                <w:tcPr/>
                <w:p>
                  <w:pPr>
                    <w:pStyle w:val="Compact"/>
                    <w:jc w:val="left"/>
                    <w:jc w:val="center"/>
                  </w:pPr>
                  <w:r>
                    <w:t xml:space="preserve">31</w:t>
                  </w:r>
                </w:p>
              </w:tc>
              <w:tc>
                <w:tcPr/>
                <w:p>
                  <w:pPr>
                    <w:pStyle w:val="Compact"/>
                    <w:jc w:val="left"/>
                    <w:jc w:val="center"/>
                  </w:pPr>
                  <w:r>
                    <w:t xml:space="preserve">Persistence heterogeneity</w:t>
                  </w:r>
                </w:p>
              </w:tc>
              <w:tc>
                <w:tcPr/>
                <w:p>
                  <w:pPr>
                    <w:pStyle w:val="Compact"/>
                    <w:jc w:val="left"/>
                    <w:jc w:val="center"/>
                  </w:pPr>
                  <w:r>
                    <w:t xml:space="preserve">Parent education score x female</w:t>
                  </w:r>
                </w:p>
              </w:tc>
              <w:tc>
                <w:tcPr/>
                <w:p>
                  <w:pPr>
                    <w:pStyle w:val="Compact"/>
                    <w:jc w:val="left"/>
                    <w:jc w:val="center"/>
                  </w:pPr>
                  <w:r>
                    <w:t xml:space="preserve">-0.081</w:t>
                  </w:r>
                </w:p>
              </w:tc>
              <w:tc>
                <w:tcPr/>
                <w:p>
                  <w:pPr>
                    <w:pStyle w:val="Compact"/>
                    <w:jc w:val="left"/>
                    <w:jc w:val="center"/>
                  </w:pPr>
                  <w:r>
                    <w:t xml:space="preserve">0.035</w:t>
                  </w:r>
                </w:p>
              </w:tc>
              <w:tc>
                <w:tcPr/>
                <w:p>
                  <w:pPr>
                    <w:pStyle w:val="Compact"/>
                    <w:jc w:val="left"/>
                    <w:jc w:val="center"/>
                  </w:pPr>
                  <w:r>
                    <w:t xml:space="preserve">0.029</w:t>
                  </w:r>
                </w:p>
              </w:tc>
            </w:tr>
          </w:tbl>
          <w:bookmarkEnd w:id="56"/>
          <w:p/>
        </w:tc>
      </w:tr>
    </w:tbl>
    <w:bookmarkEnd w:id="57"/>
    <w:bookmarkEnd w:id="58"/>
    <w:bookmarkStart w:id="62" w:name="bounded-lits-iv-child-module-extension"/>
    <w:p>
      <w:pPr>
        <w:pStyle w:val="Heading2"/>
      </w:pPr>
      <w:r>
        <w:t xml:space="preserve">7. Bounded LiTS IV Child Module Extension</w:t>
      </w:r>
    </w:p>
    <w:bookmarkStart w:id="60" w:name="sample-and-disruption-profile"/>
    <w:p>
      <w:pPr>
        <w:pStyle w:val="Heading3"/>
      </w:pPr>
      <w:r>
        <w:t xml:space="preserve">7.1 Sample and disruption profile</w:t>
      </w:r>
    </w:p>
    <w:p>
      <w:pPr>
        <w:pStyle w:val="FirstParagraph"/>
      </w:pPr>
      <w:r>
        <w:t xml:space="preserve">The child-module extension is deliberately kept secondary to Modules A and B. It is based on 183 respondents with a child enrolled before COVID and non-missing parental schooling. Table</w:t>
      </w:r>
      <w:r>
        <w:t xml:space="preserve"> </w:t>
      </w:r>
      <w:hyperlink w:anchor="tbl-modulec-sample">
        <w:r>
          <w:rPr>
            <w:rStyle w:val="Hyperlink"/>
          </w:rPr>
          <w:t xml:space="preserve">Table 3</w:t>
        </w:r>
      </w:hyperlink>
      <w:r>
        <w:t xml:space="preserve"> </w:t>
      </w:r>
      <w:r>
        <w:t xml:space="preserve">reports the sample flow.</w:t>
      </w:r>
    </w:p>
    <w:p>
      <w:pPr>
        <w:pStyle w:val="BodyText"/>
      </w:pPr>
      <w:r>
        <w:t xml:space="preserve">Within this sample, disruption and household substitution were substantial:</w:t>
      </w:r>
      <w:r>
        <w:t xml:space="preserve"> </w:t>
      </w:r>
      <w:r>
        <w:rPr>
          <w:b/>
          <w:bCs/>
        </w:rPr>
        <w:t xml:space="preserve">78.3 percent</w:t>
      </w:r>
      <w:r>
        <w:t xml:space="preserve"> </w:t>
      </w:r>
      <w:r>
        <w:t xml:space="preserve">report education stoppage during COVID,</w:t>
      </w:r>
      <w:r>
        <w:t xml:space="preserve"> </w:t>
      </w:r>
      <w:r>
        <w:rPr>
          <w:b/>
          <w:bCs/>
        </w:rPr>
        <w:t xml:space="preserve">75.8 percent</w:t>
      </w:r>
      <w:r>
        <w:t xml:space="preserve"> </w:t>
      </w:r>
      <w:r>
        <w:t xml:space="preserve">report at least one remote-learning challenge, and mothers are reported as the learning-support channel in</w:t>
      </w:r>
      <w:r>
        <w:t xml:space="preserve"> </w:t>
      </w:r>
      <w:r>
        <w:rPr>
          <w:b/>
          <w:bCs/>
        </w:rPr>
        <w:t xml:space="preserve">87.0 percent</w:t>
      </w:r>
      <w:r>
        <w:t xml:space="preserve"> </w:t>
      </w:r>
      <w:r>
        <w:t xml:space="preserve">of cases. Detailed descriptive breakdowns for additional Module C outcomes are reported in the technical appendix to keep the main text focused on the strongest descriptive facts.</w:t>
      </w:r>
    </w:p>
    <w:tbl>
      <w:tblPr>
        <w:tblStyle w:val="Table"/>
        <w:tblW w:type="pct" w:w="5000"/>
        <w:tblLayout w:type="fixed"/>
        <w:tblLook w:firstRow="0" w:lastRow="0" w:firstColumn="0" w:lastColumn="0" w:noHBand="0" w:noVBand="0" w:val="0000"/>
      </w:tblPr>
      <w:tblGrid>
        <w:gridCol w:w="7920"/>
      </w:tblGrid>
      <w:tr>
        <w:tc>
          <w:tcPr/>
          <w:bookmarkStart w:id="59" w:name="tbl-modulec-sample"/>
          <w:p>
            <w:pPr>
              <w:jc w:val="center"/>
            </w:pPr>
            <w:pPr>
              <w:jc w:val="left"/>
              <w:spacing w:before="200"/>
              <w:pStyle w:val="ImageCaption"/>
            </w:pPr>
            <w:r>
              <w:t xml:space="preserve">Table 3: LiTS IV child-module sample construction for Uzbekistan.</w:t>
            </w:r>
          </w:p>
          <w:tbl>
            <w:tblPr>
              <w:tblStyle w:val="Table"/>
              <w:tblW w:type="pct" w:w="5000"/>
              <w:tblLayout w:type="fixed"/>
              <w:tblLook w:firstRow="1" w:lastRow="0" w:firstColumn="0" w:lastColumn="0" w:noHBand="0" w:noVBand="0" w:val="0020"/>
            </w:tblPr>
            <w:tblGrid>
              <w:gridCol w:w="7362"/>
              <w:gridCol w:w="557"/>
            </w:tblGrid>
            <w:tr>
              <w:trPr>
                <w:tblHeader w:val="on"/>
              </w:trPr>
              <w:tc>
                <w:tcPr/>
                <w:p>
                  <w:pPr>
                    <w:pStyle w:val="Compact"/>
                    <w:jc w:val="left"/>
                    <w:jc w:val="center"/>
                  </w:pPr>
                  <w:r>
                    <w:t xml:space="preserve">Step</w:t>
                  </w:r>
                </w:p>
              </w:tc>
              <w:tc>
                <w:tcPr/>
                <w:p>
                  <w:pPr>
                    <w:pStyle w:val="Compact"/>
                    <w:jc w:val="right"/>
                    <w:jc w:val="center"/>
                  </w:pPr>
                  <w:r>
                    <w:t xml:space="preserve">N</w:t>
                  </w:r>
                </w:p>
              </w:tc>
            </w:tr>
            <w:tr>
              <w:tc>
                <w:tcPr/>
                <w:p>
                  <w:pPr>
                    <w:pStyle w:val="Compact"/>
                    <w:jc w:val="left"/>
                    <w:jc w:val="center"/>
                  </w:pPr>
                  <w:r>
                    <w:t xml:space="preserve">Uzbekistan LiTS IV respondents</w:t>
                  </w:r>
                </w:p>
              </w:tc>
              <w:tc>
                <w:tcPr/>
                <w:p>
                  <w:pPr>
                    <w:pStyle w:val="Compact"/>
                    <w:jc w:val="right"/>
                    <w:jc w:val="center"/>
                  </w:pPr>
                  <w:r>
                    <w:t xml:space="preserve">1006</w:t>
                  </w:r>
                </w:p>
              </w:tc>
            </w:tr>
            <w:tr>
              <w:tc>
                <w:tcPr/>
                <w:p>
                  <w:pPr>
                    <w:pStyle w:val="Compact"/>
                    <w:jc w:val="left"/>
                    <w:jc w:val="center"/>
                  </w:pPr>
                  <w:r>
                    <w:t xml:space="preserve">Respondents with child module eligibility info (q713 non-missing)</w:t>
                  </w:r>
                </w:p>
              </w:tc>
              <w:tc>
                <w:tcPr/>
                <w:p>
                  <w:pPr>
                    <w:pStyle w:val="Compact"/>
                    <w:jc w:val="right"/>
                    <w:jc w:val="center"/>
                  </w:pPr>
                  <w:r>
                    <w:t xml:space="preserve">650</w:t>
                  </w:r>
                </w:p>
              </w:tc>
            </w:tr>
            <w:tr>
              <w:tc>
                <w:tcPr/>
                <w:p>
                  <w:pPr>
                    <w:pStyle w:val="Compact"/>
                    <w:jc w:val="left"/>
                    <w:jc w:val="center"/>
                  </w:pPr>
                  <w:r>
                    <w:t xml:space="preserve">Respondents with child enrolled pre-COVID (q713 = yes)</w:t>
                  </w:r>
                </w:p>
              </w:tc>
              <w:tc>
                <w:tcPr/>
                <w:p>
                  <w:pPr>
                    <w:pStyle w:val="Compact"/>
                    <w:jc w:val="right"/>
                    <w:jc w:val="center"/>
                  </w:pPr>
                  <w:r>
                    <w:t xml:space="preserve">186</w:t>
                  </w:r>
                </w:p>
              </w:tc>
            </w:tr>
            <w:tr>
              <w:tc>
                <w:tcPr/>
                <w:p>
                  <w:pPr>
                    <w:pStyle w:val="Compact"/>
                    <w:jc w:val="left"/>
                    <w:jc w:val="center"/>
                  </w:pPr>
                  <w:r>
                    <w:t xml:space="preserve">Mechanism sample with non-missing parental schooling</w:t>
                  </w:r>
                </w:p>
              </w:tc>
              <w:tc>
                <w:tcPr/>
                <w:p>
                  <w:pPr>
                    <w:pStyle w:val="Compact"/>
                    <w:jc w:val="right"/>
                    <w:jc w:val="center"/>
                  </w:pPr>
                  <w:r>
                    <w:t xml:space="preserve">183</w:t>
                  </w:r>
                </w:p>
              </w:tc>
            </w:tr>
            <w:tr>
              <w:tc>
                <w:tcPr/>
                <w:p>
                  <w:pPr>
                    <w:pStyle w:val="Compact"/>
                    <w:jc w:val="left"/>
                    <w:jc w:val="center"/>
                  </w:pPr>
                  <w:r>
                    <w:t xml:space="preserve">Parental schooling median threshold (years)</w:t>
                  </w:r>
                </w:p>
              </w:tc>
              <w:tc>
                <w:tcPr/>
                <w:p>
                  <w:pPr>
                    <w:pStyle w:val="Compact"/>
                    <w:jc w:val="right"/>
                    <w:jc w:val="center"/>
                  </w:pPr>
                  <w:r>
                    <w:t xml:space="preserve">12</w:t>
                  </w:r>
                </w:p>
              </w:tc>
            </w:tr>
            <w:tr>
              <w:tc>
                <w:tcPr/>
                <w:p>
                  <w:pPr>
                    <w:pStyle w:val="Compact"/>
                    <w:jc w:val="left"/>
                    <w:jc w:val="center"/>
                  </w:pPr>
                  <w:r>
                    <w:t xml:space="preserve">Baseline low-parent-education group size</w:t>
                  </w:r>
                </w:p>
              </w:tc>
              <w:tc>
                <w:tcPr/>
                <w:p>
                  <w:pPr>
                    <w:pStyle w:val="Compact"/>
                    <w:jc w:val="right"/>
                    <w:jc w:val="center"/>
                  </w:pPr>
                  <w:r>
                    <w:t xml:space="preserve">99</w:t>
                  </w:r>
                </w:p>
              </w:tc>
            </w:tr>
            <w:tr>
              <w:tc>
                <w:tcPr/>
                <w:p>
                  <w:pPr>
                    <w:pStyle w:val="Compact"/>
                    <w:jc w:val="left"/>
                    <w:jc w:val="center"/>
                  </w:pPr>
                  <w:r>
                    <w:t xml:space="preserve">Baseline higher-parent-education group size</w:t>
                  </w:r>
                </w:p>
              </w:tc>
              <w:tc>
                <w:tcPr/>
                <w:p>
                  <w:pPr>
                    <w:pStyle w:val="Compact"/>
                    <w:jc w:val="right"/>
                    <w:jc w:val="center"/>
                  </w:pPr>
                  <w:r>
                    <w:t xml:space="preserve">87</w:t>
                  </w:r>
                </w:p>
              </w:tc>
            </w:tr>
          </w:tbl>
          <w:bookmarkEnd w:id="59"/>
          <w:p/>
        </w:tc>
      </w:tr>
    </w:tbl>
    <w:bookmarkEnd w:id="60"/>
    <w:bookmarkStart w:id="61" w:name="main-regression-takeaway"/>
    <w:p>
      <w:pPr>
        <w:pStyle w:val="Heading3"/>
      </w:pPr>
      <w:r>
        <w:t xml:space="preserve">7.2 Main regression takeaway</w:t>
      </w:r>
    </w:p>
    <w:p>
      <w:pPr>
        <w:pStyle w:val="FirstParagraph"/>
      </w:pPr>
      <w:r>
        <w:t xml:space="preserve">One regression result deserves emphasis. Low parental education is positively associated with the probability that a child’s education stopped during COVID, with a coefficient of</w:t>
      </w:r>
      <w:r>
        <w:t xml:space="preserve"> </w:t>
      </w:r>
      <w:r>
        <w:rPr>
          <w:b/>
          <w:bCs/>
        </w:rPr>
        <w:t xml:space="preserve">1.040</w:t>
      </w:r>
      <w:r>
        <w:t xml:space="preserve"> </w:t>
      </w:r>
      <w:r>
        <w:t xml:space="preserve">in the stoppage model. This aligns with the descriptive split: the stoppage rate is</w:t>
      </w:r>
      <w:r>
        <w:t xml:space="preserve"> </w:t>
      </w:r>
      <w:r>
        <w:rPr>
          <w:b/>
          <w:bCs/>
        </w:rPr>
        <w:t xml:space="preserve">81.5 percent</w:t>
      </w:r>
      <w:r>
        <w:t xml:space="preserve"> </w:t>
      </w:r>
      <w:r>
        <w:t xml:space="preserve">among children from lower-parent-education households versus</w:t>
      </w:r>
      <w:r>
        <w:t xml:space="preserve"> </w:t>
      </w:r>
      <w:r>
        <w:rPr>
          <w:b/>
          <w:bCs/>
        </w:rPr>
        <w:t xml:space="preserve">74.5 percent</w:t>
      </w:r>
      <w:r>
        <w:t xml:space="preserve"> </w:t>
      </w:r>
      <w:r>
        <w:t xml:space="preserve">among those from higher-parent-education households.</w:t>
      </w:r>
    </w:p>
    <w:p>
      <w:pPr>
        <w:pStyle w:val="BodyText"/>
      </w:pPr>
      <w:r>
        <w:t xml:space="preserve">Beyond this stoppage result, remaining mechanism regressions are secondary and less precise, so they are reported in the technical appendix rather than emphasized in the main text. Takeaway: Module C contributes bounded descriptive mechanism evidence on household vulnerability, not causal inference.</w:t>
      </w:r>
    </w:p>
    <w:bookmarkEnd w:id="61"/>
    <w:bookmarkEnd w:id="62"/>
    <w:bookmarkStart w:id="63" w:name="discussion-and-policy-implications"/>
    <w:p>
      <w:pPr>
        <w:pStyle w:val="Heading2"/>
      </w:pPr>
      <w:r>
        <w:t xml:space="preserve">8. Discussion and Policy Implications</w:t>
      </w:r>
    </w:p>
    <w:p>
      <w:pPr>
        <w:pStyle w:val="FirstParagraph"/>
      </w:pPr>
      <w:r>
        <w:t xml:space="preserve">Three broad conclusions emerge from the analysis.</w:t>
      </w:r>
    </w:p>
    <w:p>
      <w:pPr>
        <w:pStyle w:val="BodyText"/>
      </w:pPr>
      <w:r>
        <w:t xml:space="preserve">First, Uzbekistan exhibits substantial intergenerational educational persistence. Descriptive persistence measures rise across waves, but the pooled models do not estimate the change precisely, so the evidence is stronger on levels than on time trends.</w:t>
      </w:r>
    </w:p>
    <w:p>
      <w:pPr>
        <w:pStyle w:val="BodyText"/>
      </w:pPr>
      <w:r>
        <w:t xml:space="preserve">Second, parental education is the most consistent predictor in the pooled correlates models. The data provide less clear evidence that migration exposure or multigenerational household structure independently explain mobility once the core controls and fixed effects are added, although these factors may still matter through channels the present specifications do not capture well.</w:t>
      </w:r>
    </w:p>
    <w:p>
      <w:pPr>
        <w:pStyle w:val="BodyText"/>
      </w:pPr>
      <w:r>
        <w:t xml:space="preserve">Third, the pandemic mechanism evidence underscores the practical importance of household learning conditions. Device sharing, internet quality, and time- or cost-related constraints were common, and support was overwhelmingly provided by mothers. This suggests that inequality in education is shaped not only by formal access to schools but also by what households can do when schools are disrupted or when learning increasingly depends on home resources.</w:t>
      </w:r>
    </w:p>
    <w:p>
      <w:pPr>
        <w:pStyle w:val="BodyText"/>
      </w:pPr>
      <w:r>
        <w:t xml:space="preserve">These findings imply several policy priorities.</w:t>
      </w:r>
    </w:p>
    <w:p>
      <w:pPr>
        <w:pStyle w:val="Compact"/>
        <w:numPr>
          <w:ilvl w:val="0"/>
          <w:numId w:val="1004"/>
        </w:numPr>
      </w:pPr>
      <w:r>
        <w:t xml:space="preserve">Reduce the dependence of educational attainment on parental background. This requires support mechanisms that reach children before inequalities become locked in, including targeted remedial support, better transitions across schooling stages, and greater access to quality secondary and post-secondary pathways.</w:t>
      </w:r>
    </w:p>
    <w:p>
      <w:pPr>
        <w:pStyle w:val="Compact"/>
        <w:numPr>
          <w:ilvl w:val="0"/>
          <w:numId w:val="1004"/>
        </w:numPr>
      </w:pPr>
      <w:r>
        <w:t xml:space="preserve">Address spatial and household bottlenecks. Even when the pooled urban coefficient is imprecise, the broader evidence suggests that regional and household conditions matter. Policies should therefore focus on infrastructure, support services, and local inequalities rather than only on average national provision.</w:t>
      </w:r>
    </w:p>
    <w:p>
      <w:pPr>
        <w:pStyle w:val="Compact"/>
        <w:numPr>
          <w:ilvl w:val="0"/>
          <w:numId w:val="1004"/>
        </w:numPr>
      </w:pPr>
      <w:r>
        <w:t xml:space="preserve">Strengthen household support capacity in periods of disruption. The child module highlights that digital access is not only about whether a household has internet, but about quality, device availability, and the ability of adults to help children learn. Policies that support digital inclusion, device access, and flexible learning support can reduce the educational cost of future shocks.</w:t>
      </w:r>
    </w:p>
    <w:p>
      <w:pPr>
        <w:pStyle w:val="Compact"/>
        <w:numPr>
          <w:ilvl w:val="0"/>
          <w:numId w:val="1004"/>
        </w:numPr>
      </w:pPr>
      <w:r>
        <w:t xml:space="preserve">Treat mothers’ support burden as a real education policy issue. The mechanism evidence suggests that mothers carried most of the home-learning burden during the pandemic. Education policy and social policy should recognize this support role rather than assume that learning continuity is costless inside the household.</w:t>
      </w:r>
    </w:p>
    <w:bookmarkEnd w:id="63"/>
    <w:bookmarkStart w:id="64" w:name="limitations"/>
    <w:p>
      <w:pPr>
        <w:pStyle w:val="Heading2"/>
      </w:pPr>
      <w:r>
        <w:t xml:space="preserve">9. Limitations</w:t>
      </w:r>
    </w:p>
    <w:p>
      <w:pPr>
        <w:pStyle w:val="FirstParagraph"/>
      </w:pPr>
      <w:r>
        <w:t xml:space="preserve">This paper has four main limitations.</w:t>
      </w:r>
    </w:p>
    <w:p>
      <w:pPr>
        <w:pStyle w:val="BodyText"/>
      </w:pPr>
      <w:r>
        <w:t xml:space="preserve">First, the three LiTS waves are repeated cross-sections rather than a panel, so changes over time should be interpreted as changes in population-level patterns rather than changes within fixed families.</w:t>
      </w:r>
    </w:p>
    <w:p>
      <w:pPr>
        <w:pStyle w:val="BodyText"/>
      </w:pPr>
      <w:r>
        <w:t xml:space="preserve">Second, the comparability of some parental education information across waves is imperfect, which is why the rank-based measures are more reliable than some category-based comparisons.</w:t>
      </w:r>
    </w:p>
    <w:p>
      <w:pPr>
        <w:pStyle w:val="BodyText"/>
      </w:pPr>
      <w:r>
        <w:t xml:space="preserve">Third, the 2022-23 category-based mobility estimates rely on a much smaller valid denominator than the 2022 rank-based measure. This means the apparent spike in persistence in 2022-23 should be interpreted as suggestive rather than definitive.</w:t>
      </w:r>
    </w:p>
    <w:p>
      <w:pPr>
        <w:pStyle w:val="BodyText"/>
      </w:pPr>
      <w:r>
        <w:t xml:space="preserve">Fourth, the pandemic mechanism module is based on a limited child subsample and is not a causal design. It is useful for describing disruption and support patterns, but it should not be treated as evidence of the causal effect of parental education.</w:t>
      </w:r>
    </w:p>
    <w:p>
      <w:pPr>
        <w:pStyle w:val="BodyText"/>
      </w:pPr>
      <w:r>
        <w:t xml:space="preserve">These limitations do not undermine the central contribution of the paper, but they do shape the appropriate scope of the conclusions.</w:t>
      </w:r>
    </w:p>
    <w:bookmarkEnd w:id="64"/>
    <w:bookmarkStart w:id="65" w:name="conclusion"/>
    <w:p>
      <w:pPr>
        <w:pStyle w:val="Heading2"/>
      </w:pPr>
      <w:r>
        <w:t xml:space="preserve">10. Conclusion</w:t>
      </w:r>
    </w:p>
    <w:p>
      <w:pPr>
        <w:pStyle w:val="FirstParagraph"/>
      </w:pPr>
      <w:r>
        <w:t xml:space="preserve">This paper provides structured multi-wave evidence on intergenerational educational mobility in Uzbekistan using LiTS 2010, 2016, and 2022-23. The results indicate substantial educational persistence across generations. Descriptive persistence measures rise across waves, but the pooled models do not estimate that change precisely enough to support a firm trend claim. Parental education remains the clearest predictor of children’s educational attainment in the pooled correlates models.</w:t>
      </w:r>
    </w:p>
    <w:p>
      <w:pPr>
        <w:pStyle w:val="BodyText"/>
      </w:pPr>
      <w:r>
        <w:t xml:space="preserve">The extension based on the LiTS IV child module shows that pandemic-era learning disruption was widespread and that household support, especially maternal support, was central to learning continuity. Lower parental education appears to be associated with a higher risk that education stopped during COVID, but these patterns should be treated as suggestive due to sample limits.</w:t>
      </w:r>
    </w:p>
    <w:p>
      <w:pPr>
        <w:pStyle w:val="BodyText"/>
      </w:pPr>
      <w:r>
        <w:t xml:space="preserve">The broader message is that improving educational mobility in Uzbekistan will require more than expanding formal access. It will require reducing the degree to which family background governs educational trajectories, especially through the unequal household conditions under which children study, recover from shocks, and convert schooling opportunities into completed attainment.</w:t>
      </w:r>
    </w:p>
    <w:bookmarkEnd w:id="65"/>
    <w:bookmarkStart w:id="96" w:name="bibliography"/>
    <w:p>
      <w:pPr>
        <w:pStyle w:val="Heading1"/>
      </w:pPr>
      <w:r>
        <w:t xml:space="preserve">References</w:t>
      </w:r>
    </w:p>
    <w:bookmarkStart w:id="95" w:name="refs"/>
    <w:bookmarkStart w:id="66" w:name="ref-akarcay_polat_2017"/>
    <w:p>
      <w:pPr>
        <w:pStyle w:val="Bibliography"/>
      </w:pPr>
      <w:r>
        <w:t xml:space="preserve">Akarcay-Gurbuz, Asli, and Seher Polat. 2017.</w:t>
      </w:r>
      <w:r>
        <w:t xml:space="preserve"> </w:t>
      </w:r>
      <w:r>
        <w:t xml:space="preserve">“Schooling Opportunities and Intergenerational Educational Mobility in Turkey.”</w:t>
      </w:r>
    </w:p>
    <w:bookmarkEnd w:id="66"/>
    <w:bookmarkStart w:id="68" w:name="ref-aydemir_yazici_2019"/>
    <w:p>
      <w:pPr>
        <w:pStyle w:val="Bibliography"/>
      </w:pPr>
      <w:r>
        <w:t xml:space="preserve">Aydemir, Abdurrahman B., and Huseyin Yazici. 2019.</w:t>
      </w:r>
      <w:r>
        <w:t xml:space="preserve"> </w:t>
      </w:r>
      <w:r>
        <w:t xml:space="preserve">“Intergenerational Education Mobility and the Level of Development: Evidence from Turkey.”</w:t>
      </w:r>
      <w:r>
        <w:t xml:space="preserve"> </w:t>
      </w:r>
      <w:r>
        <w:rPr>
          <w:i/>
          <w:iCs/>
        </w:rPr>
        <w:t xml:space="preserve">European Economic Review</w:t>
      </w:r>
      <w:r>
        <w:t xml:space="preserve"> </w:t>
      </w:r>
      <w:r>
        <w:t xml:space="preserve">116: 160–85.</w:t>
      </w:r>
      <w:r>
        <w:t xml:space="preserve"> </w:t>
      </w:r>
      <w:hyperlink r:id="rId67">
        <w:r>
          <w:rPr>
            <w:rStyle w:val="Hyperlink"/>
          </w:rPr>
          <w:t xml:space="preserve">https://doi.org/10.1016/j.euroecorev.2019.04.003</w:t>
        </w:r>
      </w:hyperlink>
      <w:r>
        <w:t xml:space="preserve">.</w:t>
      </w:r>
    </w:p>
    <w:bookmarkEnd w:id="68"/>
    <w:bookmarkStart w:id="69" w:name="ref-bruck_esenaliev_2018"/>
    <w:p>
      <w:pPr>
        <w:pStyle w:val="Bibliography"/>
      </w:pPr>
      <w:r>
        <w:t xml:space="preserve">Bruck, Tilman, and Damir Esenaliev. 2018.</w:t>
      </w:r>
      <w:r>
        <w:t xml:space="preserve"> </w:t>
      </w:r>
      <w:r>
        <w:t xml:space="preserve">“Post-Socialist Transition and Intergenerational Educational Mobility in Kyrgyzstan.”</w:t>
      </w:r>
    </w:p>
    <w:bookmarkEnd w:id="69"/>
    <w:bookmarkStart w:id="71" w:name="ref-causa_johansson_2010"/>
    <w:p>
      <w:pPr>
        <w:pStyle w:val="Bibliography"/>
      </w:pPr>
      <w:r>
        <w:t xml:space="preserve">Causa, Orsetta, and Asa Johansson. 2010.</w:t>
      </w:r>
      <w:r>
        <w:t xml:space="preserve"> </w:t>
      </w:r>
      <w:r>
        <w:t xml:space="preserve">“Intergenerational Social Mobility in OECD Countries.”</w:t>
      </w:r>
      <w:r>
        <w:t xml:space="preserve"> </w:t>
      </w:r>
      <w:r>
        <w:t xml:space="preserve">Working Paper 707. OECD Economics Department.</w:t>
      </w:r>
      <w:r>
        <w:t xml:space="preserve"> </w:t>
      </w:r>
      <w:hyperlink r:id="rId70">
        <w:r>
          <w:rPr>
            <w:rStyle w:val="Hyperlink"/>
          </w:rPr>
          <w:t xml:space="preserve">https://doi.org/10.1787/223106258208</w:t>
        </w:r>
      </w:hyperlink>
      <w:r>
        <w:t xml:space="preserve">.</w:t>
      </w:r>
    </w:p>
    <w:bookmarkEnd w:id="71"/>
    <w:bookmarkStart w:id="72" w:name="ref-chevalier_denny_mcmahon_2009"/>
    <w:p>
      <w:pPr>
        <w:pStyle w:val="Bibliography"/>
      </w:pPr>
      <w:r>
        <w:t xml:space="preserve">Chevalier, Arnaud, Kevin Denny, and Dorren McMahon. 2009.</w:t>
      </w:r>
      <w:r>
        <w:t xml:space="preserve"> </w:t>
      </w:r>
      <w:r>
        <w:t xml:space="preserve">“A Multi-Country Study of Inter-Generational Educational Mobility.”</w:t>
      </w:r>
      <w:r>
        <w:t xml:space="preserve"> </w:t>
      </w:r>
      <w:r>
        <w:t xml:space="preserve">In</w:t>
      </w:r>
      <w:r>
        <w:t xml:space="preserve"> </w:t>
      </w:r>
      <w:r>
        <w:rPr>
          <w:i/>
          <w:iCs/>
        </w:rPr>
        <w:t xml:space="preserve">Education and Inequality Across Europe</w:t>
      </w:r>
      <w:r>
        <w:t xml:space="preserve">, edited by Peter Dolton, Rita Asplund, and Erling Barth. Edward Elgar.</w:t>
      </w:r>
    </w:p>
    <w:bookmarkEnd w:id="72"/>
    <w:bookmarkStart w:id="73" w:name="ref-daniela_2021"/>
    <w:p>
      <w:pPr>
        <w:pStyle w:val="Bibliography"/>
      </w:pPr>
      <w:r>
        <w:t xml:space="preserve">Daniela, Linda et al. 2021.</w:t>
      </w:r>
      <w:r>
        <w:t xml:space="preserve"> </w:t>
      </w:r>
      <w:r>
        <w:t xml:space="preserve">“Parents’ Perspectives on Remote Learning in the Pandemic Context.”</w:t>
      </w:r>
      <w:r>
        <w:t xml:space="preserve"> </w:t>
      </w:r>
      <w:r>
        <w:rPr>
          <w:i/>
          <w:iCs/>
        </w:rPr>
        <w:t xml:space="preserve">Sustainability</w:t>
      </w:r>
      <w:r>
        <w:t xml:space="preserve"> </w:t>
      </w:r>
      <w:r>
        <w:t xml:space="preserve">13 (7): 3640.</w:t>
      </w:r>
    </w:p>
    <w:bookmarkEnd w:id="73"/>
    <w:bookmarkStart w:id="75" w:name="ref-guell_etal_2018"/>
    <w:p>
      <w:pPr>
        <w:pStyle w:val="Bibliography"/>
      </w:pPr>
      <w:r>
        <w:t xml:space="preserve">Guell, Maia, Michele Pellizzari, Giovanni Pica, and Jose V. Rodriguez Mora. 2018.</w:t>
      </w:r>
      <w:r>
        <w:t xml:space="preserve"> </w:t>
      </w:r>
      <w:r>
        <w:t xml:space="preserve">“Correlating Social Mobility and Economic Outcomes.”</w:t>
      </w:r>
      <w:r>
        <w:t xml:space="preserve"> </w:t>
      </w:r>
      <w:r>
        <w:rPr>
          <w:i/>
          <w:iCs/>
        </w:rPr>
        <w:t xml:space="preserve">The Economic Journal</w:t>
      </w:r>
      <w:r>
        <w:t xml:space="preserve"> </w:t>
      </w:r>
      <w:r>
        <w:t xml:space="preserve">128 (612): F353–403.</w:t>
      </w:r>
      <w:r>
        <w:t xml:space="preserve"> </w:t>
      </w:r>
      <w:hyperlink r:id="rId74">
        <w:r>
          <w:rPr>
            <w:rStyle w:val="Hyperlink"/>
          </w:rPr>
          <w:t xml:space="preserve">https://doi.org/10.1111/ecoj.12599</w:t>
        </w:r>
      </w:hyperlink>
      <w:r>
        <w:t xml:space="preserve">.</w:t>
      </w:r>
    </w:p>
    <w:bookmarkEnd w:id="75"/>
    <w:bookmarkStart w:id="77" w:name="ref-hertz_2008"/>
    <w:p>
      <w:pPr>
        <w:pStyle w:val="Bibliography"/>
      </w:pPr>
      <w:r>
        <w:t xml:space="preserve">Hertz, Tom, Tamara Jayasundera, Patrizio Piraino, Sibel Selcuk, Nicole Smith, and Alina Verashchagina. 2008.</w:t>
      </w:r>
      <w:r>
        <w:t xml:space="preserve"> </w:t>
      </w:r>
      <w:r>
        <w:t xml:space="preserve">“The Inheritance of Educational Inequality: International Comparisons and Fifty-Year Trends.”</w:t>
      </w:r>
      <w:r>
        <w:t xml:space="preserve"> </w:t>
      </w:r>
      <w:r>
        <w:rPr>
          <w:i/>
          <w:iCs/>
        </w:rPr>
        <w:t xml:space="preserve">The B.E. Journal of Economic Analysis and Policy</w:t>
      </w:r>
      <w:r>
        <w:t xml:space="preserve"> </w:t>
      </w:r>
      <w:r>
        <w:t xml:space="preserve">7 (2).</w:t>
      </w:r>
      <w:r>
        <w:t xml:space="preserve"> </w:t>
      </w:r>
      <w:hyperlink r:id="rId76">
        <w:r>
          <w:rPr>
            <w:rStyle w:val="Hyperlink"/>
          </w:rPr>
          <w:t xml:space="preserve">https://doi.org/10.2202/1935-1682.1775</w:t>
        </w:r>
      </w:hyperlink>
      <w:r>
        <w:t xml:space="preserve">.</w:t>
      </w:r>
    </w:p>
    <w:bookmarkEnd w:id="77"/>
    <w:bookmarkStart w:id="78" w:name="ref-iqbal_patrinos_2025"/>
    <w:p>
      <w:pPr>
        <w:pStyle w:val="Bibliography"/>
      </w:pPr>
      <w:r>
        <w:t xml:space="preserve">Iqbal, Sarah A., Harry Anthony Patrinos, and coauthors. 2025.</w:t>
      </w:r>
      <w:r>
        <w:t xml:space="preserve"> </w:t>
      </w:r>
      <w:r>
        <w:t xml:space="preserve">“Learning During the Pandemic: Evidence from Uzbekistan.”</w:t>
      </w:r>
    </w:p>
    <w:bookmarkEnd w:id="78"/>
    <w:bookmarkStart w:id="79" w:name="ref-knopik_2021"/>
    <w:p>
      <w:pPr>
        <w:pStyle w:val="Bibliography"/>
      </w:pPr>
      <w:r>
        <w:t xml:space="preserve">Knopik, Tomasz et al. 2021.</w:t>
      </w:r>
      <w:r>
        <w:t xml:space="preserve"> </w:t>
      </w:r>
      <w:r>
        <w:t xml:space="preserve">“Parental Involvement in Remote Learning During the COVID-19 Pandemic.”</w:t>
      </w:r>
      <w:r>
        <w:t xml:space="preserve"> </w:t>
      </w:r>
      <w:r>
        <w:rPr>
          <w:i/>
          <w:iCs/>
        </w:rPr>
        <w:t xml:space="preserve">European Journal of Educational Research</w:t>
      </w:r>
      <w:r>
        <w:t xml:space="preserve"> </w:t>
      </w:r>
      <w:r>
        <w:t xml:space="preserve">10 (4): 1985–2000.</w:t>
      </w:r>
    </w:p>
    <w:bookmarkEnd w:id="79"/>
    <w:bookmarkStart w:id="80" w:name="ref-wb_blog_2020"/>
    <w:p>
      <w:pPr>
        <w:pStyle w:val="Bibliography"/>
      </w:pPr>
      <w:r>
        <w:t xml:space="preserve">Meliboeva, Nilufar, Harry Anthony Patrinos, and Joao Teixeira. 2020.</w:t>
      </w:r>
      <w:r>
        <w:t xml:space="preserve"> </w:t>
      </w:r>
      <w:r>
        <w:t xml:space="preserve">“Uzbekistan: A Timely Response on Learning During School Closures.”</w:t>
      </w:r>
    </w:p>
    <w:bookmarkEnd w:id="80"/>
    <w:bookmarkStart w:id="81" w:name="ref-munoznajar_2021"/>
    <w:p>
      <w:pPr>
        <w:pStyle w:val="Bibliography"/>
      </w:pPr>
      <w:r>
        <w:t xml:space="preserve">Munoz-Najar, Alberto et al. 2021.</w:t>
      </w:r>
      <w:r>
        <w:t xml:space="preserve"> </w:t>
      </w:r>
      <w:r>
        <w:t xml:space="preserve">“Remote Learning During COVID-19: Lessons from Today, Principles for Tomorrow.”</w:t>
      </w:r>
      <w:r>
        <w:t xml:space="preserve"> </w:t>
      </w:r>
      <w:r>
        <w:t xml:space="preserve">World Bank.</w:t>
      </w:r>
    </w:p>
    <w:bookmarkEnd w:id="81"/>
    <w:bookmarkStart w:id="83" w:name="ref-neidhoefer_etal_2024"/>
    <w:p>
      <w:pPr>
        <w:pStyle w:val="Bibliography"/>
      </w:pPr>
      <w:r>
        <w:t xml:space="preserve">Neidhoefer, Guido, Matias Ciaschi, Leonardo Gasparini, and Jorge Serrano. 2024.</w:t>
      </w:r>
      <w:r>
        <w:t xml:space="preserve"> </w:t>
      </w:r>
      <w:r>
        <w:t xml:space="preserve">“Social Mobility and Economic Development.”</w:t>
      </w:r>
      <w:r>
        <w:t xml:space="preserve"> </w:t>
      </w:r>
      <w:r>
        <w:rPr>
          <w:i/>
          <w:iCs/>
        </w:rPr>
        <w:t xml:space="preserve">Journal of Economic Growth</w:t>
      </w:r>
      <w:r>
        <w:t xml:space="preserve"> </w:t>
      </w:r>
      <w:r>
        <w:t xml:space="preserve">29 (2): 327–59.</w:t>
      </w:r>
      <w:r>
        <w:t xml:space="preserve"> </w:t>
      </w:r>
      <w:hyperlink r:id="rId82">
        <w:r>
          <w:rPr>
            <w:rStyle w:val="Hyperlink"/>
          </w:rPr>
          <w:t xml:space="preserve">https://doi.org/10.1007/s10887-023-09234-8</w:t>
        </w:r>
      </w:hyperlink>
      <w:r>
        <w:t xml:space="preserve">.</w:t>
      </w:r>
    </w:p>
    <w:bookmarkEnd w:id="83"/>
    <w:bookmarkStart w:id="84" w:name="ref-razzu_wambile_2022"/>
    <w:p>
      <w:pPr>
        <w:pStyle w:val="Bibliography"/>
      </w:pPr>
      <w:r>
        <w:t xml:space="preserve">Razzu, Giovanni, and Albert Wambile. 2022.</w:t>
      </w:r>
      <w:r>
        <w:t xml:space="preserve"> </w:t>
      </w:r>
      <w:r>
        <w:t xml:space="preserve">“Intergenerational Educational Persistence and Cohort Change.”</w:t>
      </w:r>
    </w:p>
    <w:bookmarkEnd w:id="84"/>
    <w:bookmarkStart w:id="85" w:name="ref-stromberg_engzell_2025"/>
    <w:p>
      <w:pPr>
        <w:pStyle w:val="Bibliography"/>
      </w:pPr>
      <w:r>
        <w:t xml:space="preserve">Stromberg, E., and Per Engzell. 2025.</w:t>
      </w:r>
      <w:r>
        <w:t xml:space="preserve"> </w:t>
      </w:r>
      <w:r>
        <w:t xml:space="preserve">“How Robust Are Country Rankings in Educational Mobility?”</w:t>
      </w:r>
    </w:p>
    <w:bookmarkEnd w:id="85"/>
    <w:bookmarkStart w:id="86" w:name="ref-torche_2015"/>
    <w:p>
      <w:pPr>
        <w:pStyle w:val="Bibliography"/>
      </w:pPr>
      <w:r>
        <w:t xml:space="preserve">Torche, Florencia. 2015.</w:t>
      </w:r>
      <w:r>
        <w:t xml:space="preserve"> </w:t>
      </w:r>
      <w:r>
        <w:t xml:space="preserve">“Intergenerational Mobility and Equality of Opportunity.”</w:t>
      </w:r>
    </w:p>
    <w:bookmarkEnd w:id="86"/>
    <w:bookmarkStart w:id="87" w:name="ref-unicef_remote_2020"/>
    <w:p>
      <w:pPr>
        <w:pStyle w:val="Bibliography"/>
      </w:pPr>
      <w:r>
        <w:t xml:space="preserve">UNICEF. 2020.</w:t>
      </w:r>
      <w:r>
        <w:t xml:space="preserve"> </w:t>
      </w:r>
      <w:r>
        <w:t xml:space="preserve">“Putting the Learning Back in Remote Learning.”</w:t>
      </w:r>
      <w:r>
        <w:t xml:space="preserve"> </w:t>
      </w:r>
      <w:r>
        <w:t xml:space="preserve">UNICEF.</w:t>
      </w:r>
    </w:p>
    <w:bookmarkEnd w:id="87"/>
    <w:bookmarkStart w:id="88" w:name="ref-unicef_uzb_2021"/>
    <w:p>
      <w:pPr>
        <w:pStyle w:val="Bibliography"/>
      </w:pPr>
      <w:r>
        <w:t xml:space="preserve">———. 2021.</w:t>
      </w:r>
      <w:r>
        <w:t xml:space="preserve"> </w:t>
      </w:r>
      <w:r>
        <w:t xml:space="preserve">“Uzbekistan Education Sector Analysis.”</w:t>
      </w:r>
      <w:r>
        <w:t xml:space="preserve"> </w:t>
      </w:r>
      <w:r>
        <w:t xml:space="preserve">UNICEF.</w:t>
      </w:r>
    </w:p>
    <w:bookmarkEnd w:id="88"/>
    <w:bookmarkStart w:id="89" w:name="ref-unicef_sitan_2023"/>
    <w:p>
      <w:pPr>
        <w:pStyle w:val="Bibliography"/>
      </w:pPr>
      <w:r>
        <w:t xml:space="preserve">———. 2023.</w:t>
      </w:r>
      <w:r>
        <w:t xml:space="preserve"> </w:t>
      </w:r>
      <w:r>
        <w:t xml:space="preserve">“Situation Analysis of Children and Adolescents in Uzbekistan.”</w:t>
      </w:r>
      <w:r>
        <w:t xml:space="preserve"> </w:t>
      </w:r>
      <w:r>
        <w:t xml:space="preserve">UNICEF.</w:t>
      </w:r>
    </w:p>
    <w:bookmarkEnd w:id="89"/>
    <w:bookmarkStart w:id="90" w:name="ref-verashchagina_2009"/>
    <w:p>
      <w:pPr>
        <w:pStyle w:val="Bibliography"/>
      </w:pPr>
      <w:r>
        <w:t xml:space="preserve">Verashchagina, Alina. 2009.</w:t>
      </w:r>
      <w:r>
        <w:t xml:space="preserve"> </w:t>
      </w:r>
      <w:r>
        <w:t xml:space="preserve">“Education and Socioeconomic Mobility in Post-Communist Countries.”</w:t>
      </w:r>
    </w:p>
    <w:bookmarkEnd w:id="90"/>
    <w:bookmarkStart w:id="92" w:name="ref-weide_etal_2024"/>
    <w:p>
      <w:pPr>
        <w:pStyle w:val="Bibliography"/>
      </w:pPr>
      <w:r>
        <w:t xml:space="preserve">Weide, Roy van der, Christoph Lakner, Daniel Gerszon Mahler, Ambar Narayan, and Rakesh Gupta. 2024.</w:t>
      </w:r>
      <w:r>
        <w:t xml:space="preserve"> </w:t>
      </w:r>
      <w:r>
        <w:t xml:space="preserve">“Intergenerational Mobility Around the World: A New Database.”</w:t>
      </w:r>
      <w:r>
        <w:t xml:space="preserve"> </w:t>
      </w:r>
      <w:r>
        <w:rPr>
          <w:i/>
          <w:iCs/>
        </w:rPr>
        <w:t xml:space="preserve">Journal of Development Economics</w:t>
      </w:r>
      <w:r>
        <w:t xml:space="preserve"> </w:t>
      </w:r>
      <w:r>
        <w:t xml:space="preserve">166: 103167.</w:t>
      </w:r>
      <w:r>
        <w:t xml:space="preserve"> </w:t>
      </w:r>
      <w:hyperlink r:id="rId91">
        <w:r>
          <w:rPr>
            <w:rStyle w:val="Hyperlink"/>
          </w:rPr>
          <w:t xml:space="preserve">https://doi.org/10.1016/j.jdeveco.2023.103167</w:t>
        </w:r>
      </w:hyperlink>
      <w:r>
        <w:t xml:space="preserve">.</w:t>
      </w:r>
    </w:p>
    <w:bookmarkEnd w:id="92"/>
    <w:bookmarkStart w:id="93" w:name="ref-wb_uzb_2018"/>
    <w:p>
      <w:pPr>
        <w:pStyle w:val="Bibliography"/>
      </w:pPr>
      <w:r>
        <w:t xml:space="preserve">World Bank. 2018.</w:t>
      </w:r>
      <w:r>
        <w:t xml:space="preserve"> </w:t>
      </w:r>
      <w:r>
        <w:t xml:space="preserve">“Uzbekistan Education Sector Analysis.”</w:t>
      </w:r>
      <w:r>
        <w:t xml:space="preserve"> </w:t>
      </w:r>
      <w:r>
        <w:t xml:space="preserve">World Bank.</w:t>
      </w:r>
    </w:p>
    <w:bookmarkEnd w:id="93"/>
    <w:bookmarkStart w:id="94" w:name="ref-wb_gender_2024"/>
    <w:p>
      <w:pPr>
        <w:pStyle w:val="Bibliography"/>
      </w:pPr>
      <w:r>
        <w:t xml:space="preserve">———. 2024.</w:t>
      </w:r>
      <w:r>
        <w:t xml:space="preserve"> </w:t>
      </w:r>
      <w:r>
        <w:t xml:space="preserve">“Country Gender Assessment: Uzbekistan.”</w:t>
      </w:r>
      <w:r>
        <w:t xml:space="preserve"> </w:t>
      </w:r>
      <w:r>
        <w:t xml:space="preserve">World Bank.</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43" Target="media/rId43.png" /><Relationship Type="http://schemas.openxmlformats.org/officeDocument/2006/relationships/hyperlink" Id="rId82" Target="https://doi.org/10.1007/s10887-023-09234-8" TargetMode="External" /><Relationship Type="http://schemas.openxmlformats.org/officeDocument/2006/relationships/hyperlink" Id="rId67" Target="https://doi.org/10.1016/j.euroecorev.2019.04.003" TargetMode="External" /><Relationship Type="http://schemas.openxmlformats.org/officeDocument/2006/relationships/hyperlink" Id="rId91" Target="https://doi.org/10.1016/j.jdeveco.2023.103167" TargetMode="External" /><Relationship Type="http://schemas.openxmlformats.org/officeDocument/2006/relationships/hyperlink" Id="rId74" Target="https://doi.org/10.1111/ecoj.12599" TargetMode="External" /><Relationship Type="http://schemas.openxmlformats.org/officeDocument/2006/relationships/hyperlink" Id="rId70" Target="https://doi.org/10.1787/223106258208" TargetMode="External" /><Relationship Type="http://schemas.openxmlformats.org/officeDocument/2006/relationships/hyperlink" Id="rId76" Target="https://doi.org/10.2202/1935-1682.1775" TargetMode="External" /></Relationships>
</file>

<file path=word/_rels/footnotes.xml.rels><?xml version="1.0" encoding="UTF-8"?><Relationships xmlns="http://schemas.openxmlformats.org/package/2006/relationships"><Relationship Type="http://schemas.openxmlformats.org/officeDocument/2006/relationships/hyperlink" Id="rId82" Target="https://doi.org/10.1007/s10887-023-09234-8" TargetMode="External" /><Relationship Type="http://schemas.openxmlformats.org/officeDocument/2006/relationships/hyperlink" Id="rId67" Target="https://doi.org/10.1016/j.euroecorev.2019.04.003" TargetMode="External" /><Relationship Type="http://schemas.openxmlformats.org/officeDocument/2006/relationships/hyperlink" Id="rId91" Target="https://doi.org/10.1016/j.jdeveco.2023.103167" TargetMode="External" /><Relationship Type="http://schemas.openxmlformats.org/officeDocument/2006/relationships/hyperlink" Id="rId74" Target="https://doi.org/10.1111/ecoj.12599" TargetMode="External" /><Relationship Type="http://schemas.openxmlformats.org/officeDocument/2006/relationships/hyperlink" Id="rId70" Target="https://doi.org/10.1787/223106258208" TargetMode="External" /><Relationship Type="http://schemas.openxmlformats.org/officeDocument/2006/relationships/hyperlink" Id="rId76" Target="https://doi.org/10.2202/1935-1682.177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Intergenerational Educational Mobility in Uzbekistan</dc:title>
  <dc:creator>Research Team</dc:creator>
  <cp:keywords/>
  <dcterms:created xsi:type="dcterms:W3CDTF">2026-03-27T12:20:16Z</dcterms:created>
  <dcterms:modified xsi:type="dcterms:W3CDTF">2026-03-27T12:20:16Z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2026-03-27</vt:lpwstr>
  </property>
  <property fmtid="{D5CDD505-2E9C-101B-9397-08002B2CF9AE}" pid="7" name="editor">
    <vt:lpwstr>visual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reference-section-title">
    <vt:lpwstr>References</vt:lpwstr>
  </property>
  <property fmtid="{D5CDD505-2E9C-101B-9397-08002B2CF9AE}" pid="15" name="toc-title">
    <vt:lpwstr>Table of contents</vt:lpwstr>
  </property>
</Properties>
</file>