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64.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Descriptive rank-based persistence measures rise from 0.133 in 2010 to 0.299 in 2016 and 0.350 in 2022-23, but pooled models do not estimate that change precisely once controls and fixed effects are added. Category-based rates move in the same direction, yet the 2022-23 categorical estimates rely on only 124 valid observations and therefore receive limited interpretive weight. In pooled correlates models, parental education remains the clearest predictor of attainment, while women record somewhat lower attainment scores conditional on controls. The LiTS IV child module suggests widespread disruption and household-based support, and lower parental education is associated with a higher probability that education stopped during COVID, though the child-module evidence remains suggestive because of sample limits.</w:t>
      </w:r>
    </w:p>
    <w:p>
      <w:pPr>
        <w:pStyle w:val="BodyText"/>
      </w:pPr>
      <w:r>
        <w:t xml:space="preserve">The results point to substantial educational persistence and to the importance of household support conditions, but they do not provide precise model-based evidence of a worsening time trend or a causal pandemic mechanism.</w:t>
      </w:r>
    </w:p>
    <w:bookmarkEnd w:id="20"/>
    <w:bookmarkStart w:id="21" w:name="introduction"/>
    <w:p>
      <w:pPr>
        <w:pStyle w:val="Heading2"/>
      </w:pPr>
      <w:r>
        <w:t xml:space="preserve">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measures rise across waves, but the pooled models do not estimate the change precisely. The paper therefore emphasizes levels, correlates, and household constraints rather than a firm time-trend claim. Section 2 positions the paper in the literature, Section 3 describes the data and measurement choices, Sections 4-7 present the empirical design and results, and Sections 8-10 discuss interpretation, limitations, and conclusion.</w:t>
      </w:r>
    </w:p>
    <w:bookmarkEnd w:id="21"/>
    <w:bookmarkStart w:id="29" w:name="related-literature"/>
    <w:p>
      <w:pPr>
        <w:pStyle w:val="Heading2"/>
      </w:pPr>
      <w:r>
        <w:t xml:space="preserve">Related Literature</w:t>
      </w:r>
    </w:p>
    <w:bookmarkStart w:id="22" w:name="why-educational-mobility-matters"/>
    <w:p>
      <w:pPr>
        <w:pStyle w:val="Heading3"/>
      </w:pPr>
      <w:r>
        <w:t xml:space="preserve">Why Educational Mobility Matters</w:t>
      </w:r>
    </w:p>
    <w:p>
      <w:pPr>
        <w:pStyle w:val="FirstParagraph"/>
      </w:pPr>
      <w:r>
        <w:t xml:space="preserve">Intergenerational educational mobility matters because it links family background to both equality of opportunity and the allocation of skills. When parent-child schooling links are strong, educational attainment reflects inherited circumstance as much as individual effort or talent. That makes mobility relevant not only for fairness, but also for long-run productivity and the conversion of human potential into completed schooling and labor-market opportunity</w:t>
      </w:r>
      <w:r>
        <w:t xml:space="preserve"> </w:t>
      </w:r>
      <w:r>
        <w:t xml:space="preserve">(</w:t>
      </w:r>
      <w:hyperlink w:anchor="ref-torche_2015">
        <w:r>
          <w:rPr>
            <w:rStyle w:val="Hyperlink"/>
          </w:rPr>
          <w:t xml:space="preserve">Torche 2015</w:t>
        </w:r>
      </w:hyperlink>
      <w:r>
        <w:t xml:space="preserve">;</w:t>
      </w:r>
      <w:r>
        <w:t xml:space="preserve"> </w:t>
      </w:r>
      <w:hyperlink w:anchor="ref-causa_johansson_2010">
        <w:r>
          <w:rPr>
            <w:rStyle w:val="Hyperlink"/>
          </w:rPr>
          <w:t xml:space="preserve">Causa and Johansson 2010</w:t>
        </w:r>
      </w:hyperlink>
      <w:r>
        <w:t xml:space="preserve">)</w:t>
      </w:r>
      <w:r>
        <w:t xml:space="preserve">. Cross-country evidence consistently shows that educational persistence remains substantial and highly uneven rather than mechanically converging as countries develop. Hertz et al.</w:t>
      </w:r>
      <w:r>
        <w:t xml:space="preserve"> </w:t>
      </w:r>
      <w:r>
        <w:t xml:space="preserve">(</w:t>
      </w:r>
      <w:hyperlink w:anchor="ref-hertz_2008">
        <w:r>
          <w:rPr>
            <w:rStyle w:val="Hyperlink"/>
          </w:rPr>
          <w:t xml:space="preserve">Hertz et al. 2008</w:t>
        </w:r>
      </w:hyperlink>
      <w:r>
        <w:t xml:space="preserve">)</w:t>
      </w:r>
      <w:r>
        <w:t xml:space="preserve"> </w:t>
      </w:r>
      <w:r>
        <w:t xml:space="preserve">document large cross-country variation over a long horizon, and van der Weide et al.</w:t>
      </w:r>
      <w:r>
        <w:t xml:space="preserve"> </w:t>
      </w:r>
      <w:r>
        <w:t xml:space="preserve">(</w:t>
      </w:r>
      <w:hyperlink w:anchor="ref-weide_etal_2024">
        <w:r>
          <w:rPr>
            <w:rStyle w:val="Hyperlink"/>
          </w:rPr>
          <w:t xml:space="preserve">Weide et al. 2024</w:t>
        </w:r>
      </w:hyperlink>
      <w:r>
        <w:t xml:space="preserve">)</w:t>
      </w:r>
      <w:r>
        <w:t xml:space="preserve"> </w:t>
      </w:r>
      <w:r>
        <w:t xml:space="preserve">show that average mobility remains lower in many developing settings than in higher-income ones.</w:t>
      </w:r>
    </w:p>
    <w:p>
      <w:pPr>
        <w:pStyle w:val="BodyText"/>
      </w:pPr>
      <w:r>
        <w:t xml:space="preserve">This literature also clarifies why the question is substantively important for Uzbekistan. Educational mobility is one way of asking whether a young and expanding population can translate schooling opportunity into broader social mobility, or whether the distribution of education remains tightly tied to family origin. In that sense, mobility is not a side issue to development; it is a compact summary of how inherited background interacts with schooling systems, local opportunity structures, and household support capacity</w:t>
      </w:r>
      <w:r>
        <w:t xml:space="preserve"> </w:t>
      </w:r>
      <w:r>
        <w:t xml:space="preserve">(</w:t>
      </w:r>
      <w:hyperlink w:anchor="ref-causa_johansson_2010">
        <w:r>
          <w:rPr>
            <w:rStyle w:val="Hyperlink"/>
          </w:rPr>
          <w:t xml:space="preserve">Causa and Johansson 2010</w:t>
        </w:r>
      </w:hyperlink>
      <w:r>
        <w:t xml:space="preserve">;</w:t>
      </w:r>
      <w:r>
        <w:t xml:space="preserve"> </w:t>
      </w:r>
      <w:hyperlink w:anchor="ref-neidhoefer_etal_2024">
        <w:r>
          <w:rPr>
            <w:rStyle w:val="Hyperlink"/>
          </w:rPr>
          <w:t xml:space="preserve">Neidhöfer et al. 2024</w:t>
        </w:r>
      </w:hyperlink>
      <w:r>
        <w:t xml:space="preserve">)</w:t>
      </w:r>
      <w:r>
        <w:t xml:space="preserve">.</w:t>
      </w:r>
    </w:p>
    <w:bookmarkEnd w:id="22"/>
    <w:bookmarkStart w:id="23" w:name="Xf7cc99bfb492b7b9d87e84d4bb99a8893a21bb6"/>
    <w:p>
      <w:pPr>
        <w:pStyle w:val="Heading3"/>
      </w:pPr>
      <w:r>
        <w:t xml:space="preserve">Measurement Choices and Contribution Discipline</w:t>
      </w:r>
    </w:p>
    <w:p>
      <w:pPr>
        <w:pStyle w:val="FirstParagraph"/>
      </w:pPr>
      <w:r>
        <w:t xml:space="preserve">The mobility literature further cautions against treating any single statistic as a complete description of opportunity. Torche</w:t>
      </w:r>
      <w:r>
        <w:t xml:space="preserve"> </w:t>
      </w:r>
      <w:r>
        <w:t xml:space="preserve">(</w:t>
      </w:r>
      <w:hyperlink w:anchor="ref-torche_2015">
        <w:r>
          <w:rPr>
            <w:rStyle w:val="Hyperlink"/>
          </w:rPr>
          <w:t xml:space="preserve">Torche 2015</w:t>
        </w:r>
      </w:hyperlink>
      <w:r>
        <w:t xml:space="preserve">)</w:t>
      </w:r>
      <w:r>
        <w:t xml:space="preserve"> </w:t>
      </w:r>
      <w:r>
        <w:t xml:space="preserve">emphasizes that mobility measures summarize intergenerational association rather than directly recovering a full structural model of equality of opportunity. Recent measurement work strengthens that warning: Stromberg and Engzell</w:t>
      </w:r>
      <w:r>
        <w:t xml:space="preserve"> </w:t>
      </w:r>
      <w:r>
        <w:t xml:space="preserve">(</w:t>
      </w:r>
      <w:hyperlink w:anchor="ref-stromberg_engzell_2025">
        <w:r>
          <w:rPr>
            <w:rStyle w:val="Hyperlink"/>
          </w:rPr>
          <w:t xml:space="preserve">Strömberg and Engzell 2025</w:t>
        </w:r>
      </w:hyperlink>
      <w:r>
        <w:t xml:space="preserve">)</w:t>
      </w:r>
      <w:r>
        <w:t xml:space="preserve"> </w:t>
      </w:r>
      <w:r>
        <w:t xml:space="preserve">show that country rankings can move materially with coding, sample, and estimator choices. For a paper based on repeated surveys with modest cross-wave questionnaire differences, that is a direct argument against relying on one headline number.</w:t>
      </w:r>
    </w:p>
    <w:p>
      <w:pPr>
        <w:pStyle w:val="BodyText"/>
      </w:pPr>
      <w:r>
        <w:t xml:space="preserve">This is why the manuscript uses a deliberately locked measure bundle rather than a single preferred statistic. Category-based measures retain the intuitive language of educational transitions by asking whether respondents surpass, match, or fall below parental schooling categories. Rank-based measures, in contrast, are better suited to cross-wave comparison because they locate respondents within the educational distribution of each wave. The two families therefore answer related but not identical questions: category rates preserve substantive interpretation, while rank-based persistence is more robust to shifts in educational expansion and coding detail</w:t>
      </w:r>
      <w:r>
        <w:t xml:space="preserve"> </w:t>
      </w:r>
      <w:r>
        <w:t xml:space="preserve">(</w:t>
      </w:r>
      <w:hyperlink w:anchor="ref-torche_2015">
        <w:r>
          <w:rPr>
            <w:rStyle w:val="Hyperlink"/>
          </w:rPr>
          <w:t xml:space="preserve">Torche 2015</w:t>
        </w:r>
      </w:hyperlink>
      <w:r>
        <w:t xml:space="preserve">;</w:t>
      </w:r>
      <w:r>
        <w:t xml:space="preserve"> </w:t>
      </w:r>
      <w:hyperlink w:anchor="ref-weide_etal_2024">
        <w:r>
          <w:rPr>
            <w:rStyle w:val="Hyperlink"/>
          </w:rPr>
          <w:t xml:space="preserve">Weide et al. 2024</w:t>
        </w:r>
      </w:hyperlink>
      <w:r>
        <w:t xml:space="preserve">)</w:t>
      </w:r>
      <w:r>
        <w:t xml:space="preserve">.</w:t>
      </w:r>
    </w:p>
    <w:p>
      <w:pPr>
        <w:pStyle w:val="BodyText"/>
      </w:pPr>
      <w:r>
        <w:t xml:space="preserve">A related lesson from the earlier comparative literature is that educational expansion does not automatically imply weaker persistence. Chevalier, Denny, and McMahon</w:t>
      </w:r>
      <w:r>
        <w:t xml:space="preserve"> </w:t>
      </w:r>
      <w:r>
        <w:t xml:space="preserve">(</w:t>
      </w:r>
      <w:hyperlink w:anchor="ref-chevalier_denny_mcmahon_2009">
        <w:r>
          <w:rPr>
            <w:rStyle w:val="Hyperlink"/>
          </w:rPr>
          <w:t xml:space="preserve">Chevalier, Denny, and McMahon 2009</w:t>
        </w:r>
      </w:hyperlink>
      <w:r>
        <w:t xml:space="preserve">)</w:t>
      </w:r>
      <w:r>
        <w:t xml:space="preserve"> </w:t>
      </w:r>
      <w:r>
        <w:t xml:space="preserve">show that broader access to higher education need not erase family-background gradients, and Razzu and Wambile</w:t>
      </w:r>
      <w:r>
        <w:t xml:space="preserve"> </w:t>
      </w:r>
      <w:r>
        <w:t xml:space="preserve">(</w:t>
      </w:r>
      <w:hyperlink w:anchor="ref-razzu_wambile_2022">
        <w:r>
          <w:rPr>
            <w:rStyle w:val="Hyperlink"/>
          </w:rPr>
          <w:t xml:space="preserve">Razzu and Wambile 2022</w:t>
        </w:r>
      </w:hyperlink>
      <w:r>
        <w:t xml:space="preserve">)</w:t>
      </w:r>
      <w:r>
        <w:t xml:space="preserve"> </w:t>
      </w:r>
      <w:r>
        <w:t xml:space="preserve">similarly stress that cohort change can coexist with persistent intergenerational gradients. That point is important for this paper’s contribution discipline: descriptive increases in persistence across LiTS waves are informative, but they are not by themselves proof of a precisely estimated structural trend.</w:t>
      </w:r>
    </w:p>
    <w:bookmarkEnd w:id="23"/>
    <w:bookmarkStart w:id="24" w:name="X860bec3a4fe6febda157ac1960898ecb61a6e30"/>
    <w:p>
      <w:pPr>
        <w:pStyle w:val="Heading3"/>
      </w:pPr>
      <w:r>
        <w:t xml:space="preserve">Transition Economies and Regional Comparators</w:t>
      </w:r>
    </w:p>
    <w:p>
      <w:pPr>
        <w:pStyle w:val="FirstParagraph"/>
      </w:pPr>
      <w:r>
        <w:t xml:space="preserve">Transition settings are especially relevant for Uzbekistan because market transition, institutional restructuring, and uneven regional development can alter both schooling opportunities and the household strategies through which education is reproduced. Comparative post-communist evidence does not suggest a single mobility path. Verashchagina</w:t>
      </w:r>
      <w:r>
        <w:t xml:space="preserve"> </w:t>
      </w:r>
      <w:r>
        <w:t xml:space="preserve">(</w:t>
      </w:r>
      <w:hyperlink w:anchor="ref-verashchagina_2012">
        <w:r>
          <w:rPr>
            <w:rStyle w:val="Hyperlink"/>
          </w:rPr>
          <w:t xml:space="preserve">Verashchagina 2012</w:t>
        </w:r>
      </w:hyperlink>
      <w:r>
        <w:t xml:space="preserve">)</w:t>
      </w:r>
      <w:r>
        <w:t xml:space="preserve"> </w:t>
      </w:r>
      <w:r>
        <w:t xml:space="preserve">finds substantial heterogeneity in educational inheritance across post-communist countries, while Bruck and Esenaliev</w:t>
      </w:r>
      <w:r>
        <w:t xml:space="preserve"> </w:t>
      </w:r>
      <w:r>
        <w:t xml:space="preserve">(</w:t>
      </w:r>
      <w:hyperlink w:anchor="ref-bruck_esenaliev_2018">
        <w:r>
          <w:rPr>
            <w:rStyle w:val="Hyperlink"/>
          </w:rPr>
          <w:t xml:space="preserve">Brück and Esenaliev 2018</w:t>
        </w:r>
      </w:hyperlink>
      <w:r>
        <w:t xml:space="preserve">)</w:t>
      </w:r>
      <w:r>
        <w:t xml:space="preserve"> </w:t>
      </w:r>
      <w:r>
        <w:t xml:space="preserve">document a distinct trajectory for Kyrgyzstan, the closest Central Asian comparator in the published literature currently cited here. Together, these studies suggest that Soviet legacy alone does not determine current mobility outcomes.</w:t>
      </w:r>
    </w:p>
    <w:p>
      <w:pPr>
        <w:pStyle w:val="BodyText"/>
      </w:pPr>
      <w:r>
        <w:t xml:space="preserve">Turkey provides a second useful comparator because it combines middle-income status, strong spatial disparities, and variation in local schooling opportunity. Aydemir and Yazici</w:t>
      </w:r>
      <w:r>
        <w:t xml:space="preserve"> </w:t>
      </w:r>
      <w:r>
        <w:t xml:space="preserve">(</w:t>
      </w:r>
      <w:hyperlink w:anchor="ref-aydemir_yazici_2019">
        <w:r>
          <w:rPr>
            <w:rStyle w:val="Hyperlink"/>
          </w:rPr>
          <w:t xml:space="preserve">Aydemir and Yazici 2019</w:t>
        </w:r>
      </w:hyperlink>
      <w:r>
        <w:t xml:space="preserve">)</w:t>
      </w:r>
      <w:r>
        <w:t xml:space="preserve"> </w:t>
      </w:r>
      <w:r>
        <w:t xml:space="preserve">show that intergenerational educational mobility is higher in Turkish regions with better school availability, stronger home resources, and lower educational inequality. Akarcay-Gurbuz and Polat</w:t>
      </w:r>
      <w:r>
        <w:t xml:space="preserve"> </w:t>
      </w:r>
      <w:r>
        <w:t xml:space="preserve">(</w:t>
      </w:r>
      <w:hyperlink w:anchor="ref-akarcay_polat_2017">
        <w:r>
          <w:rPr>
            <w:rStyle w:val="Hyperlink"/>
          </w:rPr>
          <w:t xml:space="preserve">Akarçay-Gürbüz and Polat 2017</w:t>
        </w:r>
      </w:hyperlink>
      <w:r>
        <w:t xml:space="preserve">)</w:t>
      </w:r>
      <w:r>
        <w:t xml:space="preserve"> </w:t>
      </w:r>
      <w:r>
        <w:t xml:space="preserve">go further by using exogenous provincial variation in schooling opportunity, which is helpful here not because the paper adopts that design, but because it clarifies what a causal architecture would require and why the present manuscript does not claim one.</w:t>
      </w:r>
    </w:p>
    <w:p>
      <w:pPr>
        <w:pStyle w:val="BodyText"/>
      </w:pPr>
      <w:r>
        <w:t xml:space="preserve">Broader evidence also links mobility to local development conditions rather than to family background alone. Guell et al.</w:t>
      </w:r>
      <w:r>
        <w:t xml:space="preserve"> </w:t>
      </w:r>
      <w:r>
        <w:t xml:space="preserve">(</w:t>
      </w:r>
      <w:hyperlink w:anchor="ref-guell_etal_2018">
        <w:r>
          <w:rPr>
            <w:rStyle w:val="Hyperlink"/>
          </w:rPr>
          <w:t xml:space="preserve">Guell et al. 2018</w:t>
        </w:r>
      </w:hyperlink>
      <w:r>
        <w:t xml:space="preserve">)</w:t>
      </w:r>
      <w:r>
        <w:t xml:space="preserve"> </w:t>
      </w:r>
      <w:r>
        <w:t xml:space="preserve">show that intergenerational mobility covaries with provincial inequality, social capital, and economic activity, and Neidhoefer et al.</w:t>
      </w:r>
      <w:r>
        <w:t xml:space="preserve"> </w:t>
      </w:r>
      <w:r>
        <w:t xml:space="preserve">(</w:t>
      </w:r>
      <w:hyperlink w:anchor="ref-neidhoefer_etal_2024">
        <w:r>
          <w:rPr>
            <w:rStyle w:val="Hyperlink"/>
          </w:rPr>
          <w:t xml:space="preserve">Neidhöfer et al. 2024</w:t>
        </w:r>
      </w:hyperlink>
      <w:r>
        <w:t xml:space="preserve">)</w:t>
      </w:r>
      <w:r>
        <w:t xml:space="preserve"> </w:t>
      </w:r>
      <w:r>
        <w:t xml:space="preserve">connect changes in mobility to regional development indicators. That literature supports the inclusion of region, cohort, and wave effects in the pooled correlates models while reinforcing the paper’s decision to treat those coefficients as associational rather than causal.</w:t>
      </w:r>
    </w:p>
    <w:bookmarkEnd w:id="24"/>
    <w:bookmarkStart w:id="25" w:name="why-uzbekistan-matters"/>
    <w:p>
      <w:pPr>
        <w:pStyle w:val="Heading3"/>
      </w:pPr>
      <w:r>
        <w:t xml:space="preserve">Why Uzbekistan Matters</w:t>
      </w:r>
    </w:p>
    <w:p>
      <w:pPr>
        <w:pStyle w:val="FirstParagraph"/>
      </w:pPr>
      <w:r>
        <w:t xml:space="preserve">Country diagnostics explain why the Uzbek case deserves separate attention rather than inference from neighboring settings alone. World Bank and UNICEF assessments point to persistent disparities in access, tertiary pathways, gendered constraints, and rural-urban differences in educational opportunity</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0">
        <w:r>
          <w:rPr>
            <w:rStyle w:val="Hyperlink"/>
          </w:rPr>
          <w:t xml:space="preserve">UNICEF Uzbekistan 2020</w:t>
        </w:r>
      </w:hyperlink>
      <w:r>
        <w:t xml:space="preserve">,</w:t>
      </w:r>
      <w:r>
        <w:t xml:space="preserve"> </w:t>
      </w:r>
      <w:hyperlink w:anchor="ref-unicef_sitan_2024">
        <w:r>
          <w:rPr>
            <w:rStyle w:val="Hyperlink"/>
          </w:rPr>
          <w:t xml:space="preserve">2024</w:t>
        </w:r>
      </w:hyperlink>
      <w:r>
        <w:t xml:space="preserve">)</w:t>
      </w:r>
      <w:r>
        <w:t xml:space="preserve">. These sources are not mobility designs, but they establish why parental education, household support, and place-based conditions are plausible correlates in Uzbekistan and why a descriptive mobility profile is policy-relevant even without a causal design.</w:t>
      </w:r>
    </w:p>
    <w:bookmarkEnd w:id="25"/>
    <w:bookmarkStart w:id="26" w:name="X42679dabf73d04686fcbf45baf2aa97ef885a13"/>
    <w:p>
      <w:pPr>
        <w:pStyle w:val="Heading3"/>
      </w:pPr>
      <w:r>
        <w:t xml:space="preserve">Pandemic Learning Background and Bounded Module C Framing</w:t>
      </w:r>
    </w:p>
    <w:p>
      <w:pPr>
        <w:pStyle w:val="FirstParagraph"/>
      </w:pPr>
      <w:r>
        <w:t xml:space="preserve">The pandemic-learning literature is used here only to motivate the limited role of Module C. Global evidence shows that remote schooling shifted a large share of learning support back into the household and amplified differences in connectivity, device access, supervision time, and caregiver capacity</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Parent-survey evidence from Europe similarly finds that parents became active learning agents during school closures and faced uneven burdens in sustaining children’s study routines</w:t>
      </w:r>
      <w:r>
        <w:t xml:space="preserve"> </w:t>
      </w:r>
      <w:r>
        <w:t xml:space="preserve">(</w:t>
      </w:r>
      <w:hyperlink w:anchor="ref-daniela_etal_2021">
        <w:r>
          <w:rPr>
            <w:rStyle w:val="Hyperlink"/>
          </w:rPr>
          <w:t xml:space="preserve">Daniela, Rubene, and Rudolfa 2021</w:t>
        </w:r>
      </w:hyperlink>
      <w:r>
        <w:t xml:space="preserve">;</w:t>
      </w:r>
      <w:r>
        <w:t xml:space="preserve"> </w:t>
      </w:r>
      <w:hyperlink w:anchor="ref-knopik_etal_2021">
        <w:r>
          <w:rPr>
            <w:rStyle w:val="Hyperlink"/>
          </w:rPr>
          <w:t xml:space="preserve">Knopik et al. 2021</w:t>
        </w:r>
      </w:hyperlink>
      <w:r>
        <w:t xml:space="preserve">)</w:t>
      </w:r>
      <w:r>
        <w:t xml:space="preserve">.</w:t>
      </w:r>
    </w:p>
    <w:p>
      <w:pPr>
        <w:pStyle w:val="BodyText"/>
      </w:pPr>
      <w:r>
        <w:t xml:space="preserve">For Uzbekistan, policy-response and learning-recovery evidence provide useful background but do not identify household causal channels on their own. World Bank reporting documents the country’s rapid emergency response during school closures</w:t>
      </w:r>
      <w:r>
        <w:t xml:space="preserve"> </w:t>
      </w:r>
      <w:r>
        <w:t xml:space="preserve">(</w:t>
      </w:r>
      <w:hyperlink w:anchor="ref-wb_blog_2020">
        <w:r>
          <w:rPr>
            <w:rStyle w:val="Hyperlink"/>
          </w:rPr>
          <w:t xml:space="preserve">Meliboeva, Patrinos, and Teixeira 2020</w:t>
        </w:r>
      </w:hyperlink>
      <w:r>
        <w:t xml:space="preserve">)</w:t>
      </w:r>
      <w:r>
        <w:t xml:space="preserve">, while Iqbal and Patrinos</w:t>
      </w:r>
      <w:r>
        <w:t xml:space="preserve"> </w:t>
      </w:r>
      <w:r>
        <w:t xml:space="preserve">(</w:t>
      </w:r>
      <w:hyperlink w:anchor="ref-iqbal_patrinos_2025">
        <w:r>
          <w:rPr>
            <w:rStyle w:val="Hyperlink"/>
          </w:rPr>
          <w:t xml:space="preserve">Iqbal and Patrinos 2025</w:t>
        </w:r>
      </w:hyperlink>
      <w:r>
        <w:t xml:space="preserve">)</w:t>
      </w:r>
      <w:r>
        <w:t xml:space="preserve"> </w:t>
      </w:r>
      <w:r>
        <w:t xml:space="preserve">show that pandemic-era learning outcomes were unevenly distributed across students and household conditions. Those studies justify asking whether lower-parent-education households in the LiTS child module report more disruption, but they do not convert the present child-module exercise into a causal design.</w:t>
      </w:r>
    </w:p>
    <w:bookmarkEnd w:id="26"/>
    <w:bookmarkStart w:id="27" w:name="positioning-this-paper"/>
    <w:p>
      <w:pPr>
        <w:pStyle w:val="Heading3"/>
      </w:pPr>
      <w:r>
        <w:t xml:space="preserve">Positioning This Paper</w:t>
      </w:r>
    </w:p>
    <w:p>
      <w:pPr>
        <w:pStyle w:val="FirstParagraph"/>
      </w:pPr>
      <w:r>
        <w:t xml:space="preserve">Taken together, the literature supports a narrow but meaningful contribution: a transparent multi-wave profile of intergenerational educational mobility in Uzbekistan that combines descriptive persistence measures, pooled associational correlates, and a short descriptive child-module extension. Module A shows the levels of persistence, Module B asks how those patterns covary with household and regional characteristics, and Module C adds bounded evidence on pandemic-era household vulnerability. The manuscript’s contribution is therefore not to offer a broad review or a causal identification strategy, but to provide a disciplined empirical benchmark for an important transition-economy case that remains understudied in the mobility literature.</w:t>
      </w:r>
    </w:p>
    <w:bookmarkEnd w:id="27"/>
    <w:bookmarkStart w:id="28" w:name="scope-and-identification-limits"/>
    <w:p>
      <w:pPr>
        <w:pStyle w:val="Heading3"/>
      </w:pPr>
      <w:r>
        <w:t xml:space="preserve">Scope and Identification Limits</w:t>
      </w:r>
    </w:p>
    <w:p>
      <w:pPr>
        <w:pStyle w:val="FirstParagraph"/>
      </w:pPr>
      <w:r>
        <w:t xml:space="preserve">The literature also disciplines what these data can and cannot identify. Mobility statistics are informative summaries of intergenerational association, but they are not themselves causal estimates of equality of opportunity</w:t>
      </w:r>
      <w:r>
        <w:t xml:space="preserve"> </w:t>
      </w:r>
      <w:r>
        <w:t xml:space="preserve">(</w:t>
      </w:r>
      <w:hyperlink w:anchor="ref-torche_2015">
        <w:r>
          <w:rPr>
            <w:rStyle w:val="Hyperlink"/>
          </w:rPr>
          <w:t xml:space="preserve">Torche 2015</w:t>
        </w:r>
      </w:hyperlink>
      <w:r>
        <w:t xml:space="preserve">)</w:t>
      </w:r>
      <w:r>
        <w:t xml:space="preserve">. Measurement studies likewise show that cross-country or cross-study rankings can move materially with coding, sample, and estimator choices</w:t>
      </w:r>
      <w:r>
        <w:t xml:space="preserve"> </w:t>
      </w:r>
      <w:r>
        <w:t xml:space="preserve">(</w:t>
      </w:r>
      <w:hyperlink w:anchor="ref-stromberg_engzell_2025">
        <w:r>
          <w:rPr>
            <w:rStyle w:val="Hyperlink"/>
          </w:rPr>
          <w:t xml:space="preserve">Strömberg and Engzell 2025</w:t>
        </w:r>
      </w:hyperlink>
      <w:r>
        <w:t xml:space="preserve">)</w:t>
      </w:r>
      <w:r>
        <w:t xml:space="preserve">. That is why this paper reports a locked bundle of complementary metrics rather than a single headline measure.</w:t>
      </w:r>
    </w:p>
    <w:p>
      <w:pPr>
        <w:pStyle w:val="BodyText"/>
      </w:pPr>
      <w:r>
        <w:t xml:space="preserve">The core evidence is based on repeated LiTS cross-sections rather than a panel following fixed families over time. The design can therefore characterize population-level persistence in each survey wave, but it cannot isolate within-family causal change. This distinction is central for the manuscript’s time-trend language: descriptive persistence measures rise across waves, but pooled models do not estimate the change precisely once controls and fixed effects are added.</w:t>
      </w:r>
    </w:p>
    <w:p>
      <w:pPr>
        <w:pStyle w:val="BodyText"/>
      </w:pPr>
      <w:r>
        <w:t xml:space="preserve">The causal literature clarifies the boundary even more sharply. Akarcay-Gurbuz and Polat</w:t>
      </w:r>
      <w:r>
        <w:t xml:space="preserve"> </w:t>
      </w:r>
      <w:r>
        <w:t xml:space="preserve">(</w:t>
      </w:r>
      <w:hyperlink w:anchor="ref-akarcay_polat_2017">
        <w:r>
          <w:rPr>
            <w:rStyle w:val="Hyperlink"/>
          </w:rPr>
          <w:t xml:space="preserve">Akarçay-Gürbüz and Polat 2017</w:t>
        </w:r>
      </w:hyperlink>
      <w:r>
        <w:t xml:space="preserve">)</w:t>
      </w:r>
      <w:r>
        <w:t xml:space="preserve"> </w:t>
      </w:r>
      <w:r>
        <w:t xml:space="preserve">identify schooling-opportunity effects using exogenous provincial variation. The Uzbekistan design does not contain a comparable source of plausibly exogenous region-time exposure, so Modules A and B are appropriately interpreted as descriptive and associational. The same logic applies to Module C. Pandemic-learning studies motivate attention to devices, internet quality, and household support</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but the LiTS IV child module remains a small cross-sectional subsample. It can identify descriptive vulnerability gaps, especially around education stoppage, but not the causal effect of parental education net of all correlated household constraints.</w:t>
      </w:r>
    </w:p>
    <w:p>
      <w:pPr>
        <w:pStyle w:val="BodyText"/>
      </w:pPr>
      <w:r>
        <w:t xml:space="preserve">These limits are substantive design choices rather than caveats added after the fact. They keep the paper’s claims aligned with what the available data can credibly support.</w:t>
      </w:r>
    </w:p>
    <w:bookmarkEnd w:id="28"/>
    <w:bookmarkEnd w:id="29"/>
    <w:bookmarkStart w:id="35" w:name="data-and-measurement"/>
    <w:p>
      <w:pPr>
        <w:pStyle w:val="Heading2"/>
      </w:pPr>
      <w:r>
        <w:t xml:space="preserve">Data and Measurement</w:t>
      </w:r>
    </w:p>
    <w:bookmarkStart w:id="30" w:name="core-data"/>
    <w:p>
      <w:pPr>
        <w:pStyle w:val="Heading3"/>
      </w:pPr>
      <w:r>
        <w:t xml:space="preserve">Core Data</w:t>
      </w:r>
    </w:p>
    <w:p>
      <w:pPr>
        <w:pStyle w:val="FirstParagraph"/>
      </w:pPr>
      <w:r>
        <w:t xml:space="preserve">The main source is the Life in Transition Survey (LiTS) for 2010, 2016, and 2022-23. These repeated cross-sections provide comparable information on respondents’ own education, parental education, age, sex, place of residence, and regional identifiers, which makes them suitable for multi-wave mobility analysis.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30"/>
    <w:bookmarkStart w:id="31" w:name="education-measures"/>
    <w:p>
      <w:pPr>
        <w:pStyle w:val="Heading3"/>
      </w:pPr>
      <w:r>
        <w:t xml:space="preserve">Education Measures</w:t>
      </w:r>
    </w:p>
    <w:p>
      <w:pPr>
        <w:pStyle w:val="FirstParagraph"/>
      </w:pPr>
      <w:r>
        <w:t xml:space="preserve">The paper uses two measurement families built from a single parental-education harmonization rule. LiTS parental-schooling responses vary somewhat across waves in wording and granularity, so all observed mother and father responses are first mapped onto a common six-category ladder: no formal education, primary, lower secondary, upper secondary, post-secondary non-tertiary, and tertiary. When both parents are observed, the analysis uses the higher reported category as the parental education measure; when only one parent’s schooling is available, the observed value is retained. This rule keeps the comparison consistent across waves while limiting attrition from asymmetric parental reporting.</w:t>
      </w:r>
    </w:p>
    <w:p>
      <w:pPr>
        <w:pStyle w:val="BodyText"/>
      </w:pPr>
      <w:r>
        <w:t xml:space="preserve">That harmonized ladder then supports two complementary measures. First, the paper constructs an ordered education score used for category-based mobility rates and pooled attainment regressions. Second, it converts both respondent and parental schooling into within-wave weighted percentile ranks for the rank-rank persistence models. The category-based outcomes preserve the intuitive language of upward mobility, downward mobility, and same-category persistence. The rank-based outcomes, by contrast, are better suited to cross-wave comparison because they are less sensitive to modest questionnaire differences and to aggregate educational expansion. Reporting both is therefore deliberate rather than redundant: one family preserves substantive interpretability, while the other provides the paper’s preferred cross-wave benchmark.</w:t>
      </w:r>
    </w:p>
    <w:bookmarkEnd w:id="31"/>
    <w:bookmarkStart w:id="32" w:name="mobility-outcomes"/>
    <w:p>
      <w:pPr>
        <w:pStyle w:val="Heading3"/>
      </w:pPr>
      <w:r>
        <w:t xml:space="preserve">Mobility Outcomes</w:t>
      </w:r>
    </w:p>
    <w:p>
      <w:pPr>
        <w:pStyle w:val="FirstParagraph"/>
      </w:pPr>
      <w:r>
        <w:t xml:space="preserve">The main outcomes are:</w:t>
      </w:r>
    </w:p>
    <w:p>
      <w:pPr>
        <w:pStyle w:val="Compact"/>
        <w:numPr>
          <w:ilvl w:val="0"/>
          <w:numId w:val="1001"/>
        </w:numPr>
      </w:pPr>
      <w:r>
        <w:t xml:space="preserve">Rank-rank slope: the relationship between own education rank and parental education rank within each wave.</w:t>
      </w:r>
    </w:p>
    <w:p>
      <w:pPr>
        <w:pStyle w:val="Compact"/>
        <w:numPr>
          <w:ilvl w:val="0"/>
          <w:numId w:val="1001"/>
        </w:numPr>
      </w:pPr>
      <w:r>
        <w:t xml:space="preserve">Upward mobility: an indicator that own education exceeds parental education.</w:t>
      </w:r>
    </w:p>
    <w:p>
      <w:pPr>
        <w:pStyle w:val="Compact"/>
        <w:numPr>
          <w:ilvl w:val="0"/>
          <w:numId w:val="1001"/>
        </w:numPr>
      </w:pPr>
      <w:r>
        <w:t xml:space="preserve">Downward mobility: an indicator that own education is lower than parental education.</w:t>
      </w:r>
    </w:p>
    <w:p>
      <w:pPr>
        <w:pStyle w:val="Compact"/>
        <w:numPr>
          <w:ilvl w:val="0"/>
          <w:numId w:val="1001"/>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32"/>
    <w:bookmarkStart w:id="33" w:name="covariates"/>
    <w:p>
      <w:pPr>
        <w:pStyle w:val="Heading3"/>
      </w:pPr>
      <w:r>
        <w:t xml:space="preserve">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3"/>
    <w:bookmarkStart w:id="34" w:name="pandemic-mechanism-variables"/>
    <w:p>
      <w:pPr>
        <w:pStyle w:val="Heading3"/>
      </w:pPr>
      <w:r>
        <w:t xml:space="preserve">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is as follows: 1006 Uzbekistan respondents in LiTS IV, 650 with child-module eligibility information, 186 with a child enrolled before COVID, and 183 with non-missing parental schooling. This extension is therefore used to illustrate patterns rather than to support broad generalization.</w:t>
      </w:r>
    </w:p>
    <w:bookmarkEnd w:id="34"/>
    <w:bookmarkEnd w:id="35"/>
    <w:bookmarkStart w:id="39" w:name="empirical-strategy"/>
    <w:p>
      <w:pPr>
        <w:pStyle w:val="Heading2"/>
      </w:pPr>
      <w:r>
        <w:t xml:space="preserve">Empirical Strategy</w:t>
      </w:r>
    </w:p>
    <w:p>
      <w:pPr>
        <w:pStyle w:val="FirstParagraph"/>
      </w:pPr>
      <w:r>
        <w:t xml:space="preserve">The empirical strategy has three modules and uses one compact notation throughout. Let</w:t>
      </w:r>
      <w:r>
        <w:t xml:space="preserve"> </w:t>
      </w:r>
      <m:oMath>
        <m:sSub>
          <m:e>
            <m:r>
              <m:t>Y</m:t>
            </m:r>
          </m:e>
          <m:sub>
            <m:r>
              <m:t>i</m:t>
            </m:r>
            <m:r>
              <m:t>w</m:t>
            </m:r>
          </m:sub>
        </m:sSub>
      </m:oMath>
      <w:r>
        <w:t xml:space="preserve"> </w:t>
      </w:r>
      <w:r>
        <w:t xml:space="preserve">denote respondent</w:t>
      </w:r>
      <w:r>
        <w:t xml:space="preserve"> </w:t>
      </w:r>
      <m:oMath>
        <m:r>
          <m:t>i</m:t>
        </m:r>
      </m:oMath>
      <w:r>
        <w:t xml:space="preserve">’s educational outcome in wave</w:t>
      </w:r>
      <w:r>
        <w:t xml:space="preserve"> </w:t>
      </w:r>
      <m:oMath>
        <m:r>
          <m:t>w</m:t>
        </m:r>
      </m:oMath>
      <w:r>
        <w:t xml:space="preserve">, and let</w:t>
      </w:r>
      <w:r>
        <w:t xml:space="preserve"> </w:t>
      </w:r>
      <m:oMath>
        <m:sSub>
          <m:e>
            <m:r>
              <m:t>P</m:t>
            </m:r>
          </m:e>
          <m:sub>
            <m:r>
              <m:t>i</m:t>
            </m:r>
            <m:r>
              <m:t>w</m:t>
            </m:r>
          </m:sub>
        </m:sSub>
      </m:oMath>
      <w:r>
        <w:t xml:space="preserve"> </w:t>
      </w:r>
      <w:r>
        <w:t xml:space="preserve">denote parental education measured on the corresponding scale. In Module A,</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within-wave education ranks. In Module B,</w:t>
      </w:r>
      <w:r>
        <w:t xml:space="preserve"> </w:t>
      </w:r>
      <m:oMath>
        <m:sSub>
          <m:e>
            <m:r>
              <m:t>Y</m:t>
            </m:r>
          </m:e>
          <m:sub>
            <m:r>
              <m:t>i</m:t>
            </m:r>
          </m:sub>
        </m:sSub>
      </m:oMath>
      <w:r>
        <w:t xml:space="preserve"> </w:t>
      </w:r>
      <w:r>
        <w:t xml:space="preserve">alternates across respondent rank, the harmonized education score, an indicator for upward mobility, and an indicator for same-category persistence;</w:t>
      </w:r>
      <w:r>
        <w:t xml:space="preserve"> </w:t>
      </w:r>
      <m:oMath>
        <m:sSub>
          <m:e>
            <m:r>
              <m:t>P</m:t>
            </m:r>
          </m:e>
          <m:sub>
            <m:r>
              <m:t>i</m:t>
            </m:r>
          </m:sub>
        </m:sSub>
      </m:oMath>
      <w:r>
        <w:t xml:space="preserve"> </w:t>
      </w:r>
      <w:r>
        <w:t xml:space="preserve">likewise denotes parental rank, the parental education score, or a set of parental education-category indicators.</w:t>
      </w:r>
      <w:r>
        <w:t xml:space="preserve"> </w:t>
      </w:r>
      <m:oMath>
        <m:sSub>
          <m:e>
            <m:r>
              <m:t>U</m:t>
            </m:r>
          </m:e>
          <m:sub>
            <m:r>
              <m:t>i</m:t>
            </m:r>
          </m:sub>
        </m:sSub>
      </m:oMath>
      <w:r>
        <w:t xml:space="preserve"> </w:t>
      </w:r>
      <w:r>
        <w:t xml:space="preserve">and</w:t>
      </w:r>
      <w:r>
        <w:t xml:space="preserve"> </w:t>
      </w:r>
      <m:oMath>
        <m:sSub>
          <m:e>
            <m:r>
              <m:t>F</m:t>
            </m:r>
          </m:e>
          <m:sub>
            <m:r>
              <m:t>i</m:t>
            </m:r>
          </m:sub>
        </m:sSub>
      </m:oMath>
      <w:r>
        <w:t xml:space="preserve"> </w:t>
      </w:r>
      <w:r>
        <w:t xml:space="preserve">indicate urban residence and female,</w:t>
      </w:r>
      <w:r>
        <w:t xml:space="preserve"> </w:t>
      </w:r>
      <m:oMath>
        <m:sSub>
          <m:e>
            <m:r>
              <m:t>X</m:t>
            </m:r>
          </m:e>
          <m:sub>
            <m:r>
              <m:t>i</m:t>
            </m:r>
          </m:sub>
        </m:sSub>
      </m:oMath>
      <w:r>
        <w:t xml:space="preserve"> </w:t>
      </w:r>
      <w:r>
        <w:t xml:space="preserve">collects migration exposure and multigenerational household structure,</w:t>
      </w:r>
      <w:r>
        <w:t xml:space="preserve"> </w:t>
      </w:r>
      <m:oMath>
        <m:sSub>
          <m:e>
            <m:r>
              <m:t>D</m:t>
            </m:r>
          </m:e>
          <m:sub>
            <m:r>
              <m:t>t</m:t>
            </m:r>
            <m:r>
              <m:t>i</m:t>
            </m:r>
          </m:sub>
        </m:sSub>
      </m:oMath>
      <w:r>
        <w:t xml:space="preserve"> </w:t>
      </w:r>
      <w:r>
        <w:t xml:space="preserve">is a wave indicator for</w:t>
      </w:r>
      <w:r>
        <w:t xml:space="preserve"> </w:t>
      </w:r>
      <m:oMath>
        <m:r>
          <m:t>t</m:t>
        </m:r>
        <m:r>
          <m:rPr>
            <m:sty m:val="p"/>
          </m:rPr>
          <m:t>∈</m:t>
        </m:r>
        <m:r>
          <m:rPr>
            <m:sty m:val="p"/>
          </m:rPr>
          <m:t>{</m:t>
        </m:r>
        <m:r>
          <m:t>2016</m:t>
        </m:r>
        <m:r>
          <m:rPr>
            <m:sty m:val="p"/>
          </m:rPr>
          <m:t>,</m:t>
        </m:r>
        <m:r>
          <m:t>2022</m:t>
        </m:r>
        <m:r>
          <m:rPr>
            <m:sty m:val="p"/>
          </m:rPr>
          <m:t>}</m:t>
        </m:r>
      </m:oMath>
      <w:r>
        <w:t xml:space="preserve"> </w:t>
      </w:r>
      <w:r>
        <w:t xml:space="preserve">with 2010 as the omitted category, and</w:t>
      </w:r>
      <w:r>
        <w:t xml:space="preserve"> </w:t>
      </w:r>
      <m:oMath>
        <m:sSub>
          <m:e>
            <m:r>
              <m:t>μ</m:t>
            </m:r>
          </m:e>
          <m:sub>
            <m:r>
              <m:t>r</m:t>
            </m:r>
          </m:sub>
        </m:sSub>
      </m:oMath>
      <w:r>
        <w:t xml:space="preserve">,</w:t>
      </w:r>
      <w:r>
        <w:t xml:space="preserve"> </w:t>
      </w:r>
      <m:oMath>
        <m:sSub>
          <m:e>
            <m:r>
              <m:t>λ</m:t>
            </m:r>
          </m:e>
          <m:sub>
            <m:r>
              <m:t>c</m:t>
            </m:r>
          </m:sub>
        </m:sSub>
      </m:oMath>
      <w:r>
        <w:t xml:space="preserve">, and</w:t>
      </w:r>
      <w:r>
        <w:t xml:space="preserve"> </w:t>
      </w:r>
      <m:oMath>
        <m:sSub>
          <m:e>
            <m:r>
              <m:t>τ</m:t>
            </m:r>
          </m:e>
          <m:sub>
            <m:r>
              <m:t>w</m:t>
            </m:r>
          </m:sub>
        </m:sSub>
      </m:oMath>
      <w:r>
        <w:t xml:space="preserve"> </w:t>
      </w:r>
      <w:r>
        <w:t xml:space="preserve">denote region, cohort, and wave effects. In Module C,</w:t>
      </w:r>
      <w:r>
        <w:t xml:space="preserve"> </w:t>
      </w:r>
      <m:oMath>
        <m:sSub>
          <m:e>
            <m:r>
              <m:t>L</m:t>
            </m:r>
          </m:e>
          <m:sub>
            <m:r>
              <m:t>i</m:t>
            </m:r>
          </m:sub>
        </m:sSub>
      </m:oMath>
      <w:r>
        <w:t xml:space="preserve"> </w:t>
      </w:r>
      <w:r>
        <w:t xml:space="preserve">indicates low parental education and</w:t>
      </w:r>
      <w:r>
        <w:t xml:space="preserve"> </w:t>
      </w:r>
      <m:oMath>
        <m:sSub>
          <m:e>
            <m:r>
              <m:t>M</m:t>
            </m:r>
          </m:e>
          <m:sub>
            <m:r>
              <m:t>i</m:t>
            </m:r>
          </m:sub>
        </m:sSub>
      </m:oMath>
      <w:r>
        <w:t xml:space="preserve"> </w:t>
      </w:r>
      <w:r>
        <w:t xml:space="preserve">a male child.</w:t>
      </w:r>
    </w:p>
    <w:bookmarkStart w:id="36" w:name="module-a-mobility-levels-and-trends"/>
    <w:p>
      <w:pPr>
        <w:pStyle w:val="Heading3"/>
      </w:pPr>
      <w:r>
        <w:t xml:space="preserve">Module A: Mobility Levels and Trends</w:t>
      </w:r>
    </w:p>
    <w:p>
      <w:pPr>
        <w:pStyle w:val="FirstParagraph"/>
      </w:pPr>
      <w:r>
        <w:t xml:space="preserve">The first module estimates national mobility levels by wave. Its core descriptive specification is:</w:t>
      </w:r>
    </w:p>
    <w:p>
      <w:pPr>
        <w:pStyle w:val="BodyText"/>
      </w:pPr>
      <m:oMathPara>
        <m:oMathParaPr>
          <m:jc m:val="center"/>
        </m:oMathParaPr>
        <m:oMath>
          <m:sSub>
            <m:e>
              <m:r>
                <m:t>Y</m:t>
              </m:r>
            </m:e>
            <m:sub>
              <m:r>
                <m:t>i</m:t>
              </m:r>
              <m:r>
                <m:t>w</m:t>
              </m:r>
            </m:sub>
          </m:sSub>
          <m:r>
            <m:rPr>
              <m:sty m:val="p"/>
            </m:rPr>
            <m:t>=</m:t>
          </m:r>
          <m:sSub>
            <m:e>
              <m:r>
                <m:t>α</m:t>
              </m:r>
            </m:e>
            <m:sub>
              <m:r>
                <m:t>w</m:t>
              </m:r>
            </m:sub>
          </m:sSub>
          <m:r>
            <m:rPr>
              <m:sty m:val="p"/>
            </m:rPr>
            <m:t>+</m:t>
          </m:r>
          <m:sSub>
            <m:e>
              <m:r>
                <m:t>β</m:t>
              </m:r>
            </m:e>
            <m:sub>
              <m:r>
                <m:t>w</m:t>
              </m:r>
            </m:sub>
          </m:sSub>
          <m:sSub>
            <m:e>
              <m:r>
                <m:t>P</m:t>
              </m:r>
            </m:e>
            <m:sub>
              <m:r>
                <m:t>i</m:t>
              </m:r>
              <m:r>
                <m:t>w</m:t>
              </m:r>
            </m:sub>
          </m:sSub>
          <m:r>
            <m:rPr>
              <m:sty m:val="p"/>
            </m:rPr>
            <m:t>+</m:t>
          </m:r>
          <m:sSub>
            <m:e>
              <m:r>
                <m:t>ε</m:t>
              </m:r>
            </m:e>
            <m:sub>
              <m:r>
                <m:t>i</m:t>
              </m:r>
              <m:r>
                <m:t>w</m:t>
              </m:r>
            </m:sub>
          </m:sSub>
        </m:oMath>
      </m:oMathPara>
    </w:p>
    <w:p>
      <w:pPr>
        <w:pStyle w:val="FirstParagraph"/>
      </w:pPr>
      <w:r>
        <w:t xml:space="preserve">where</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respondent and parental education ranks within wave</w:t>
      </w:r>
      <w:r>
        <w:t xml:space="preserve"> </w:t>
      </w:r>
      <m:oMath>
        <m:r>
          <m:t>w</m:t>
        </m:r>
      </m:oMath>
      <w:r>
        <w:t xml:space="preserve">. The coefficient</w:t>
      </w:r>
      <w:r>
        <w:t xml:space="preserve"> </w:t>
      </w:r>
      <m:oMath>
        <m:sSub>
          <m:e>
            <m:r>
              <m:t>β</m:t>
            </m:r>
          </m:e>
          <m:sub>
            <m:r>
              <m:t>w</m:t>
            </m:r>
          </m:sub>
        </m:sSub>
      </m:oMath>
      <w:r>
        <w:t xml:space="preserve"> </w:t>
      </w:r>
      <w:r>
        <w:t xml:space="preserve">is the within-wave persistence slope: larger values imply that respondent rank tracks parental rank more closely and therefore signal lower relative mobility. The same module also reports weighted rates of upward mobility, downward mobility, and same-category persistence on the harmonized categorical scale.</w:t>
      </w:r>
    </w:p>
    <w:bookmarkEnd w:id="36"/>
    <w:bookmarkStart w:id="37" w:name="module-b-correlates-of-mobility"/>
    <w:p>
      <w:pPr>
        <w:pStyle w:val="Heading3"/>
      </w:pPr>
      <w:r>
        <w:t xml:space="preserve">Module B: Correlates of Mobility</w:t>
      </w:r>
    </w:p>
    <w:p>
      <w:pPr>
        <w:pStyle w:val="FirstParagraph"/>
      </w:pPr>
      <w:r>
        <w:t xml:space="preserve">The second module estimates pooled correlates models with region, cohort, and wave fixed effects. Its pooled benchmark is:</w:t>
      </w:r>
    </w:p>
    <w:p>
      <w:pPr>
        <w:pStyle w:val="BodyText"/>
      </w:pPr>
      <m:oMathPara>
        <m:oMathParaPr>
          <m:jc m:val="center"/>
        </m:oMathParaPr>
        <m:oMath>
          <m:sSub>
            <m:e>
              <m:r>
                <m:t>Y</m:t>
              </m:r>
            </m:e>
            <m:sub>
              <m:r>
                <m:t>i</m:t>
              </m:r>
            </m:sub>
          </m:sSub>
          <m:r>
            <m:rPr>
              <m:sty m:val="p"/>
            </m:rPr>
            <m:t>=</m:t>
          </m:r>
          <m:r>
            <m:t>α</m:t>
          </m:r>
          <m:r>
            <m:rPr>
              <m:sty m:val="p"/>
            </m:rPr>
            <m:t>+</m:t>
          </m:r>
          <m:r>
            <m:t>β</m:t>
          </m:r>
          <m:sSub>
            <m:e>
              <m:r>
                <m:t>P</m:t>
              </m:r>
            </m:e>
            <m:sub>
              <m:r>
                <m:t>i</m:t>
              </m:r>
            </m:sub>
          </m:sSub>
          <m:r>
            <m:rPr>
              <m:sty m:val="p"/>
            </m:rPr>
            <m:t>+</m:t>
          </m:r>
          <m:nary>
            <m:naryPr>
              <m:chr m:val="∑"/>
              <m:limLoc m:val="undOvr"/>
              <m:subHide m:val="off"/>
              <m:supHide m:val="on"/>
            </m:naryPr>
            <m:sub>
              <m:r>
                <m:t>t</m:t>
              </m:r>
              <m:r>
                <m:rPr>
                  <m:sty m:val="p"/>
                </m:rPr>
                <m:t>∈</m:t>
              </m:r>
              <m:r>
                <m:rPr>
                  <m:sty m:val="p"/>
                </m:rPr>
                <m:t>{</m:t>
              </m:r>
              <m:r>
                <m:t>2016</m:t>
              </m:r>
              <m:r>
                <m:rPr>
                  <m:sty m:val="p"/>
                </m:rPr>
                <m:t>,</m:t>
              </m:r>
              <m:r>
                <m:t>2022</m:t>
              </m:r>
              <m:r>
                <m:rPr>
                  <m:sty m:val="p"/>
                </m:rPr>
                <m:t>}</m:t>
              </m:r>
            </m:sub>
            <m:sup>
              <m:r>
                <m:t>​</m:t>
              </m:r>
            </m:sup>
            <m:e>
              <m:sSub>
                <m:e>
                  <m:r>
                    <m:t>θ</m:t>
                  </m:r>
                </m:e>
                <m:sub>
                  <m:r>
                    <m:t>t</m:t>
                  </m:r>
                </m:sub>
              </m:sSub>
            </m:e>
          </m:nary>
          <m:d>
            <m:dPr>
              <m:begChr m:val="("/>
              <m:sepChr m:val=""/>
              <m:endChr m:val=")"/>
              <m:grow/>
            </m:dPr>
            <m:e>
              <m:sSub>
                <m:e>
                  <m:r>
                    <m:t>P</m:t>
                  </m:r>
                </m:e>
                <m:sub>
                  <m:r>
                    <m:t>i</m:t>
                  </m:r>
                </m:sub>
              </m:sSub>
              <m:r>
                <m:rPr>
                  <m:sty m:val="p"/>
                </m:rPr>
                <m:t>×</m:t>
              </m:r>
              <m:sSub>
                <m:e>
                  <m:r>
                    <m:t>D</m:t>
                  </m:r>
                </m:e>
                <m:sub>
                  <m:r>
                    <m:t>t</m:t>
                  </m:r>
                  <m:r>
                    <m:t>i</m:t>
                  </m:r>
                </m:sub>
              </m:sSub>
            </m:e>
          </m:d>
          <m:r>
            <m:rPr>
              <m:sty m:val="p"/>
            </m:rPr>
            <m:t>+</m:t>
          </m:r>
          <m:sSub>
            <m:e>
              <m:r>
                <m:t>ρ</m:t>
              </m:r>
            </m:e>
            <m:sub>
              <m:r>
                <m:t>1</m:t>
              </m:r>
            </m:sub>
          </m:sSub>
          <m:sSub>
            <m:e>
              <m:r>
                <m:t>U</m:t>
              </m:r>
            </m:e>
            <m:sub>
              <m:r>
                <m:t>i</m:t>
              </m:r>
            </m:sub>
          </m:sSub>
          <m:r>
            <m:rPr>
              <m:sty m:val="p"/>
            </m:rPr>
            <m:t>+</m:t>
          </m:r>
          <m:sSub>
            <m:e>
              <m:r>
                <m:t>ρ</m:t>
              </m:r>
            </m:e>
            <m:sub>
              <m:r>
                <m:t>2</m:t>
              </m:r>
            </m:sub>
          </m:sSub>
          <m:sSub>
            <m:e>
              <m:r>
                <m:t>F</m:t>
              </m:r>
            </m:e>
            <m:sub>
              <m:r>
                <m:t>i</m:t>
              </m:r>
            </m:sub>
          </m:sSub>
          <m:r>
            <m:rPr>
              <m:sty m:val="p"/>
            </m:rPr>
            <m:t>+</m:t>
          </m:r>
          <m:sSub>
            <m:e>
              <m:r>
                <m:t>X</m:t>
              </m:r>
            </m:e>
            <m:sub>
              <m:r>
                <m:t>i</m:t>
              </m:r>
            </m:sub>
          </m:sSub>
          <m:r>
            <m:rPr>
              <m:sty m:val="p"/>
            </m:rPr>
            <m:t>′</m:t>
          </m:r>
          <m:r>
            <m:t>γ</m:t>
          </m:r>
          <m:r>
            <m:rPr>
              <m:sty m:val="p"/>
            </m:rPr>
            <m:t>+</m:t>
          </m:r>
          <m:sSub>
            <m:e>
              <m:r>
                <m:t>μ</m:t>
              </m:r>
            </m:e>
            <m:sub>
              <m:r>
                <m:t>r</m:t>
              </m:r>
            </m:sub>
          </m:sSub>
          <m:r>
            <m:rPr>
              <m:sty m:val="p"/>
            </m:rPr>
            <m:t>+</m:t>
          </m:r>
          <m:sSub>
            <m:e>
              <m:r>
                <m:t>λ</m:t>
              </m:r>
            </m:e>
            <m:sub>
              <m:r>
                <m:t>c</m:t>
              </m:r>
            </m:sub>
          </m:sSub>
          <m:r>
            <m:rPr>
              <m:sty m:val="p"/>
            </m:rPr>
            <m:t>+</m:t>
          </m:r>
          <m:sSub>
            <m:e>
              <m:r>
                <m:t>τ</m:t>
              </m:r>
            </m:e>
            <m:sub>
              <m:r>
                <m:t>w</m:t>
              </m:r>
            </m:sub>
          </m:sSub>
          <m:r>
            <m:rPr>
              <m:sty m:val="p"/>
            </m:rPr>
            <m:t>+</m:t>
          </m:r>
          <m:sSub>
            <m:e>
              <m:r>
                <m:t>ε</m:t>
              </m:r>
            </m:e>
            <m:sub>
              <m:r>
                <m:t>i</m:t>
              </m:r>
            </m:sub>
          </m:sSub>
        </m:oMath>
      </m:oMathPara>
    </w:p>
    <w:p>
      <w:pPr>
        <w:pStyle w:val="FirstParagraph"/>
      </w:pPr>
      <w:r>
        <w:t xml:space="preserve">In the persistence-trend specification,</w:t>
      </w:r>
      <w:r>
        <w:t xml:space="preserve"> </w:t>
      </w:r>
      <m:oMath>
        <m:sSub>
          <m:e>
            <m:r>
              <m:t>Y</m:t>
            </m:r>
          </m:e>
          <m:sub>
            <m:r>
              <m:t>i</m:t>
            </m:r>
          </m:sub>
        </m:sSub>
      </m:oMath>
      <w:r>
        <w:t xml:space="preserve"> </w:t>
      </w:r>
      <w:r>
        <w:t xml:space="preserve">is respondent rank and</w:t>
      </w:r>
      <w:r>
        <w:t xml:space="preserve"> </w:t>
      </w:r>
      <m:oMath>
        <m:sSub>
          <m:e>
            <m:r>
              <m:t>P</m:t>
            </m:r>
          </m:e>
          <m:sub>
            <m:r>
              <m:t>i</m:t>
            </m:r>
          </m:sub>
        </m:sSub>
      </m:oMath>
      <w:r>
        <w:t xml:space="preserve"> </w:t>
      </w:r>
      <w:r>
        <w:t xml:space="preserve">is parental rank, so</w:t>
      </w:r>
      <w:r>
        <w:t xml:space="preserve"> </w:t>
      </w:r>
      <m:oMath>
        <m:sSub>
          <m:e>
            <m:r>
              <m:t>θ</m:t>
            </m:r>
          </m:e>
          <m:sub>
            <m:r>
              <m:t>t</m:t>
            </m:r>
          </m:sub>
        </m:sSub>
      </m:oMath>
      <w:r>
        <w:t xml:space="preserve"> </w:t>
      </w:r>
      <w:r>
        <w:t xml:space="preserve">captures whether the parent-child gradient in wave</w:t>
      </w:r>
      <w:r>
        <w:t xml:space="preserve"> </w:t>
      </w:r>
      <m:oMath>
        <m:r>
          <m:t>t</m:t>
        </m:r>
      </m:oMath>
      <w:r>
        <w:t xml:space="preserve"> </w:t>
      </w:r>
      <w:r>
        <w:t xml:space="preserve">differs from 2010 after conditioning on controls and fixed effects. In the attainment model,</w:t>
      </w:r>
      <w:r>
        <w:t xml:space="preserve"> </w:t>
      </w:r>
      <m:oMath>
        <m:sSub>
          <m:e>
            <m:r>
              <m:t>Y</m:t>
            </m:r>
          </m:e>
          <m:sub>
            <m:r>
              <m:t>i</m:t>
            </m:r>
          </m:sub>
        </m:sSub>
      </m:oMath>
      <w:r>
        <w:t xml:space="preserve"> </w:t>
      </w:r>
      <w:r>
        <w:t xml:space="preserve">becomes the harmonized education score and</w:t>
      </w:r>
      <w:r>
        <w:t xml:space="preserve"> </w:t>
      </w:r>
      <m:oMath>
        <m:r>
          <m:t>β</m:t>
        </m:r>
      </m:oMath>
      <w:r>
        <w:t xml:space="preserve"> </w:t>
      </w:r>
      <w:r>
        <w:t xml:space="preserve">is the conditional association between parental and respondent schooling. In the upward-mobility model,</w:t>
      </w:r>
      <w:r>
        <w:t xml:space="preserve"> </w:t>
      </w:r>
      <m:oMath>
        <m:sSub>
          <m:e>
            <m:r>
              <m:t>P</m:t>
            </m:r>
          </m:e>
          <m:sub>
            <m:r>
              <m:t>i</m:t>
            </m:r>
          </m:sub>
        </m:sSub>
      </m:oMath>
      <w:r>
        <w:t xml:space="preserve"> </w:t>
      </w:r>
      <w:r>
        <w:t xml:space="preserve">is replaced by parental education-category indicators, so the coefficients compare transition probabilities relative to the upper-secondary reference group. The persistence heterogeneity model keeps the same pooled structure but augments it with</w:t>
      </w:r>
      <w:r>
        <w:t xml:space="preserve"> </w:t>
      </w:r>
      <m:oMath>
        <m:sSub>
          <m:e>
            <m:r>
              <m:t>P</m:t>
            </m:r>
          </m:e>
          <m:sub>
            <m:r>
              <m:t>i</m:t>
            </m:r>
          </m:sub>
        </m:sSub>
        <m:r>
          <m:rPr>
            <m:sty m:val="p"/>
          </m:rPr>
          <m:t>×</m:t>
        </m:r>
        <m:sSub>
          <m:e>
            <m:r>
              <m:t>U</m:t>
            </m:r>
          </m:e>
          <m:sub>
            <m:r>
              <m:t>i</m:t>
            </m:r>
          </m:sub>
        </m:sSub>
      </m:oMath>
      <w:r>
        <w:t xml:space="preserve">,</w:t>
      </w:r>
      <w:r>
        <w:t xml:space="preserve"> </w:t>
      </w:r>
      <m:oMath>
        <m:sSub>
          <m:e>
            <m:r>
              <m:t>P</m:t>
            </m:r>
          </m:e>
          <m:sub>
            <m:r>
              <m:t>i</m:t>
            </m:r>
          </m:sub>
        </m:sSub>
        <m:r>
          <m:rPr>
            <m:sty m:val="p"/>
          </m:rPr>
          <m:t>×</m:t>
        </m:r>
        <m:sSub>
          <m:e>
            <m:r>
              <m:t>F</m:t>
            </m:r>
          </m:e>
          <m:sub>
            <m:r>
              <m:t>i</m:t>
            </m:r>
          </m:sub>
        </m:sSub>
      </m:oMath>
      <w:r>
        <w:t xml:space="preserve">, and</w:t>
      </w:r>
      <w:r>
        <w:t xml:space="preserve"> </w:t>
      </w:r>
      <m:oMath>
        <m:sSub>
          <m:e>
            <m:r>
              <m:t>P</m:t>
            </m:r>
          </m:e>
          <m:sub>
            <m:r>
              <m:t>i</m:t>
            </m:r>
          </m:sub>
        </m:sSub>
        <m:r>
          <m:rPr>
            <m:sty m:val="p"/>
          </m:rPr>
          <m:t>×</m:t>
        </m:r>
        <m:sSub>
          <m:e>
            <m:r>
              <m:t>D</m:t>
            </m:r>
          </m:e>
          <m:sub>
            <m:r>
              <m:t>2022</m:t>
            </m:r>
            <m:r>
              <m:rPr>
                <m:sty m:val="p"/>
              </m:rPr>
              <m:t>,</m:t>
            </m:r>
            <m:r>
              <m:t>i</m:t>
            </m:r>
          </m:sub>
        </m:sSub>
      </m:oMath>
      <w:r>
        <w:t xml:space="preserve">. Throughout, the coefficients are interpreted as conditional associations rather than causal effects.</w:t>
      </w:r>
    </w:p>
    <w:bookmarkEnd w:id="37"/>
    <w:bookmarkStart w:id="38" w:name="module-c-pandemic-era-mechanisms"/>
    <w:p>
      <w:pPr>
        <w:pStyle w:val="Heading3"/>
      </w:pPr>
      <w:r>
        <w:t xml:space="preserve">Module C: Pandemic-Era Mechanisms</w:t>
      </w:r>
    </w:p>
    <w:p>
      <w:pPr>
        <w:pStyle w:val="FirstParagraph"/>
      </w:pPr>
      <w:r>
        <w:t xml:space="preserve">The third module uses the 2022-23 child module to examine whether disruption and support patterns differ by parental education. Its descriptive heterogeneity specification is:</w:t>
      </w:r>
    </w:p>
    <w:p>
      <w:pPr>
        <w:pStyle w:val="BodyText"/>
      </w:pPr>
      <m:oMathPara>
        <m:oMathParaPr>
          <m:jc m:val="center"/>
        </m:oMathParaPr>
        <m:oMath>
          <m:sSub>
            <m:e>
              <m:r>
                <m:t>Y</m:t>
              </m:r>
            </m:e>
            <m:sub>
              <m:r>
                <m:t>i</m:t>
              </m:r>
            </m:sub>
          </m:sSub>
          <m:r>
            <m:rPr>
              <m:sty m:val="p"/>
            </m:rPr>
            <m:t>=</m:t>
          </m:r>
          <m:r>
            <m:t>α</m:t>
          </m:r>
          <m:r>
            <m:rPr>
              <m:sty m:val="p"/>
            </m:rPr>
            <m:t>+</m:t>
          </m:r>
          <m:r>
            <m:t>β</m:t>
          </m:r>
          <m:sSub>
            <m:e>
              <m:r>
                <m:t>L</m:t>
              </m:r>
            </m:e>
            <m:sub>
              <m:r>
                <m:t>i</m:t>
              </m:r>
            </m:sub>
          </m:sSub>
          <m:r>
            <m:rPr>
              <m:sty m:val="p"/>
            </m:rPr>
            <m:t>+</m:t>
          </m:r>
          <m:sSub>
            <m:e>
              <m:r>
                <m:t>δ</m:t>
              </m:r>
            </m:e>
            <m:sub>
              <m:r>
                <m:t>1</m:t>
              </m:r>
            </m:sub>
          </m:sSub>
          <m:sSub>
            <m:e>
              <m:r>
                <m:t>U</m:t>
              </m:r>
            </m:e>
            <m:sub>
              <m:r>
                <m:t>i</m:t>
              </m:r>
            </m:sub>
          </m:sSub>
          <m:r>
            <m:rPr>
              <m:sty m:val="p"/>
            </m:rPr>
            <m:t>+</m:t>
          </m:r>
          <m:sSub>
            <m:e>
              <m:r>
                <m:t>δ</m:t>
              </m:r>
            </m:e>
            <m:sub>
              <m:r>
                <m:t>2</m:t>
              </m:r>
            </m:sub>
          </m:sSub>
          <m:sSub>
            <m:e>
              <m:r>
                <m:t>M</m:t>
              </m:r>
            </m:e>
            <m:sub>
              <m:r>
                <m:t>i</m:t>
              </m:r>
            </m:sub>
          </m:sSub>
          <m:r>
            <m:rPr>
              <m:sty m:val="p"/>
            </m:rPr>
            <m:t>+</m:t>
          </m:r>
          <m:r>
            <m:t>κ</m:t>
          </m:r>
          <m:d>
            <m:dPr>
              <m:begChr m:val="("/>
              <m:sepChr m:val=""/>
              <m:endChr m:val=")"/>
              <m:grow/>
            </m:dPr>
            <m:e>
              <m:sSub>
                <m:e>
                  <m:r>
                    <m:t>L</m:t>
                  </m:r>
                </m:e>
                <m:sub>
                  <m:r>
                    <m:t>i</m:t>
                  </m:r>
                </m:sub>
              </m:sSub>
              <m:r>
                <m:rPr>
                  <m:sty m:val="p"/>
                </m:rPr>
                <m:t>×</m:t>
              </m:r>
              <m:sSub>
                <m:e>
                  <m:r>
                    <m:t>U</m:t>
                  </m:r>
                </m:e>
                <m:sub>
                  <m:r>
                    <m:t>i</m:t>
                  </m:r>
                </m:sub>
              </m:sSub>
            </m:e>
          </m:d>
          <m:r>
            <m:rPr>
              <m:sty m:val="p"/>
            </m:rPr>
            <m:t>+</m:t>
          </m:r>
          <m:sSub>
            <m:e>
              <m:r>
                <m:t>μ</m:t>
              </m:r>
            </m:e>
            <m:sub>
              <m:r>
                <m:t>r</m:t>
              </m:r>
            </m:sub>
          </m:sSub>
          <m:r>
            <m:rPr>
              <m:sty m:val="p"/>
            </m:rPr>
            <m:t>+</m:t>
          </m:r>
          <m:sSub>
            <m:e>
              <m:r>
                <m:t>ε</m:t>
              </m:r>
            </m:e>
            <m:sub>
              <m:r>
                <m:t>i</m:t>
              </m:r>
            </m:sub>
          </m:sSub>
        </m:oMath>
      </m:oMathPara>
    </w:p>
    <w:p>
      <w:pPr>
        <w:pStyle w:val="FirstParagraph"/>
      </w:pPr>
      <w:r>
        <w:t xml:space="preserve">where</w:t>
      </w:r>
      <w:r>
        <w:t xml:space="preserve"> </w:t>
      </w:r>
      <m:oMath>
        <m:sSub>
          <m:e>
            <m:r>
              <m:t>Y</m:t>
            </m:r>
          </m:e>
          <m:sub>
            <m:r>
              <m:t>i</m:t>
            </m:r>
          </m:sub>
        </m:sSub>
      </m:oMath>
      <w:r>
        <w:t xml:space="preserve"> </w:t>
      </w:r>
      <w:r>
        <w:t xml:space="preserve">is a binary child-module outcome. In the main text, the focal case is education stoppage during COVID, so</w:t>
      </w:r>
      <w:r>
        <w:t xml:space="preserve"> </w:t>
      </w:r>
      <m:oMath>
        <m:r>
          <m:t>β</m:t>
        </m:r>
      </m:oMath>
      <w:r>
        <w:t xml:space="preserve"> </w:t>
      </w:r>
      <w:r>
        <w:t xml:space="preserve">is the conditional difference in stoppage risk between lower- and higher-parent-education households, while</w:t>
      </w:r>
      <w:r>
        <w:t xml:space="preserve"> </w:t>
      </w:r>
      <m:oMath>
        <m:r>
          <m:t>κ</m:t>
        </m:r>
      </m:oMath>
      <w:r>
        <w:t xml:space="preserve"> </w:t>
      </w:r>
      <w:r>
        <w:t xml:space="preserve">indicates whether that gap differs between urban and non-urban households. Parallel estimates for online switching, school closure without online learning, and the broad remote-learning-challenge indicator are reported in the appendix. These regressions are descriptive heterogeneity exercises rather than identification strategies.</w:t>
      </w:r>
    </w:p>
    <w:bookmarkEnd w:id="38"/>
    <w:bookmarkEnd w:id="39"/>
    <w:bookmarkStart w:id="70" w:name="descriptive-results"/>
    <w:p>
      <w:pPr>
        <w:pStyle w:val="Heading2"/>
      </w:pPr>
      <w:r>
        <w:t xml:space="preserve">Descriptive Results</w:t>
      </w:r>
    </w:p>
    <w:bookmarkStart w:id="41" w:name="sample-composition-and-completeness"/>
    <w:p>
      <w:pPr>
        <w:pStyle w:val="Heading3"/>
      </w:pPr>
      <w:r>
        <w:t xml:space="preserve">Sample Composition and Completeness</w:t>
      </w:r>
    </w:p>
    <w:p>
      <w:pPr>
        <w:pStyle w:val="FirstParagraph"/>
      </w:pPr>
      <w:r>
        <w:t xml:space="preserve">Before turning to the mobility estimates, Table</w:t>
      </w:r>
      <w:r>
        <w:t xml:space="preserve"> </w:t>
      </w:r>
      <w:hyperlink w:anchor="tbl-sample-composition">
        <w:r>
          <w:rPr>
            <w:rStyle w:val="Hyperlink"/>
          </w:rPr>
          <w:t xml:space="preserve">Table 1</w:t>
        </w:r>
      </w:hyperlink>
      <w:r>
        <w:t xml:space="preserve"> </w:t>
      </w:r>
      <w:r>
        <w:t xml:space="preserve">establishes the analytical base by wave. The age-restricted Uzbekistan LiTS samples contain 1,157 respondents in 2010, 1,240 in 2016, and 797 in 2022-23. The 2022-23 wave is notably more female in the harmonized adult sample, while the cohort mix remains centered on the younger and middle adult cohorts in all three surveys.</w:t>
      </w:r>
    </w:p>
    <w:p>
      <w:pPr>
        <w:pStyle w:val="BodyText"/>
      </w:pPr>
      <w:r>
        <w:t xml:space="preserve">The more consequential descriptive issue is completeness rather than headline sample size. Missingness in respondents’ own education rises to 74.3 percent in 2022-23, and missingness in parental education reaches 65.9 percent, which helps explain why category-based mobility denominators deteriorate more sharply than the rank-based sample in the latest wave.</w:t>
      </w:r>
    </w:p>
    <w:tbl>
      <w:tblPr>
        <w:tblStyle w:val="Table"/>
        <w:tblW w:type="pct" w:w="5000"/>
        <w:tblLayout w:type="fixed"/>
        <w:tblLook w:firstRow="0" w:lastRow="0" w:firstColumn="0" w:lastColumn="0" w:noHBand="0" w:noVBand="0" w:val="0000"/>
      </w:tblPr>
      <w:tblGrid>
        <w:gridCol w:w="7920"/>
      </w:tblGrid>
      <w:tr>
        <w:tc>
          <w:tcPr/>
          <w:bookmarkStart w:id="40" w:name="tbl-sample-composition"/>
          <w:p>
            <w:pPr>
              <w:jc w:val="center"/>
            </w:pPr>
            <w:pPr>
              <w:jc w:val="left"/>
              <w:spacing w:before="200"/>
              <w:pStyle w:val="ImageCaption"/>
            </w:pPr>
            <w:r>
              <w:t xml:space="preserve">Table 1: Analytical sample composition and completeness by LiTS wave.</w:t>
            </w:r>
          </w:p>
          <w:tbl>
            <w:tblPr>
              <w:tblStyle w:val="Table"/>
              <w:tblW w:type="pct" w:w="5000"/>
              <w:tblLayout w:type="fixed"/>
              <w:tblLook w:firstRow="1" w:lastRow="0" w:firstColumn="0" w:lastColumn="0" w:noHBand="0" w:noVBand="0" w:val="0020"/>
            </w:tblPr>
            <w:tblGrid>
              <w:gridCol w:w="462"/>
              <w:gridCol w:w="462"/>
              <w:gridCol w:w="751"/>
              <w:gridCol w:w="751"/>
              <w:gridCol w:w="2659"/>
              <w:gridCol w:w="1271"/>
              <w:gridCol w:w="1560"/>
            </w:tblGrid>
            <w:tr>
              <w:trPr>
                <w:tblHeader w:val="on"/>
              </w:trPr>
              <w:tc>
                <w:tcPr/>
                <w:p>
                  <w:pPr>
                    <w:pStyle w:val="Compact"/>
                    <w:jc w:val="left"/>
                    <w:jc w:val="center"/>
                  </w:pPr>
                  <w:r>
                    <w:t xml:space="preserve">Wave</w:t>
                  </w:r>
                </w:p>
              </w:tc>
              <w:tc>
                <w:tcPr/>
                <w:p>
                  <w:pPr>
                    <w:pStyle w:val="Compact"/>
                    <w:jc w:val="left"/>
                    <w:jc w:val="center"/>
                  </w:pPr>
                  <w:r>
                    <w:t xml:space="preserve">Valid N</w:t>
                  </w:r>
                </w:p>
              </w:tc>
              <w:tc>
                <w:tcPr/>
                <w:p>
                  <w:pPr>
                    <w:pStyle w:val="Compact"/>
                    <w:jc w:val="left"/>
                    <w:jc w:val="center"/>
                  </w:pPr>
                  <w:r>
                    <w:t xml:space="preserve">Female share</w:t>
                  </w:r>
                </w:p>
              </w:tc>
              <w:tc>
                <w:tcPr/>
                <w:p>
                  <w:pPr>
                    <w:pStyle w:val="Compact"/>
                    <w:jc w:val="left"/>
                    <w:jc w:val="center"/>
                  </w:pPr>
                  <w:r>
                    <w:t xml:space="preserve">Urban share</w:t>
                  </w:r>
                </w:p>
              </w:tc>
              <w:tc>
                <w:tcPr/>
                <w:p>
                  <w:pPr>
                    <w:pStyle w:val="Compact"/>
                    <w:jc w:val="left"/>
                    <w:jc w:val="center"/>
                  </w:pPr>
                  <w:r>
                    <w:t xml:space="preserve">Cohort shares (25-34 / 35-44 / 45-54 / 55-64)</w:t>
                  </w:r>
                </w:p>
              </w:tc>
              <w:tc>
                <w:tcPr/>
                <w:p>
                  <w:pPr>
                    <w:pStyle w:val="Compact"/>
                    <w:jc w:val="left"/>
                    <w:jc w:val="center"/>
                  </w:pPr>
                  <w:r>
                    <w:t xml:space="preserve">Own education missing</w:t>
                  </w:r>
                </w:p>
              </w:tc>
              <w:tc>
                <w:tcPr/>
                <w:p>
                  <w:pPr>
                    <w:pStyle w:val="Compact"/>
                    <w:jc w:val="left"/>
                    <w:jc w:val="center"/>
                  </w:pPr>
                  <w:r>
                    <w:t xml:space="preserve">Parental education missing</w:t>
                  </w:r>
                </w:p>
              </w:tc>
            </w:tr>
            <w:tr>
              <w:tc>
                <w:tcPr/>
                <w:p>
                  <w:pPr>
                    <w:pStyle w:val="Compact"/>
                    <w:jc w:val="left"/>
                    <w:jc w:val="center"/>
                  </w:pPr>
                  <w:r>
                    <w:t xml:space="preserve">2010</w:t>
                  </w:r>
                </w:p>
              </w:tc>
              <w:tc>
                <w:tcPr/>
                <w:p>
                  <w:pPr>
                    <w:pStyle w:val="Compact"/>
                    <w:jc w:val="left"/>
                    <w:jc w:val="center"/>
                  </w:pPr>
                  <w:r>
                    <w:t xml:space="preserve">1,157</w:t>
                  </w:r>
                </w:p>
              </w:tc>
              <w:tc>
                <w:tcPr/>
                <w:p>
                  <w:pPr>
                    <w:pStyle w:val="Compact"/>
                    <w:jc w:val="left"/>
                    <w:jc w:val="center"/>
                  </w:pPr>
                  <w:r>
                    <w:t xml:space="preserve">61.6 percent</w:t>
                  </w:r>
                </w:p>
              </w:tc>
              <w:tc>
                <w:tcPr/>
                <w:p>
                  <w:pPr>
                    <w:pStyle w:val="Compact"/>
                    <w:jc w:val="left"/>
                    <w:jc w:val="center"/>
                  </w:pPr>
                  <w:r>
                    <w:t xml:space="preserve">33.4 percent</w:t>
                  </w:r>
                </w:p>
              </w:tc>
              <w:tc>
                <w:tcPr/>
                <w:p>
                  <w:pPr>
                    <w:pStyle w:val="Compact"/>
                    <w:jc w:val="left"/>
                    <w:jc w:val="center"/>
                  </w:pPr>
                  <w:r>
                    <w:t xml:space="preserve">33.8 / 30.3 / 22.9 / 13.1</w:t>
                  </w:r>
                </w:p>
              </w:tc>
              <w:tc>
                <w:tcPr/>
                <w:p>
                  <w:pPr>
                    <w:pStyle w:val="Compact"/>
                    <w:jc w:val="left"/>
                    <w:jc w:val="center"/>
                  </w:pPr>
                  <w:r>
                    <w:t xml:space="preserve">16.7 percent</w:t>
                  </w:r>
                </w:p>
              </w:tc>
              <w:tc>
                <w:tcPr/>
                <w:p>
                  <w:pPr>
                    <w:pStyle w:val="Compact"/>
                    <w:jc w:val="left"/>
                    <w:jc w:val="center"/>
                  </w:pPr>
                  <w:r>
                    <w:t xml:space="preserve">38.2 percent</w:t>
                  </w:r>
                </w:p>
              </w:tc>
            </w:tr>
            <w:tr>
              <w:tc>
                <w:tcPr/>
                <w:p>
                  <w:pPr>
                    <w:pStyle w:val="Compact"/>
                    <w:jc w:val="left"/>
                    <w:jc w:val="center"/>
                  </w:pPr>
                  <w:r>
                    <w:t xml:space="preserve">2016</w:t>
                  </w:r>
                </w:p>
              </w:tc>
              <w:tc>
                <w:tcPr/>
                <w:p>
                  <w:pPr>
                    <w:pStyle w:val="Compact"/>
                    <w:jc w:val="left"/>
                    <w:jc w:val="center"/>
                  </w:pPr>
                  <w:r>
                    <w:t xml:space="preserve">1,240</w:t>
                  </w:r>
                </w:p>
              </w:tc>
              <w:tc>
                <w:tcPr/>
                <w:p>
                  <w:pPr>
                    <w:pStyle w:val="Compact"/>
                    <w:jc w:val="left"/>
                    <w:jc w:val="center"/>
                  </w:pPr>
                  <w:r>
                    <w:t xml:space="preserve">54.7 percent</w:t>
                  </w:r>
                </w:p>
              </w:tc>
              <w:tc>
                <w:tcPr/>
                <w:p>
                  <w:pPr>
                    <w:pStyle w:val="Compact"/>
                    <w:jc w:val="left"/>
                    <w:jc w:val="center"/>
                  </w:pPr>
                  <w:r>
                    <w:t xml:space="preserve">41.7 percent</w:t>
                  </w:r>
                </w:p>
              </w:tc>
              <w:tc>
                <w:tcPr/>
                <w:p>
                  <w:pPr>
                    <w:pStyle w:val="Compact"/>
                    <w:jc w:val="left"/>
                    <w:jc w:val="center"/>
                  </w:pPr>
                  <w:r>
                    <w:t xml:space="preserve">25.6 / 26.6 / 24.5 / 23.3</w:t>
                  </w:r>
                </w:p>
              </w:tc>
              <w:tc>
                <w:tcPr/>
                <w:p>
                  <w:pPr>
                    <w:pStyle w:val="Compact"/>
                    <w:jc w:val="left"/>
                    <w:jc w:val="center"/>
                  </w:pPr>
                  <w:r>
                    <w:t xml:space="preserve">45.9 percent</w:t>
                  </w:r>
                </w:p>
              </w:tc>
              <w:tc>
                <w:tcPr/>
                <w:p>
                  <w:pPr>
                    <w:pStyle w:val="Compact"/>
                    <w:jc w:val="left"/>
                    <w:jc w:val="center"/>
                  </w:pPr>
                  <w:r>
                    <w:t xml:space="preserve">47.2 percent</w:t>
                  </w:r>
                </w:p>
              </w:tc>
            </w:tr>
            <w:tr>
              <w:tc>
                <w:tcPr/>
                <w:p>
                  <w:pPr>
                    <w:pStyle w:val="Compact"/>
                    <w:jc w:val="left"/>
                    <w:jc w:val="center"/>
                  </w:pPr>
                  <w:r>
                    <w:t xml:space="preserve">2022-23</w:t>
                  </w:r>
                </w:p>
              </w:tc>
              <w:tc>
                <w:tcPr/>
                <w:p>
                  <w:pPr>
                    <w:pStyle w:val="Compact"/>
                    <w:jc w:val="left"/>
                    <w:jc w:val="center"/>
                  </w:pPr>
                  <w:r>
                    <w:t xml:space="preserve">797</w:t>
                  </w:r>
                </w:p>
              </w:tc>
              <w:tc>
                <w:tcPr/>
                <w:p>
                  <w:pPr>
                    <w:pStyle w:val="Compact"/>
                    <w:jc w:val="left"/>
                    <w:jc w:val="center"/>
                  </w:pPr>
                  <w:r>
                    <w:t xml:space="preserve">91.2 percent</w:t>
                  </w:r>
                </w:p>
              </w:tc>
              <w:tc>
                <w:tcPr/>
                <w:p>
                  <w:pPr>
                    <w:pStyle w:val="Compact"/>
                    <w:jc w:val="left"/>
                    <w:jc w:val="center"/>
                  </w:pPr>
                  <w:r>
                    <w:t xml:space="preserve">36.4 percent</w:t>
                  </w:r>
                </w:p>
              </w:tc>
              <w:tc>
                <w:tcPr/>
                <w:p>
                  <w:pPr>
                    <w:pStyle w:val="Compact"/>
                    <w:jc w:val="left"/>
                    <w:jc w:val="center"/>
                  </w:pPr>
                  <w:r>
                    <w:t xml:space="preserve">32.6 / 29.1 / 23.7 / 14.6</w:t>
                  </w:r>
                </w:p>
              </w:tc>
              <w:tc>
                <w:tcPr/>
                <w:p>
                  <w:pPr>
                    <w:pStyle w:val="Compact"/>
                    <w:jc w:val="left"/>
                    <w:jc w:val="center"/>
                  </w:pPr>
                  <w:r>
                    <w:t xml:space="preserve">74.3 percent</w:t>
                  </w:r>
                </w:p>
              </w:tc>
              <w:tc>
                <w:tcPr/>
                <w:p>
                  <w:pPr>
                    <w:pStyle w:val="Compact"/>
                    <w:jc w:val="left"/>
                    <w:jc w:val="center"/>
                  </w:pPr>
                  <w:r>
                    <w:t xml:space="preserve">65.9 percent</w:t>
                  </w:r>
                </w:p>
              </w:tc>
            </w:tr>
          </w:tbl>
          <w:bookmarkEnd w:id="40"/>
          <w:p/>
        </w:tc>
      </w:tr>
    </w:tbl>
    <w:p>
      <w:pPr>
        <w:pStyle w:val="BodyText"/>
      </w:pPr>
      <w:r>
        <w:t xml:space="preserve">Table</w:t>
      </w:r>
      <w:r>
        <w:t xml:space="preserve"> </w:t>
      </w:r>
      <w:hyperlink w:anchor="tbl-sample-composition">
        <w:r>
          <w:rPr>
            <w:rStyle w:val="Hyperlink"/>
          </w:rPr>
          <w:t xml:space="preserve">Table 1</w:t>
        </w:r>
      </w:hyperlink>
      <w:r>
        <w:t xml:space="preserve"> </w:t>
      </w:r>
      <w:r>
        <w:t xml:space="preserve">combines the published Tier A sample and completeness outputs with simple analytical-sample composition shares from the harmonized LiTS file; the main takeaway is that the descriptive section rests on usable national samples in every wave, but 2022-23 has substantially weaker education completeness than the earlier surveys.</w:t>
      </w:r>
    </w:p>
    <w:bookmarkEnd w:id="41"/>
    <w:bookmarkStart w:id="51" w:name="national-mobility-metrics-by-wave"/>
    <w:p>
      <w:pPr>
        <w:pStyle w:val="Heading3"/>
      </w:pPr>
      <w:r>
        <w:t xml:space="preserve">National Mobility Metrics by Wave</w:t>
      </w:r>
    </w:p>
    <w:p>
      <w:pPr>
        <w:pStyle w:val="FirstParagraph"/>
      </w:pPr>
      <w:r>
        <w:t xml:space="preserve">Table</w:t>
      </w:r>
      <w:r>
        <w:t xml:space="preserve"> </w:t>
      </w:r>
      <w:hyperlink w:anchor="tbl-mobility-metrics">
        <w:r>
          <w:rPr>
            <w:rStyle w:val="Hyperlink"/>
          </w:rPr>
          <w:t xml:space="preserve">Table 2</w:t>
        </w:r>
      </w:hyperlink>
      <w:r>
        <w:t xml:space="preserve"> </w:t>
      </w:r>
      <w:r>
        <w:t xml:space="preserve">reports the paper’s locked national mobility measures in a by-wave layout. The rank-rank slope rises from</w:t>
      </w:r>
      <w:r>
        <w:t xml:space="preserve"> </w:t>
      </w:r>
      <w:r>
        <w:rPr>
          <w:b/>
          <w:bCs/>
        </w:rPr>
        <w:t xml:space="preserve">0.133</w:t>
      </w:r>
      <w:r>
        <w:t xml:space="preserve"> </w:t>
      </w:r>
      <w:r>
        <w:t xml:space="preserve">in 2010 to</w:t>
      </w:r>
      <w:r>
        <w:t xml:space="preserve"> </w:t>
      </w:r>
      <w:r>
        <w:rPr>
          <w:b/>
          <w:bCs/>
        </w:rPr>
        <w:t xml:space="preserve">0.299</w:t>
      </w:r>
      <w:r>
        <w:t xml:space="preserve"> </w:t>
      </w:r>
      <w:r>
        <w:t xml:space="preserve">in 2016 and</w:t>
      </w:r>
      <w:r>
        <w:t xml:space="preserve"> </w:t>
      </w:r>
      <w:r>
        <w:rPr>
          <w:b/>
          <w:bCs/>
        </w:rPr>
        <w:t xml:space="preserve">0.350</w:t>
      </w:r>
      <w:r>
        <w:t xml:space="preserve"> </w:t>
      </w:r>
      <w:r>
        <w:t xml:space="preserve">in 2022-23, while the category-based measures move in the same direction but with much thinner support in the latest wave.</w:t>
      </w:r>
    </w:p>
    <w:p>
      <w:pPr>
        <w:pStyle w:val="BodyText"/>
      </w:pPr>
      <w:r>
        <w:t xml:space="preserve">The 2022-23 category profile therefore remains strictly secondary. The valid denominator for the 2022 rank-rank slope is 782, whereas the valid denominator for the 2022 category-based rates is only 124. As a result, the rank-based series is the paper’s preferred descriptive benchmark across waves.</w:t>
      </w:r>
    </w:p>
    <w:tbl>
      <w:tblPr>
        <w:tblStyle w:val="Table"/>
        <w:tblW w:type="pct" w:w="5000"/>
        <w:tblLayout w:type="fixed"/>
        <w:tblLook w:firstRow="0" w:lastRow="0" w:firstColumn="0" w:lastColumn="0" w:noHBand="0" w:noVBand="0" w:val="0000"/>
      </w:tblPr>
      <w:tblGrid>
        <w:gridCol w:w="7920"/>
      </w:tblGrid>
      <w:tr>
        <w:tc>
          <w:tcPr/>
          <w:bookmarkStart w:id="42" w:name="tbl-mobility-metrics"/>
          <w:p>
            <w:pPr>
              <w:jc w:val="center"/>
            </w:pPr>
            <w:pPr>
              <w:jc w:val="left"/>
              <w:spacing w:before="200"/>
              <w:pStyle w:val="ImageCaption"/>
            </w:pPr>
            <w:r>
              <w:t xml:space="preserve">Table 2: National mobility metrics by LiTS wave.</w:t>
            </w:r>
          </w:p>
          <w:tbl>
            <w:tblPr>
              <w:tblStyle w:val="Table"/>
              <w:tblW w:type="pct" w:w="5000"/>
              <w:tblLayout w:type="fixed"/>
              <w:tblLook w:firstRow="1" w:lastRow="0" w:firstColumn="0" w:lastColumn="0" w:noHBand="0" w:noVBand="0" w:val="0020"/>
            </w:tblPr>
            <w:tblGrid>
              <w:gridCol w:w="653"/>
              <w:gridCol w:w="1306"/>
              <w:gridCol w:w="1306"/>
              <w:gridCol w:w="1469"/>
              <w:gridCol w:w="1061"/>
              <w:gridCol w:w="2122"/>
            </w:tblGrid>
            <w:tr>
              <w:trPr>
                <w:tblHeader w:val="on"/>
              </w:trPr>
              <w:tc>
                <w:tcPr/>
                <w:p>
                  <w:pPr>
                    <w:pStyle w:val="Compact"/>
                    <w:jc w:val="left"/>
                    <w:jc w:val="center"/>
                  </w:pPr>
                  <w:r>
                    <w:t xml:space="preserve">Wave</w:t>
                  </w:r>
                </w:p>
              </w:tc>
              <w:tc>
                <w:tcPr/>
                <w:p>
                  <w:pPr>
                    <w:pStyle w:val="Compact"/>
                    <w:jc w:val="left"/>
                    <w:jc w:val="center"/>
                  </w:pPr>
                  <w:r>
                    <w:t xml:space="preserve">Rank-rank slope</w:t>
                  </w:r>
                </w:p>
              </w:tc>
              <w:tc>
                <w:tcPr/>
                <w:p>
                  <w:pPr>
                    <w:pStyle w:val="Compact"/>
                    <w:jc w:val="left"/>
                    <w:jc w:val="center"/>
                  </w:pPr>
                  <w:r>
                    <w:t xml:space="preserve">Upward mobility</w:t>
                  </w:r>
                </w:p>
              </w:tc>
              <w:tc>
                <w:tcPr/>
                <w:p>
                  <w:pPr>
                    <w:pStyle w:val="Compact"/>
                    <w:jc w:val="left"/>
                    <w:jc w:val="center"/>
                  </w:pPr>
                  <w:r>
                    <w:t xml:space="preserve">Downward mobility</w:t>
                  </w:r>
                </w:p>
              </w:tc>
              <w:tc>
                <w:tcPr/>
                <w:p>
                  <w:pPr>
                    <w:pStyle w:val="Compact"/>
                    <w:jc w:val="left"/>
                    <w:jc w:val="center"/>
                  </w:pPr>
                  <w:r>
                    <w:t xml:space="preserve">Persistence</w:t>
                  </w:r>
                </w:p>
              </w:tc>
              <w:tc>
                <w:tcPr/>
                <w:p>
                  <w:pPr>
                    <w:pStyle w:val="Compact"/>
                    <w:jc w:val="left"/>
                    <w:jc w:val="center"/>
                  </w:pPr>
                  <w:r>
                    <w:t xml:space="preserve">Valid N (rank / category)</w:t>
                  </w:r>
                </w:p>
              </w:tc>
            </w:tr>
            <w:tr>
              <w:tc>
                <w:tcPr/>
                <w:p>
                  <w:pPr>
                    <w:pStyle w:val="Compact"/>
                    <w:jc w:val="left"/>
                    <w:jc w:val="center"/>
                  </w:pPr>
                  <w:r>
                    <w:t xml:space="preserve">2010</w:t>
                  </w:r>
                </w:p>
              </w:tc>
              <w:tc>
                <w:tcPr/>
                <w:p>
                  <w:pPr>
                    <w:pStyle w:val="Compact"/>
                    <w:jc w:val="left"/>
                    <w:jc w:val="center"/>
                  </w:pPr>
                  <w:r>
                    <w:t xml:space="preserve">0.133</w:t>
                  </w:r>
                </w:p>
              </w:tc>
              <w:tc>
                <w:tcPr/>
                <w:p>
                  <w:pPr>
                    <w:pStyle w:val="Compact"/>
                    <w:jc w:val="left"/>
                    <w:jc w:val="center"/>
                  </w:pPr>
                  <w:r>
                    <w:t xml:space="preserve">26.2 percent</w:t>
                  </w:r>
                </w:p>
              </w:tc>
              <w:tc>
                <w:tcPr/>
                <w:p>
                  <w:pPr>
                    <w:pStyle w:val="Compact"/>
                    <w:jc w:val="left"/>
                    <w:jc w:val="center"/>
                  </w:pPr>
                  <w:r>
                    <w:t xml:space="preserve">13.5 percent</w:t>
                  </w:r>
                </w:p>
              </w:tc>
              <w:tc>
                <w:tcPr/>
                <w:p>
                  <w:pPr>
                    <w:pStyle w:val="Compact"/>
                    <w:jc w:val="left"/>
                    <w:jc w:val="center"/>
                  </w:pPr>
                  <w:r>
                    <w:t xml:space="preserve">60.3 percent</w:t>
                  </w:r>
                </w:p>
              </w:tc>
              <w:tc>
                <w:tcPr/>
                <w:p>
                  <w:pPr>
                    <w:pStyle w:val="Compact"/>
                    <w:jc w:val="left"/>
                    <w:jc w:val="center"/>
                  </w:pPr>
                  <w:r>
                    <w:t xml:space="preserve">936 / 612</w:t>
                  </w:r>
                </w:p>
              </w:tc>
            </w:tr>
            <w:tr>
              <w:tc>
                <w:tcPr/>
                <w:p>
                  <w:pPr>
                    <w:pStyle w:val="Compact"/>
                    <w:jc w:val="left"/>
                    <w:jc w:val="center"/>
                  </w:pPr>
                  <w:r>
                    <w:t xml:space="preserve">2016</w:t>
                  </w:r>
                </w:p>
              </w:tc>
              <w:tc>
                <w:tcPr/>
                <w:p>
                  <w:pPr>
                    <w:pStyle w:val="Compact"/>
                    <w:jc w:val="left"/>
                    <w:jc w:val="center"/>
                  </w:pPr>
                  <w:r>
                    <w:t xml:space="preserve">0.299</w:t>
                  </w:r>
                </w:p>
              </w:tc>
              <w:tc>
                <w:tcPr/>
                <w:p>
                  <w:pPr>
                    <w:pStyle w:val="Compact"/>
                    <w:jc w:val="left"/>
                    <w:jc w:val="center"/>
                  </w:pPr>
                  <w:r>
                    <w:t xml:space="preserve">24.7 percent</w:t>
                  </w:r>
                </w:p>
              </w:tc>
              <w:tc>
                <w:tcPr/>
                <w:p>
                  <w:pPr>
                    <w:pStyle w:val="Compact"/>
                    <w:jc w:val="left"/>
                    <w:jc w:val="center"/>
                  </w:pPr>
                  <w:r>
                    <w:t xml:space="preserve">5.8 percent</w:t>
                  </w:r>
                </w:p>
              </w:tc>
              <w:tc>
                <w:tcPr/>
                <w:p>
                  <w:pPr>
                    <w:pStyle w:val="Compact"/>
                    <w:jc w:val="left"/>
                    <w:jc w:val="center"/>
                  </w:pPr>
                  <w:r>
                    <w:t xml:space="preserve">69.5 percent</w:t>
                  </w:r>
                </w:p>
              </w:tc>
              <w:tc>
                <w:tcPr/>
                <w:p>
                  <w:pPr>
                    <w:pStyle w:val="Compact"/>
                    <w:jc w:val="left"/>
                    <w:jc w:val="center"/>
                  </w:pPr>
                  <w:r>
                    <w:t xml:space="preserve">1,186 / 439</w:t>
                  </w:r>
                </w:p>
              </w:tc>
            </w:tr>
            <w:tr>
              <w:tc>
                <w:tcPr/>
                <w:p>
                  <w:pPr>
                    <w:pStyle w:val="Compact"/>
                    <w:jc w:val="left"/>
                    <w:jc w:val="center"/>
                  </w:pPr>
                  <w:r>
                    <w:t xml:space="preserve">2022-23</w:t>
                  </w:r>
                </w:p>
              </w:tc>
              <w:tc>
                <w:tcPr/>
                <w:p>
                  <w:pPr>
                    <w:pStyle w:val="Compact"/>
                    <w:jc w:val="left"/>
                    <w:jc w:val="center"/>
                  </w:pPr>
                  <w:r>
                    <w:t xml:space="preserve">0.350</w:t>
                  </w:r>
                </w:p>
              </w:tc>
              <w:tc>
                <w:tcPr/>
                <w:p>
                  <w:pPr>
                    <w:pStyle w:val="Compact"/>
                    <w:jc w:val="left"/>
                    <w:jc w:val="center"/>
                  </w:pPr>
                  <w:r>
                    <w:t xml:space="preserve">3.0 percent</w:t>
                  </w:r>
                </w:p>
              </w:tc>
              <w:tc>
                <w:tcPr/>
                <w:p>
                  <w:pPr>
                    <w:pStyle w:val="Compact"/>
                    <w:jc w:val="left"/>
                    <w:jc w:val="center"/>
                  </w:pPr>
                  <w:r>
                    <w:t xml:space="preserve">1.6 percent</w:t>
                  </w:r>
                </w:p>
              </w:tc>
              <w:tc>
                <w:tcPr/>
                <w:p>
                  <w:pPr>
                    <w:pStyle w:val="Compact"/>
                    <w:jc w:val="left"/>
                    <w:jc w:val="center"/>
                  </w:pPr>
                  <w:r>
                    <w:t xml:space="preserve">95.3 percent</w:t>
                  </w:r>
                </w:p>
              </w:tc>
              <w:tc>
                <w:tcPr/>
                <w:p>
                  <w:pPr>
                    <w:pStyle w:val="Compact"/>
                    <w:jc w:val="left"/>
                    <w:jc w:val="center"/>
                  </w:pPr>
                  <w:r>
                    <w:t xml:space="preserve">782 / 124</w:t>
                  </w:r>
                </w:p>
              </w:tc>
            </w:tr>
          </w:tbl>
          <w:bookmarkEnd w:id="42"/>
          <w:p/>
        </w:tc>
      </w:tr>
    </w:tbl>
    <w:p>
      <w:pPr>
        <w:pStyle w:val="BodyText"/>
      </w:pPr>
      <w:r>
        <w:t xml:space="preserve">Table</w:t>
      </w:r>
      <w:r>
        <w:t xml:space="preserve"> </w:t>
      </w:r>
      <w:hyperlink w:anchor="tbl-mobility-metrics">
        <w:r>
          <w:rPr>
            <w:rStyle w:val="Hyperlink"/>
          </w:rPr>
          <w:t xml:space="preserve">Table 2</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the same high-level story: educational persistence is substantial in every wave, and the rise in descriptive persistence is clearer in the rank-based series than in the much thinner 2022-23 category measures. The main takeaway is that descriptive persistence measures rise across waves, but pooled models do not estimate the change precisely.</w:t>
      </w:r>
    </w:p>
    <w:tbl>
      <w:tblPr>
        <w:tblStyle w:val="Table"/>
        <w:tblW w:type="pct" w:w="5000"/>
        <w:tblLayout w:type="fixed"/>
        <w:tblLook w:firstRow="0" w:lastRow="0" w:firstColumn="0" w:lastColumn="0" w:noHBand="0" w:noVBand="0" w:val="0000"/>
      </w:tblPr>
      <w:tblGrid>
        <w:gridCol w:w="7920"/>
      </w:tblGrid>
      <w:tr>
        <w:tc>
          <w:tcPr/>
          <w:bookmarkStart w:id="46" w:name="fig-rank-rank"/>
          <w:p>
            <w:pPr>
              <w:pStyle w:val="Compact"/>
              <w:jc w:val="center"/>
            </w:pPr>
            <w:r>
              <w:drawing>
                <wp:inline>
                  <wp:extent cx="5334000" cy="3555999"/>
                  <wp:effectExtent b="0" l="0" r="0" t="0"/>
                  <wp:docPr descr="" title="" id="44" name="Picture"/>
                  <a:graphic>
                    <a:graphicData uri="http://schemas.openxmlformats.org/drawingml/2006/picture">
                      <pic:pic>
                        <pic:nvPicPr>
                          <pic:cNvPr descr="../outputs/figures/tier_a_rank_rank_by_wave.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directional-rates"/>
          <w:p>
            <w:pPr>
              <w:pStyle w:val="Compact"/>
              <w:jc w:val="center"/>
            </w:pPr>
            <w:r>
              <w:drawing>
                <wp:inline>
                  <wp:extent cx="5334000" cy="3555999"/>
                  <wp:effectExtent b="0" l="0" r="0" t="0"/>
                  <wp:docPr descr="" title="" id="48" name="Picture"/>
                  <a:graphic>
                    <a:graphicData uri="http://schemas.openxmlformats.org/drawingml/2006/picture">
                      <pic:pic>
                        <pic:nvPicPr>
                          <pic:cNvPr descr="../outputs/figures/tier_a_directional_rates_by_wave.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50"/>
        </w:tc>
      </w:tr>
    </w:tbl>
    <w:bookmarkEnd w:id="51"/>
    <w:bookmarkStart w:id="53" w:name="transition-structure"/>
    <w:p>
      <w:pPr>
        <w:pStyle w:val="Heading3"/>
      </w:pPr>
      <w:r>
        <w:t xml:space="preserve">Transition Structure</w:t>
      </w:r>
    </w:p>
    <w:p>
      <w:pPr>
        <w:pStyle w:val="FirstParagraph"/>
      </w:pPr>
      <w:r>
        <w:t xml:space="preserve">The by-wave rates are easier to interpret alongside the transition structure in Table</w:t>
      </w:r>
      <w:r>
        <w:t xml:space="preserve"> </w:t>
      </w:r>
      <w:hyperlink w:anchor="tbl-transition-structure">
        <w:r>
          <w:rPr>
            <w:rStyle w:val="Hyperlink"/>
          </w:rPr>
          <w:t xml:space="preserve">Table 3</w:t>
        </w:r>
      </w:hyperlink>
      <w:r>
        <w:t xml:space="preserve">. In both 2010 and 2016, respondents from lower-secondary and primary parental origins most often reach upper secondary, while respondents from upper-secondary parental origins remain concentrated in the same category. This is consistent with a system that permits some upward movement from lower origins but still exhibits strong persistence around the upper-secondary category that dominates the analytical sample.</w:t>
      </w:r>
    </w:p>
    <w:p>
      <w:pPr>
        <w:pStyle w:val="BodyText"/>
      </w:pPr>
      <w:r>
        <w:t xml:space="preserve">The 2022-23 transition matrix is too sparse to serve as a persuasive main-text exhibit. Only the upper-secondary parental-origin row clears the reporting threshold, and within that row the table shows 98.3 percent persistence out of 121 valid cases. The main takeaway is that the transition evidence reinforces high persistence in the upper-middle of the education ladder, while the latest-wave category detail is too sparse to anchor a time-trend claim.</w:t>
      </w:r>
    </w:p>
    <w:tbl>
      <w:tblPr>
        <w:tblStyle w:val="Table"/>
        <w:tblW w:type="pct" w:w="5000"/>
        <w:tblLayout w:type="fixed"/>
        <w:tblLook w:firstRow="0" w:lastRow="0" w:firstColumn="0" w:lastColumn="0" w:noHBand="0" w:noVBand="0" w:val="0000"/>
      </w:tblPr>
      <w:tblGrid>
        <w:gridCol w:w="7920"/>
      </w:tblGrid>
      <w:tr>
        <w:tc>
          <w:tcPr/>
          <w:bookmarkStart w:id="52" w:name="tbl-transition-structure"/>
          <w:p>
            <w:pPr>
              <w:jc w:val="center"/>
            </w:pPr>
            <w:pPr>
              <w:jc w:val="left"/>
              <w:spacing w:before="200"/>
              <w:pStyle w:val="ImageCaption"/>
            </w:pPr>
            <w:r>
              <w:t xml:space="preserve">Table 3: Transition structure for parental-origin categories with usable cell counts.</w:t>
            </w:r>
          </w:p>
          <w:tbl>
            <w:tblPr>
              <w:tblStyle w:val="Table"/>
              <w:tblW w:type="pct" w:w="5000"/>
              <w:tblLayout w:type="fixed"/>
              <w:tblLook w:firstRow="1" w:lastRow="0" w:firstColumn="0" w:lastColumn="0" w:noHBand="0" w:noVBand="0" w:val="0020"/>
            </w:tblPr>
            <w:tblGrid>
              <w:gridCol w:w="250"/>
              <w:gridCol w:w="416"/>
              <w:gridCol w:w="1333"/>
              <w:gridCol w:w="1083"/>
              <w:gridCol w:w="1750"/>
              <w:gridCol w:w="1750"/>
              <w:gridCol w:w="1333"/>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Parental origin</w:t>
                  </w:r>
                </w:p>
              </w:tc>
              <w:tc>
                <w:tcPr/>
                <w:p>
                  <w:pPr>
                    <w:pStyle w:val="Compact"/>
                    <w:jc w:val="left"/>
                    <w:jc w:val="center"/>
                  </w:pPr>
                  <w:r>
                    <w:t xml:space="preserve">Own: Primary</w:t>
                  </w:r>
                </w:p>
              </w:tc>
              <w:tc>
                <w:tcPr/>
                <w:p>
                  <w:pPr>
                    <w:pStyle w:val="Compact"/>
                    <w:jc w:val="left"/>
                    <w:jc w:val="center"/>
                  </w:pPr>
                  <w:r>
                    <w:t xml:space="preserve">Own: Lower secondary</w:t>
                  </w:r>
                </w:p>
              </w:tc>
              <w:tc>
                <w:tcPr/>
                <w:p>
                  <w:pPr>
                    <w:pStyle w:val="Compact"/>
                    <w:jc w:val="left"/>
                    <w:jc w:val="center"/>
                  </w:pPr>
                  <w:r>
                    <w:t xml:space="preserve">Own: Upper secondary</w:t>
                  </w:r>
                </w:p>
              </w:tc>
              <w:tc>
                <w:tcPr/>
                <w:p>
                  <w:pPr>
                    <w:pStyle w:val="Compact"/>
                    <w:jc w:val="left"/>
                    <w:jc w:val="center"/>
                  </w:pPr>
                  <w:r>
                    <w:t xml:space="preserve">Parent-origin N</w:t>
                  </w:r>
                </w:p>
              </w:tc>
            </w:tr>
            <w:tr>
              <w:tc>
                <w:tcPr/>
                <w:p>
                  <w:pPr>
                    <w:pStyle w:val="Compact"/>
                    <w:jc w:val="left"/>
                    <w:jc w:val="center"/>
                  </w:pPr>
                  <w:r>
                    <w:t xml:space="preserve">2</w:t>
                  </w:r>
                </w:p>
              </w:tc>
              <w:tc>
                <w:tcPr/>
                <w:p>
                  <w:pPr>
                    <w:pStyle w:val="Compact"/>
                    <w:jc w:val="left"/>
                    <w:jc w:val="center"/>
                  </w:pPr>
                  <w:r>
                    <w:t xml:space="preserve">2010</w:t>
                  </w:r>
                </w:p>
              </w:tc>
              <w:tc>
                <w:tcPr/>
                <w:p>
                  <w:pPr>
                    <w:pStyle w:val="Compact"/>
                    <w:jc w:val="left"/>
                    <w:jc w:val="center"/>
                  </w:pPr>
                  <w:r>
                    <w:t xml:space="preserve">Primary</w:t>
                  </w:r>
                </w:p>
              </w:tc>
              <w:tc>
                <w:tcPr/>
                <w:p>
                  <w:pPr>
                    <w:pStyle w:val="Compact"/>
                    <w:jc w:val="left"/>
                    <w:jc w:val="center"/>
                  </w:pPr>
                  <w:r>
                    <w:t xml:space="preserve">3.1 percent</w:t>
                  </w:r>
                </w:p>
              </w:tc>
              <w:tc>
                <w:tcPr/>
                <w:p>
                  <w:pPr>
                    <w:pStyle w:val="Compact"/>
                    <w:jc w:val="left"/>
                    <w:jc w:val="center"/>
                  </w:pPr>
                  <w:r>
                    <w:t xml:space="preserve">22.7 percent</w:t>
                  </w:r>
                </w:p>
              </w:tc>
              <w:tc>
                <w:tcPr/>
                <w:p>
                  <w:pPr>
                    <w:pStyle w:val="Compact"/>
                    <w:jc w:val="left"/>
                    <w:jc w:val="center"/>
                  </w:pPr>
                  <w:r>
                    <w:t xml:space="preserve">74.3 percent</w:t>
                  </w:r>
                </w:p>
              </w:tc>
              <w:tc>
                <w:tcPr/>
                <w:p>
                  <w:pPr>
                    <w:pStyle w:val="Compact"/>
                    <w:jc w:val="left"/>
                    <w:jc w:val="center"/>
                  </w:pPr>
                  <w:r>
                    <w:t xml:space="preserve">42</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Lower secondary</w:t>
                  </w:r>
                </w:p>
              </w:tc>
              <w:tc>
                <w:tcPr/>
                <w:p>
                  <w:pPr>
                    <w:pStyle w:val="Compact"/>
                    <w:jc w:val="left"/>
                    <w:jc w:val="center"/>
                  </w:pPr>
                  <w:r>
                    <w:t xml:space="preserve">0.7 percent</w:t>
                  </w:r>
                </w:p>
              </w:tc>
              <w:tc>
                <w:tcPr/>
                <w:p>
                  <w:pPr>
                    <w:pStyle w:val="Compact"/>
                    <w:jc w:val="left"/>
                    <w:jc w:val="center"/>
                  </w:pPr>
                  <w:r>
                    <w:t xml:space="preserve">29.3 percent</w:t>
                  </w:r>
                </w:p>
              </w:tc>
              <w:tc>
                <w:tcPr/>
                <w:p>
                  <w:pPr>
                    <w:pStyle w:val="Compact"/>
                    <w:jc w:val="left"/>
                    <w:jc w:val="center"/>
                  </w:pPr>
                  <w:r>
                    <w:t xml:space="preserve">70.0 percent</w:t>
                  </w:r>
                </w:p>
              </w:tc>
              <w:tc>
                <w:tcPr/>
                <w:p>
                  <w:pPr>
                    <w:pStyle w:val="Compact"/>
                    <w:jc w:val="left"/>
                    <w:jc w:val="center"/>
                  </w:pPr>
                  <w:r>
                    <w:t xml:space="preserve">198</w:t>
                  </w:r>
                </w:p>
              </w:tc>
            </w:tr>
            <w:tr>
              <w:tc>
                <w:tcPr/>
                <w:p>
                  <w:pPr>
                    <w:pStyle w:val="Compact"/>
                    <w:jc w:val="left"/>
                    <w:jc w:val="center"/>
                  </w:pPr>
                  <w:r>
                    <w:t xml:space="preserve">3</w:t>
                  </w:r>
                </w:p>
              </w:tc>
              <w:tc>
                <w:tcPr/>
                <w:p>
                  <w:pPr>
                    <w:pStyle w:val="Compact"/>
                    <w:jc w:val="left"/>
                    <w:jc w:val="center"/>
                  </w:pPr>
                  <w:r>
                    <w:t xml:space="preserve">2010</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20.6 percent</w:t>
                  </w:r>
                </w:p>
              </w:tc>
              <w:tc>
                <w:tcPr/>
                <w:p>
                  <w:pPr>
                    <w:pStyle w:val="Compact"/>
                    <w:jc w:val="left"/>
                    <w:jc w:val="center"/>
                  </w:pPr>
                  <w:r>
                    <w:t xml:space="preserve">79.4 percent</w:t>
                  </w:r>
                </w:p>
              </w:tc>
              <w:tc>
                <w:tcPr/>
                <w:p>
                  <w:pPr>
                    <w:pStyle w:val="Compact"/>
                    <w:jc w:val="left"/>
                    <w:jc w:val="center"/>
                  </w:pPr>
                  <w:r>
                    <w:t xml:space="preserve">372</w:t>
                  </w:r>
                </w:p>
              </w:tc>
            </w:tr>
            <w:tr>
              <w:tc>
                <w:tcPr/>
                <w:p>
                  <w:pPr>
                    <w:pStyle w:val="Compact"/>
                    <w:jc w:val="left"/>
                    <w:jc w:val="center"/>
                  </w:pPr>
                  <w:r>
                    <w:t xml:space="preserve">5</w:t>
                  </w:r>
                </w:p>
              </w:tc>
              <w:tc>
                <w:tcPr/>
                <w:p>
                  <w:pPr>
                    <w:pStyle w:val="Compact"/>
                    <w:jc w:val="left"/>
                    <w:jc w:val="center"/>
                  </w:pPr>
                  <w:r>
                    <w:t xml:space="preserve">2016</w:t>
                  </w:r>
                </w:p>
              </w:tc>
              <w:tc>
                <w:tcPr/>
                <w:p>
                  <w:pPr>
                    <w:pStyle w:val="Compact"/>
                    <w:jc w:val="left"/>
                    <w:jc w:val="center"/>
                  </w:pPr>
                  <w:r>
                    <w:t xml:space="preserve">Primary</w:t>
                  </w:r>
                </w:p>
              </w:tc>
              <w:tc>
                <w:tcPr/>
                <w:p>
                  <w:pPr>
                    <w:pStyle w:val="Compact"/>
                    <w:jc w:val="left"/>
                    <w:jc w:val="center"/>
                  </w:pPr>
                  <w:r>
                    <w:t xml:space="preserve">NA</w:t>
                  </w:r>
                </w:p>
              </w:tc>
              <w:tc>
                <w:tcPr/>
                <w:p>
                  <w:pPr>
                    <w:pStyle w:val="Compact"/>
                    <w:jc w:val="left"/>
                    <w:jc w:val="center"/>
                  </w:pPr>
                  <w:r>
                    <w:t xml:space="preserve">Suppressed</w:t>
                  </w:r>
                </w:p>
              </w:tc>
              <w:tc>
                <w:tcPr/>
                <w:p>
                  <w:pPr>
                    <w:pStyle w:val="Compact"/>
                    <w:jc w:val="left"/>
                    <w:jc w:val="center"/>
                  </w:pPr>
                  <w:r>
                    <w:t xml:space="preserve">Suppressed</w:t>
                  </w:r>
                </w:p>
              </w:tc>
              <w:tc>
                <w:tcPr/>
                <w:p>
                  <w:pPr>
                    <w:pStyle w:val="Compact"/>
                    <w:jc w:val="left"/>
                    <w:jc w:val="center"/>
                  </w:pPr>
                  <w:r>
                    <w:t xml:space="preserve">26</w:t>
                  </w:r>
                </w:p>
              </w:tc>
            </w:tr>
            <w:tr>
              <w:tc>
                <w:tcPr/>
                <w:p>
                  <w:pPr>
                    <w:pStyle w:val="Compact"/>
                    <w:jc w:val="left"/>
                    <w:jc w:val="center"/>
                  </w:pPr>
                  <w:r>
                    <w:t xml:space="preserve">4</w:t>
                  </w:r>
                </w:p>
              </w:tc>
              <w:tc>
                <w:tcPr/>
                <w:p>
                  <w:pPr>
                    <w:pStyle w:val="Compact"/>
                    <w:jc w:val="left"/>
                    <w:jc w:val="center"/>
                  </w:pPr>
                  <w:r>
                    <w:t xml:space="preserve">2016</w:t>
                  </w:r>
                </w:p>
              </w:tc>
              <w:tc>
                <w:tcPr/>
                <w:p>
                  <w:pPr>
                    <w:pStyle w:val="Compact"/>
                    <w:jc w:val="left"/>
                    <w:jc w:val="center"/>
                  </w:pPr>
                  <w:r>
                    <w:t xml:space="preserve">Lower secondary</w:t>
                  </w:r>
                </w:p>
              </w:tc>
              <w:tc>
                <w:tcPr/>
                <w:p>
                  <w:pPr>
                    <w:pStyle w:val="Compact"/>
                    <w:jc w:val="left"/>
                    <w:jc w:val="center"/>
                  </w:pPr>
                  <w:r>
                    <w:t xml:space="preserve">NA</w:t>
                  </w:r>
                </w:p>
              </w:tc>
              <w:tc>
                <w:tcPr/>
                <w:p>
                  <w:pPr>
                    <w:pStyle w:val="Compact"/>
                    <w:jc w:val="left"/>
                    <w:jc w:val="center"/>
                  </w:pPr>
                  <w:r>
                    <w:t xml:space="preserve">25.7 percent</w:t>
                  </w:r>
                </w:p>
              </w:tc>
              <w:tc>
                <w:tcPr/>
                <w:p>
                  <w:pPr>
                    <w:pStyle w:val="Compact"/>
                    <w:jc w:val="left"/>
                    <w:jc w:val="center"/>
                  </w:pPr>
                  <w:r>
                    <w:t xml:space="preserve">74.3 percent</w:t>
                  </w:r>
                </w:p>
              </w:tc>
              <w:tc>
                <w:tcPr/>
                <w:p>
                  <w:pPr>
                    <w:pStyle w:val="Compact"/>
                    <w:jc w:val="left"/>
                    <w:jc w:val="center"/>
                  </w:pPr>
                  <w:r>
                    <w:t xml:space="preserve">122</w:t>
                  </w:r>
                </w:p>
              </w:tc>
            </w:tr>
            <w:tr>
              <w:tc>
                <w:tcPr/>
                <w:p>
                  <w:pPr>
                    <w:pStyle w:val="Compact"/>
                    <w:jc w:val="left"/>
                    <w:jc w:val="center"/>
                  </w:pPr>
                  <w:r>
                    <w:t xml:space="preserve">6</w:t>
                  </w:r>
                </w:p>
              </w:tc>
              <w:tc>
                <w:tcPr/>
                <w:p>
                  <w:pPr>
                    <w:pStyle w:val="Compact"/>
                    <w:jc w:val="left"/>
                    <w:jc w:val="center"/>
                  </w:pPr>
                  <w:r>
                    <w:t xml:space="preserve">2016</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8.5 percent</w:t>
                  </w:r>
                </w:p>
              </w:tc>
              <w:tc>
                <w:tcPr/>
                <w:p>
                  <w:pPr>
                    <w:pStyle w:val="Compact"/>
                    <w:jc w:val="left"/>
                    <w:jc w:val="center"/>
                  </w:pPr>
                  <w:r>
                    <w:t xml:space="preserve">91.5 percent</w:t>
                  </w:r>
                </w:p>
              </w:tc>
              <w:tc>
                <w:tcPr/>
                <w:p>
                  <w:pPr>
                    <w:pStyle w:val="Compact"/>
                    <w:jc w:val="left"/>
                    <w:jc w:val="center"/>
                  </w:pPr>
                  <w:r>
                    <w:t xml:space="preserve">291</w:t>
                  </w:r>
                </w:p>
              </w:tc>
            </w:tr>
          </w:tbl>
          <w:bookmarkEnd w:id="52"/>
          <w:p/>
        </w:tc>
      </w:tr>
    </w:tbl>
    <w:bookmarkEnd w:id="53"/>
    <w:bookmarkStart w:id="69" w:name="descriptive-heterogeneity"/>
    <w:p>
      <w:pPr>
        <w:pStyle w:val="Heading3"/>
      </w:pPr>
      <w:r>
        <w:t xml:space="preserve">Descriptive Heterogeneity</w:t>
      </w:r>
    </w:p>
    <w:bookmarkStart w:id="58" w:name="cohort-profiles"/>
    <w:p>
      <w:pPr>
        <w:pStyle w:val="Heading4"/>
      </w:pPr>
      <w:r>
        <w:t xml:space="preserve">Cohort Profiles</w:t>
      </w:r>
    </w:p>
    <w:p>
      <w:pPr>
        <w:pStyle w:val="FirstParagraph"/>
      </w:pPr>
      <w:r>
        <w:t xml:space="preserve">Figure</w:t>
      </w:r>
      <w:r>
        <w:t xml:space="preserve"> </w:t>
      </w:r>
      <w:hyperlink w:anchor="fig-cohort-rank-rank">
        <w:r>
          <w:rPr>
            <w:rStyle w:val="Hyperlink"/>
          </w:rPr>
          <w:t xml:space="preserve">Figure 3</w:t>
        </w:r>
      </w:hyperlink>
      <w:r>
        <w:t xml:space="preserve"> </w:t>
      </w:r>
      <w:r>
        <w:t xml:space="preserve">shows that the rank-based persistence gradient differs across cohorts, even though all cohort profiles remain positive. The youngest adult cohort moves from a slope of</w:t>
      </w:r>
      <w:r>
        <w:t xml:space="preserve"> </w:t>
      </w:r>
      <w:r>
        <w:rPr>
          <w:b/>
          <w:bCs/>
        </w:rPr>
        <w:t xml:space="preserve">0.181</w:t>
      </w:r>
      <w:r>
        <w:t xml:space="preserve"> </w:t>
      </w:r>
      <w:r>
        <w:t xml:space="preserve">in 2010 to</w:t>
      </w:r>
      <w:r>
        <w:t xml:space="preserve"> </w:t>
      </w:r>
      <w:r>
        <w:rPr>
          <w:b/>
          <w:bCs/>
        </w:rPr>
        <w:t xml:space="preserve">0.409</w:t>
      </w:r>
      <w:r>
        <w:t xml:space="preserve"> </w:t>
      </w:r>
      <w:r>
        <w:t xml:space="preserve">in 2022-23, while the oldest cohort stays closer to one quarter throughout the period. These are descriptive cross-cohort differences rather than cohort effects identified from a panel.</w:t>
      </w:r>
    </w:p>
    <w:tbl>
      <w:tblPr>
        <w:tblStyle w:val="Table"/>
        <w:tblW w:type="pct" w:w="5000"/>
        <w:tblLayout w:type="fixed"/>
        <w:tblLook w:firstRow="0" w:lastRow="0" w:firstColumn="0" w:lastColumn="0" w:noHBand="0" w:noVBand="0" w:val="0000"/>
      </w:tblPr>
      <w:tblGrid>
        <w:gridCol w:w="7920"/>
      </w:tblGrid>
      <w:tr>
        <w:tc>
          <w:tcPr/>
          <w:bookmarkStart w:id="57" w:name="fig-cohort-rank-rank"/>
          <w:p>
            <w:pPr>
              <w:pStyle w:val="Compact"/>
              <w:jc w:val="center"/>
            </w:pPr>
            <w:r>
              <w:drawing>
                <wp:inline>
                  <wp:extent cx="4620126" cy="3696101"/>
                  <wp:effectExtent b="0" l="0" r="0" t="0"/>
                  <wp:docPr descr="" title="" id="55" name="Picture"/>
                  <a:graphic>
                    <a:graphicData uri="http://schemas.openxmlformats.org/drawingml/2006/picture">
                      <pic:pic>
                        <pic:nvPicPr>
                          <pic:cNvPr descr="00_main_files/figure-docx/fig-cohort-rank-rank-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Rank-rank persistence by cohort and LiTS wave.</w:t>
            </w:r>
          </w:p>
          <w:bookmarkEnd w:id="57"/>
        </w:tc>
      </w:tr>
    </w:tbl>
    <w:p>
      <w:pPr>
        <w:pStyle w:val="BodyText"/>
      </w:pPr>
      <w:r>
        <w:t xml:space="preserve">The main takeaway is that cohort profiles are heterogeneous in levels, but they do not overturn the broader descriptive picture of substantial persistence across all waves.</w:t>
      </w:r>
    </w:p>
    <w:bookmarkEnd w:id="58"/>
    <w:bookmarkStart w:id="63" w:name="regional-variation"/>
    <w:p>
      <w:pPr>
        <w:pStyle w:val="Heading4"/>
      </w:pPr>
      <w:r>
        <w:t xml:space="preserve">Regional Variation</w:t>
      </w:r>
    </w:p>
    <w:p>
      <w:pPr>
        <w:pStyle w:val="FirstParagraph"/>
      </w:pPr>
      <w:r>
        <w:t xml:space="preserve">Regional dispersion is most legible in the rank-based measure, because the 2022 category-based regional outputs are sparse for most origin cells. Figure</w:t>
      </w:r>
      <w:r>
        <w:t xml:space="preserve"> </w:t>
      </w:r>
      <w:hyperlink w:anchor="fig-region-rank-rank">
        <w:r>
          <w:rPr>
            <w:rStyle w:val="Hyperlink"/>
          </w:rPr>
          <w:t xml:space="preserve">Figure 4</w:t>
        </w:r>
      </w:hyperlink>
      <w:r>
        <w:t xml:space="preserve"> </w:t>
      </w:r>
      <w:r>
        <w:t xml:space="preserve">ranks the 2022-23 regional slopes and shows a wide descriptive spread around the national slope of</w:t>
      </w:r>
      <w:r>
        <w:t xml:space="preserve"> </w:t>
      </w:r>
      <w:r>
        <w:rPr>
          <w:b/>
          <w:bCs/>
        </w:rPr>
        <w:t xml:space="preserve">0.350</w:t>
      </w:r>
      <w:r>
        <w:t xml:space="preserve">. The highest observed persistence appears in Andijan region at</w:t>
      </w:r>
      <w:r>
        <w:t xml:space="preserve"> </w:t>
      </w:r>
      <w:r>
        <w:rPr>
          <w:b/>
          <w:bCs/>
        </w:rPr>
        <w:t xml:space="preserve">0.592</w:t>
      </w:r>
      <w:r>
        <w:t xml:space="preserve">, while Surkhandarya region sits at</w:t>
      </w:r>
      <w:r>
        <w:t xml:space="preserve"> </w:t>
      </w:r>
      <w:r>
        <w:rPr>
          <w:b/>
          <w:bCs/>
        </w:rPr>
        <w:t xml:space="preserve">0.124</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region-rank-rank"/>
          <w:p>
            <w:pPr>
              <w:pStyle w:val="Compact"/>
              <w:jc w:val="center"/>
            </w:pPr>
            <w:r>
              <w:drawing>
                <wp:inline>
                  <wp:extent cx="4620126" cy="3696101"/>
                  <wp:effectExtent b="0" l="0" r="0" t="0"/>
                  <wp:docPr descr="" title="" id="60" name="Picture"/>
                  <a:graphic>
                    <a:graphicData uri="http://schemas.openxmlformats.org/drawingml/2006/picture">
                      <pic:pic>
                        <pic:nvPicPr>
                          <pic:cNvPr descr="00_main_files/figure-docx/fig-region-rank-rank-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Regional dispersion in the 2022-23 rank-rank slope.</w:t>
            </w:r>
          </w:p>
          <w:bookmarkEnd w:id="62"/>
        </w:tc>
      </w:tr>
    </w:tbl>
    <w:p>
      <w:pPr>
        <w:pStyle w:val="BodyText"/>
      </w:pPr>
      <w:r>
        <w:t xml:space="preserve">The main takeaway is that regional differences are descriptively large enough to matter for interpretation, even though the paper does not treat them as identified regional effects.</w:t>
      </w:r>
    </w:p>
    <w:bookmarkEnd w:id="63"/>
    <w:bookmarkStart w:id="68" w:name="subgroup-split"/>
    <w:p>
      <w:pPr>
        <w:pStyle w:val="Heading4"/>
      </w:pPr>
      <w:r>
        <w:t xml:space="preserve">Subgroup Split</w:t>
      </w:r>
    </w:p>
    <w:p>
      <w:pPr>
        <w:pStyle w:val="FirstParagraph"/>
      </w:pPr>
      <w:r>
        <w:t xml:space="preserve">Figure</w:t>
      </w:r>
      <w:r>
        <w:t xml:space="preserve"> </w:t>
      </w:r>
      <w:hyperlink w:anchor="fig-upward-urban-rural">
        <w:r>
          <w:rPr>
            <w:rStyle w:val="Hyperlink"/>
          </w:rPr>
          <w:t xml:space="preserve">Figure 5</w:t>
        </w:r>
      </w:hyperlink>
      <w:r>
        <w:t xml:space="preserve"> </w:t>
      </w:r>
      <w:r>
        <w:t xml:space="preserve">brings one existing subgroup visual into the main text. The urban-rural split is worth showing because it connects directly to the paper’s pooled correlates framework, but it should still be read as descriptive because the figure is based on the category-coded upward-mobility rate rather than the paper’s preferred rank-based trend benchmark.</w:t>
      </w:r>
    </w:p>
    <w:p>
      <w:pPr>
        <w:pStyle w:val="BodyText"/>
      </w:pPr>
      <w:r>
        <w:t xml:space="preserve">The companion gender split is not promoted to the main text because the 2022-23 male denominator for category-based upward mobility is only 11, which makes that panel less informative than the urban-rural comparison.</w:t>
      </w:r>
    </w:p>
    <w:tbl>
      <w:tblPr>
        <w:tblStyle w:val="Table"/>
        <w:tblW w:type="pct" w:w="5000"/>
        <w:tblLayout w:type="fixed"/>
        <w:tblLook w:firstRow="0" w:lastRow="0" w:firstColumn="0" w:lastColumn="0" w:noHBand="0" w:noVBand="0" w:val="0000"/>
      </w:tblPr>
      <w:tblGrid>
        <w:gridCol w:w="7920"/>
      </w:tblGrid>
      <w:tr>
        <w:tc>
          <w:tcPr/>
          <w:bookmarkStart w:id="67" w:name="fig-upward-urban-rural"/>
          <w:p>
            <w:pPr>
              <w:pStyle w:val="Compact"/>
              <w:jc w:val="center"/>
            </w:pPr>
            <w:r>
              <w:drawing>
                <wp:inline>
                  <wp:extent cx="5334000" cy="3555999"/>
                  <wp:effectExtent b="0" l="0" r="0" t="0"/>
                  <wp:docPr descr="" title="" id="65" name="Picture"/>
                  <a:graphic>
                    <a:graphicData uri="http://schemas.openxmlformats.org/drawingml/2006/picture">
                      <pic:pic>
                        <pic:nvPicPr>
                          <pic:cNvPr descr="../outputs/figures/tier_a_upward_by_urban_rural.png" id="66" name="Picture"/>
                          <pic:cNvPicPr>
                            <a:picLocks noChangeArrowheads="1" noChangeAspect="1"/>
                          </pic:cNvPicPr>
                        </pic:nvPicPr>
                        <pic:blipFill>
                          <a:blip r:embed="rId64"/>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Upward mobility by urban and rural residence.</w:t>
            </w:r>
          </w:p>
          <w:bookmarkEnd w:id="67"/>
        </w:tc>
      </w:tr>
    </w:tbl>
    <w:p>
      <w:pPr>
        <w:pStyle w:val="BodyText"/>
      </w:pPr>
      <w:r>
        <w:t xml:space="preserve">The main takeaway is that subgroup descriptives are useful for orientation, but the rank-based national series remains the most reliable summary of cross-wave mobility levels.</w:t>
      </w:r>
    </w:p>
    <w:bookmarkEnd w:id="68"/>
    <w:bookmarkEnd w:id="69"/>
    <w:bookmarkEnd w:id="70"/>
    <w:bookmarkStart w:id="76" w:name="correlates-of-educational-mobility"/>
    <w:p>
      <w:pPr>
        <w:pStyle w:val="Heading2"/>
      </w:pPr>
      <w:r>
        <w:t xml:space="preserve">Correlates of Educational Mobility</w:t>
      </w:r>
    </w:p>
    <w:bookmarkStart w:id="71" w:name="pooled-persistence-trend-model"/>
    <w:p>
      <w:pPr>
        <w:pStyle w:val="Heading3"/>
      </w:pPr>
      <w:r>
        <w:t xml:space="preserve">Pooled Persistence-Trend Model</w:t>
      </w:r>
    </w:p>
    <w:p>
      <w:pPr>
        <w:pStyle w:val="FirstParagraph"/>
      </w:pPr>
      <w:r>
        <w:t xml:space="preserve">The pooled rank-based persistence model does not provide precise evidence that persistence changed relative to 2010 once controls and fixed effects are added. The coefficient on parental rank is positive at</w:t>
      </w:r>
      <w:r>
        <w:t xml:space="preserve"> </w:t>
      </w:r>
      <w:r>
        <w:rPr>
          <w:b/>
          <w:bCs/>
        </w:rPr>
        <w:t xml:space="preserve">0.080</w:t>
      </w:r>
      <w:r>
        <w:t xml:space="preserve">, but the interaction terms for 2016 and 2022 relative to 2010 are imprecisely estimated in this specification.</w:t>
      </w:r>
    </w:p>
    <w:p>
      <w:pPr>
        <w:pStyle w:val="BodyText"/>
      </w:pPr>
      <w:r>
        <w:t xml:space="preserve">This result matters for interpretation. The descriptive by-wave rank-rank slopes clearly rise across the three surveys, but once the model adds region, cohort, wave fixed effects, and the selected covariates, the change in persistence over time is estimated less precisely. That suggests that part of the raw trend may reflect shifts in composition or limited power rather than a simple structural break. Descriptive persistence measures rise across waves, but pooled models do not estimate the change precisely.</w:t>
      </w:r>
    </w:p>
    <w:bookmarkEnd w:id="71"/>
    <w:bookmarkStart w:id="72" w:name="attainment-score-model"/>
    <w:p>
      <w:pPr>
        <w:pStyle w:val="Heading3"/>
      </w:pPr>
      <w:r>
        <w:t xml:space="preserve">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0.082</w:t>
      </w:r>
      <w:r>
        <w:t xml:space="preserve"> </w:t>
      </w:r>
      <w:r>
        <w:t xml:space="preserve">and is precisely estimated. This is the clearest correlates result in the paper: better-educated parents are associated with higher educational attainment among adult children even after adding fixed effects and the active covariates.</w:t>
      </w:r>
    </w:p>
    <w:p>
      <w:pPr>
        <w:pStyle w:val="BodyText"/>
      </w:pPr>
      <w:r>
        <w:t xml:space="preserve">Among the covariates, the female coefficient is negative at</w:t>
      </w:r>
      <w:r>
        <w:t xml:space="preserve"> </w:t>
      </w:r>
      <w:r>
        <w:rPr>
          <w:b/>
          <w:bCs/>
        </w:rPr>
        <w:t xml:space="preserve">-0.045</w:t>
      </w:r>
      <w:r>
        <w:t xml:space="preserve">, while the urban coefficient is positive but not estimated precisely. Migration exposure and multigenerational household structure are also imprecisely estimated in this specification. The central correlates result is that parental educational background remains the strongest and most stable predictor in the pooled attainment model.</w:t>
      </w:r>
    </w:p>
    <w:bookmarkEnd w:id="72"/>
    <w:bookmarkStart w:id="73" w:name="upward-mobility-models"/>
    <w:p>
      <w:pPr>
        <w:pStyle w:val="Heading3"/>
      </w:pPr>
      <w:r>
        <w:t xml:space="preserve">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0.974</w:t>
      </w:r>
      <w:r>
        <w:t xml:space="preserve"> </w:t>
      </w:r>
      <w:r>
        <w:t xml:space="preserve">and</w:t>
      </w:r>
      <w:r>
        <w:t xml:space="preserve"> </w:t>
      </w:r>
      <w:r>
        <w:rPr>
          <w:b/>
          <w:bCs/>
        </w:rPr>
        <w:t xml:space="preserve">0.736</w:t>
      </w:r>
      <w:r>
        <w:t xml:space="preserve">, respectively.</w:t>
      </w:r>
    </w:p>
    <w:p>
      <w:pPr>
        <w:pStyle w:val="BodyText"/>
      </w:pPr>
      <w:r>
        <w:t xml:space="preserve">The non-parental covariates in the upward-mobility models are weaker. Urban residence is close to zero, the female coefficient is negative but only modestly estimated, migration exposure is not precise, and multigenerational household structure is positive but not strongly estimated. In substantive terms, the upward-mobility models mostly reflect where households begin in the parental education ladder rather than strong independent roles for the additional covariates.</w:t>
      </w:r>
    </w:p>
    <w:bookmarkEnd w:id="73"/>
    <w:bookmarkStart w:id="75" w:name="heterogeneity-in-persistence"/>
    <w:p>
      <w:pPr>
        <w:pStyle w:val="Heading3"/>
      </w:pPr>
      <w:r>
        <w:t xml:space="preserve">Heterogeneity in Persistence</w:t>
      </w:r>
    </w:p>
    <w:p>
      <w:pPr>
        <w:pStyle w:val="FirstParagraph"/>
      </w:pPr>
      <w:r>
        <w:t xml:space="preserve">The persistence heterogeneity model shows a strong positive association between parental education score and the probability of remaining in the same education category as one’s parents. The coefficient on parental education score is</w:t>
      </w:r>
      <w:r>
        <w:t xml:space="preserve"> </w:t>
      </w:r>
      <w:r>
        <w:rPr>
          <w:b/>
          <w:bCs/>
        </w:rPr>
        <w:t xml:space="preserve">0.512</w:t>
      </w:r>
      <w:r>
        <w:t xml:space="preserve"> </w:t>
      </w:r>
      <w:r>
        <w:t xml:space="preserve">and is precisely estimated.</w:t>
      </w:r>
    </w:p>
    <w:p>
      <w:pPr>
        <w:pStyle w:val="BodyText"/>
      </w:pPr>
      <w:r>
        <w:t xml:space="preserve">There is suggestive heterogeneity by subgroup. The interaction between parent education and urban residence is positive at</w:t>
      </w:r>
      <w:r>
        <w:t xml:space="preserve"> </w:t>
      </w:r>
      <w:r>
        <w:rPr>
          <w:b/>
          <w:bCs/>
        </w:rPr>
        <w:t xml:space="preserve">0.076</w:t>
      </w:r>
      <w:r>
        <w:t xml:space="preserve">, while the interaction between parent education and female is negative at</w:t>
      </w:r>
      <w:r>
        <w:t xml:space="preserve"> </w:t>
      </w:r>
      <w:r>
        <w:rPr>
          <w:b/>
          <w:bCs/>
        </w:rPr>
        <w:t xml:space="preserve">-0.081</w:t>
      </w:r>
      <w:r>
        <w:t xml:space="preserve">. By contrast, the interaction between parent education and the 2022 wave is not precisely estimated.</w:t>
      </w:r>
    </w:p>
    <w:p>
      <w:pPr>
        <w:pStyle w:val="BodyText"/>
      </w:pPr>
      <w:r>
        <w:t xml:space="preserve">A cautious reading is that parental education translates into same-category persistence across the entire sample, but the strength of that translation may vary by subgroup. In this dataset, the strongest subgroup signal points to weaker persistence among women and somewhat stronger persistence in urban settings. The broader result, however, remains the overall persistence gradient by parental education. Table</w:t>
      </w:r>
      <w:r>
        <w:t xml:space="preserve"> </w:t>
      </w:r>
      <w:hyperlink w:anchor="tbl-pooled-correlates">
        <w:r>
          <w:rPr>
            <w:rStyle w:val="Hyperlink"/>
          </w:rPr>
          <w:t xml:space="preserve">Table 4</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74" w:name="tbl-pooled-correlates"/>
          <w:p>
            <w:pPr>
              <w:jc w:val="center"/>
            </w:pPr>
            <w:pPr>
              <w:jc w:val="left"/>
              <w:spacing w:before="200"/>
              <w:pStyle w:val="ImageCaption"/>
            </w:pPr>
            <w:r>
              <w:t xml:space="preserve">Table 4: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0.080</w:t>
                  </w:r>
                </w:p>
              </w:tc>
              <w:tc>
                <w:tcPr/>
                <w:p>
                  <w:pPr>
                    <w:pStyle w:val="Compact"/>
                    <w:jc w:val="left"/>
                    <w:jc w:val="center"/>
                  </w:pPr>
                  <w:r>
                    <w:t xml:space="preserve">0.058</w:t>
                  </w:r>
                </w:p>
              </w:tc>
              <w:tc>
                <w:tcPr/>
                <w:p>
                  <w:pPr>
                    <w:pStyle w:val="Compact"/>
                    <w:jc w:val="left"/>
                    <w:jc w:val="center"/>
                  </w:pPr>
                  <w:r>
                    <w:t xml:space="preserve">0.179</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0.057</w:t>
                  </w:r>
                </w:p>
              </w:tc>
              <w:tc>
                <w:tcPr/>
                <w:p>
                  <w:pPr>
                    <w:pStyle w:val="Compact"/>
                    <w:jc w:val="left"/>
                    <w:jc w:val="center"/>
                  </w:pPr>
                  <w:r>
                    <w:t xml:space="preserve">0.132</w:t>
                  </w:r>
                </w:p>
              </w:tc>
              <w:tc>
                <w:tcPr/>
                <w:p>
                  <w:pPr>
                    <w:pStyle w:val="Compact"/>
                    <w:jc w:val="left"/>
                    <w:jc w:val="center"/>
                  </w:pPr>
                  <w:r>
                    <w:t xml:space="preserve">0.670</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-0.028</w:t>
                  </w:r>
                </w:p>
              </w:tc>
              <w:tc>
                <w:tcPr/>
                <w:p>
                  <w:pPr>
                    <w:pStyle w:val="Compact"/>
                    <w:jc w:val="left"/>
                    <w:jc w:val="center"/>
                  </w:pPr>
                  <w:r>
                    <w:t xml:space="preserve">0.067</w:t>
                  </w:r>
                </w:p>
              </w:tc>
              <w:tc>
                <w:tcPr/>
                <w:p>
                  <w:pPr>
                    <w:pStyle w:val="Compact"/>
                    <w:jc w:val="left"/>
                    <w:jc w:val="center"/>
                  </w:pPr>
                  <w:r>
                    <w:t xml:space="preserve">0.680</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0.082</w:t>
                  </w:r>
                </w:p>
              </w:tc>
              <w:tc>
                <w:tcPr/>
                <w:p>
                  <w:pPr>
                    <w:pStyle w:val="Compact"/>
                    <w:jc w:val="left"/>
                    <w:jc w:val="center"/>
                  </w:pPr>
                  <w:r>
                    <w:t xml:space="preserve">0.024</w:t>
                  </w:r>
                </w:p>
              </w:tc>
              <w:tc>
                <w:tcPr/>
                <w:p>
                  <w:pPr>
                    <w:pStyle w:val="Compact"/>
                    <w:jc w:val="left"/>
                    <w:jc w:val="center"/>
                  </w:pPr>
                  <w:r>
                    <w:t xml:space="preserve">0.002</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-0.045</w:t>
                  </w:r>
                </w:p>
              </w:tc>
              <w:tc>
                <w:tcPr/>
                <w:p>
                  <w:pPr>
                    <w:pStyle w:val="Compact"/>
                    <w:jc w:val="left"/>
                    <w:jc w:val="center"/>
                  </w:pPr>
                  <w:r>
                    <w:t xml:space="preserve">0.020</w:t>
                  </w:r>
                </w:p>
              </w:tc>
              <w:tc>
                <w:tcPr/>
                <w:p>
                  <w:pPr>
                    <w:pStyle w:val="Compact"/>
                    <w:jc w:val="left"/>
                    <w:jc w:val="center"/>
                  </w:pPr>
                  <w:r>
                    <w:t xml:space="preserve">0.034</w:t>
                  </w:r>
                </w:p>
              </w:tc>
            </w:tr>
            <w:tr>
              <w:tc>
                <w:tcPr/>
                <w:p>
                  <w:pPr>
                    <w:pStyle w:val="Compact"/>
                    <w:jc w:val="left"/>
                    <w:jc w:val="center"/>
                  </w:pPr>
                  <w:r>
                    <w:t xml:space="preserve">13</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0.974</w:t>
                  </w:r>
                </w:p>
              </w:tc>
              <w:tc>
                <w:tcPr/>
                <w:p>
                  <w:pPr>
                    <w:pStyle w:val="Compact"/>
                    <w:jc w:val="left"/>
                    <w:jc w:val="center"/>
                  </w:pPr>
                  <w:r>
                    <w:t xml:space="preserve">0.010</w:t>
                  </w:r>
                </w:p>
              </w:tc>
              <w:tc>
                <w:tcPr/>
                <w:p>
                  <w:pPr>
                    <w:pStyle w:val="Compact"/>
                    <w:jc w:val="left"/>
                    <w:jc w:val="center"/>
                  </w:pPr>
                  <w:r>
                    <w:t xml:space="preserve">&lt;0.001</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0.736</w:t>
                  </w:r>
                </w:p>
              </w:tc>
              <w:tc>
                <w:tcPr/>
                <w:p>
                  <w:pPr>
                    <w:pStyle w:val="Compact"/>
                    <w:jc w:val="left"/>
                    <w:jc w:val="center"/>
                  </w:pPr>
                  <w:r>
                    <w:t xml:space="preserve">0.039</w:t>
                  </w:r>
                </w:p>
              </w:tc>
              <w:tc>
                <w:tcPr/>
                <w:p>
                  <w:pPr>
                    <w:pStyle w:val="Compact"/>
                    <w:jc w:val="left"/>
                    <w:jc w:val="center"/>
                  </w:pPr>
                  <w:r>
                    <w:t xml:space="preserve">&lt;0.001</w:t>
                  </w:r>
                </w:p>
              </w:tc>
            </w:tr>
            <w:tr>
              <w:tc>
                <w:tcPr/>
                <w:p>
                  <w:pPr>
                    <w:pStyle w:val="Compact"/>
                    <w:jc w:val="left"/>
                    <w:jc w:val="center"/>
                  </w:pPr>
                  <w:r>
                    <w:t xml:space="preserve">25</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0.512</w:t>
                  </w:r>
                </w:p>
              </w:tc>
              <w:tc>
                <w:tcPr/>
                <w:p>
                  <w:pPr>
                    <w:pStyle w:val="Compact"/>
                    <w:jc w:val="left"/>
                    <w:jc w:val="center"/>
                  </w:pPr>
                  <w:r>
                    <w:t xml:space="preserve">0.035</w:t>
                  </w:r>
                </w:p>
              </w:tc>
              <w:tc>
                <w:tcPr/>
                <w:p>
                  <w:pPr>
                    <w:pStyle w:val="Compact"/>
                    <w:jc w:val="left"/>
                    <w:jc w:val="center"/>
                  </w:pPr>
                  <w:r>
                    <w:t xml:space="preserve">&lt;0.001</w:t>
                  </w:r>
                </w:p>
              </w:tc>
            </w:tr>
            <w:tr>
              <w:tc>
                <w:tcPr/>
                <w:p>
                  <w:pPr>
                    <w:pStyle w:val="Compact"/>
                    <w:jc w:val="left"/>
                    <w:jc w:val="center"/>
                  </w:pPr>
                  <w:r>
                    <w:t xml:space="preserve">30</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0.076</w:t>
                  </w:r>
                </w:p>
              </w:tc>
              <w:tc>
                <w:tcPr/>
                <w:p>
                  <w:pPr>
                    <w:pStyle w:val="Compact"/>
                    <w:jc w:val="left"/>
                    <w:jc w:val="center"/>
                  </w:pPr>
                  <w:r>
                    <w:t xml:space="preserve">0.037</w:t>
                  </w:r>
                </w:p>
              </w:tc>
              <w:tc>
                <w:tcPr/>
                <w:p>
                  <w:pPr>
                    <w:pStyle w:val="Compact"/>
                    <w:jc w:val="left"/>
                    <w:jc w:val="center"/>
                  </w:pPr>
                  <w:r>
                    <w:t xml:space="preserve">0.052</w:t>
                  </w:r>
                </w:p>
              </w:tc>
            </w:tr>
            <w:tr>
              <w:tc>
                <w:tcPr/>
                <w:p>
                  <w:pPr>
                    <w:pStyle w:val="Compact"/>
                    <w:jc w:val="left"/>
                    <w:jc w:val="center"/>
                  </w:pPr>
                  <w:r>
                    <w:t xml:space="preserve">31</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-0.081</w:t>
                  </w:r>
                </w:p>
              </w:tc>
              <w:tc>
                <w:tcPr/>
                <w:p>
                  <w:pPr>
                    <w:pStyle w:val="Compact"/>
                    <w:jc w:val="left"/>
                    <w:jc w:val="center"/>
                  </w:pPr>
                  <w:r>
                    <w:t xml:space="preserve">0.035</w:t>
                  </w:r>
                </w:p>
              </w:tc>
              <w:tc>
                <w:tcPr/>
                <w:p>
                  <w:pPr>
                    <w:pStyle w:val="Compact"/>
                    <w:jc w:val="left"/>
                    <w:jc w:val="center"/>
                  </w:pPr>
                  <w:r>
                    <w:t xml:space="preserve">0.029</w:t>
                  </w:r>
                </w:p>
              </w:tc>
            </w:tr>
          </w:tbl>
          <w:bookmarkEnd w:id="74"/>
          <w:p/>
        </w:tc>
      </w:tr>
    </w:tbl>
    <w:bookmarkEnd w:id="75"/>
    <w:bookmarkEnd w:id="76"/>
    <w:bookmarkStart w:id="80" w:name="bounded-lits-iv-child-module-extension"/>
    <w:p>
      <w:pPr>
        <w:pStyle w:val="Heading2"/>
      </w:pPr>
      <w:r>
        <w:t xml:space="preserve">Bounded LiTS IV Child Module Extension</w:t>
      </w:r>
    </w:p>
    <w:bookmarkStart w:id="78" w:name="sample-and-disruption-profile"/>
    <w:p>
      <w:pPr>
        <w:pStyle w:val="Heading3"/>
      </w:pPr>
      <w:r>
        <w:t xml:space="preserve">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5</w:t>
        </w:r>
      </w:hyperlink>
      <w:r>
        <w:t xml:space="preserve"> </w:t>
      </w:r>
      <w:r>
        <w:t xml:space="preserve">reports the sample flow.</w:t>
      </w:r>
    </w:p>
    <w:p>
      <w:pPr>
        <w:pStyle w:val="BodyText"/>
      </w:pPr>
      <w:r>
        <w:t xml:space="preserve">Within this restricted sample, disruption and household substitution were substantial:</w:t>
      </w:r>
      <w:r>
        <w:t xml:space="preserve"> </w:t>
      </w:r>
      <w:r>
        <w:rPr>
          <w:b/>
          <w:bCs/>
        </w:rPr>
        <w:t xml:space="preserve">78.3 percent</w:t>
      </w:r>
      <w:r>
        <w:t xml:space="preserve"> </w:t>
      </w:r>
      <w:r>
        <w:t xml:space="preserve">report education stoppage during COVID,</w:t>
      </w:r>
      <w:r>
        <w:t xml:space="preserve"> </w:t>
      </w:r>
      <w:r>
        <w:rPr>
          <w:b/>
          <w:bCs/>
        </w:rPr>
        <w:t xml:space="preserve">75.8 percent</w:t>
      </w:r>
      <w:r>
        <w:t xml:space="preserve"> </w:t>
      </w:r>
      <w:r>
        <w:t xml:space="preserve">report at least one remote-learning challenge, and mothers are reported as the learning-support channel in</w:t>
      </w:r>
      <w:r>
        <w:t xml:space="preserve"> </w:t>
      </w:r>
      <w:r>
        <w:rPr>
          <w:b/>
          <w:bCs/>
        </w:rPr>
        <w:t xml:space="preserve">87.0 percent</w:t>
      </w:r>
      <w:r>
        <w:t xml:space="preserve"> </w:t>
      </w:r>
      <w:r>
        <w:t xml:space="preserve">of cases. Additional descriptive splits and the lower-value mechanism details are reported in the technical appendix so that the main text remains focused on the strongest facts.</w:t>
      </w:r>
    </w:p>
    <w:tbl>
      <w:tblPr>
        <w:tblStyle w:val="Table"/>
        <w:tblW w:type="pct" w:w="5000"/>
        <w:tblLayout w:type="fixed"/>
        <w:tblLook w:firstRow="0" w:lastRow="0" w:firstColumn="0" w:lastColumn="0" w:noHBand="0" w:noVBand="0" w:val="0000"/>
      </w:tblPr>
      <w:tblGrid>
        <w:gridCol w:w="7920"/>
      </w:tblGrid>
      <w:tr>
        <w:tc>
          <w:tcPr/>
          <w:bookmarkStart w:id="77" w:name="tbl-modulec-sample"/>
          <w:p>
            <w:pPr>
              <w:jc w:val="center"/>
            </w:pPr>
            <w:pPr>
              <w:jc w:val="left"/>
              <w:spacing w:before="200"/>
              <w:pStyle w:val="ImageCaption"/>
            </w:pPr>
            <w:r>
              <w:t xml:space="preserve">Table 5: LiTS IV child-module sample construction for Uzbekistan.</w:t>
            </w:r>
          </w:p>
          <w:tbl>
            <w:tblPr>
              <w:tblStyle w:val="Table"/>
              <w:tblW w:type="pct" w:w="5000"/>
              <w:tblLayout w:type="fixed"/>
              <w:tblLook w:firstRow="1" w:lastRow="0" w:firstColumn="0" w:lastColumn="0" w:noHBand="0" w:noVBand="0" w:val="0020"/>
            </w:tblPr>
            <w:tblGrid>
              <w:gridCol w:w="7362"/>
              <w:gridCol w:w="557"/>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w:t>
                  </w:r>
                </w:p>
              </w:tc>
            </w:tr>
            <w:tr>
              <w:tc>
                <w:tcPr/>
                <w:p>
                  <w:pPr>
                    <w:pStyle w:val="Compact"/>
                    <w:jc w:val="left"/>
                    <w:jc w:val="center"/>
                  </w:pPr>
                  <w:r>
                    <w:t xml:space="preserve">Respondents with child enrolled pre-COVID (q713 = yes)</w:t>
                  </w:r>
                </w:p>
              </w:tc>
              <w:tc>
                <w:tcPr/>
                <w:p>
                  <w:pPr>
                    <w:pStyle w:val="Compact"/>
                    <w:jc w:val="right"/>
                    <w:jc w:val="center"/>
                  </w:pPr>
                  <w:r>
                    <w:t xml:space="preserve">186</w:t>
                  </w:r>
                </w:p>
              </w:tc>
            </w:tr>
            <w:tr>
              <w:tc>
                <w:tcPr/>
                <w:p>
                  <w:pPr>
                    <w:pStyle w:val="Compact"/>
                    <w:jc w:val="left"/>
                    <w:jc w:val="center"/>
                  </w:pPr>
                  <w:r>
                    <w:t xml:space="preserve">Mechanism sample with non-missing parental schooling</w:t>
                  </w:r>
                </w:p>
              </w:tc>
              <w:tc>
                <w:tcPr/>
                <w:p>
                  <w:pPr>
                    <w:pStyle w:val="Compact"/>
                    <w:jc w:val="right"/>
                    <w:jc w:val="center"/>
                  </w:pPr>
                  <w:r>
                    <w:t xml:space="preserve">183</w:t>
                  </w:r>
                </w:p>
              </w:tc>
            </w:tr>
            <w:tr>
              <w:tc>
                <w:tcPr/>
                <w:p>
                  <w:pPr>
                    <w:pStyle w:val="Compact"/>
                    <w:jc w:val="left"/>
                    <w:jc w:val="center"/>
                  </w:pPr>
                  <w:r>
                    <w:t xml:space="preserve">Parental schooling median threshold (years)</w:t>
                  </w:r>
                </w:p>
              </w:tc>
              <w:tc>
                <w:tcPr/>
                <w:p>
                  <w:pPr>
                    <w:pStyle w:val="Compact"/>
                    <w:jc w:val="right"/>
                    <w:jc w:val="center"/>
                  </w:pPr>
                  <w:r>
                    <w:t xml:space="preserve">12</w:t>
                  </w:r>
                </w:p>
              </w:tc>
            </w:tr>
            <w:tr>
              <w:tc>
                <w:tcPr/>
                <w:p>
                  <w:pPr>
                    <w:pStyle w:val="Compact"/>
                    <w:jc w:val="left"/>
                    <w:jc w:val="center"/>
                  </w:pPr>
                  <w:r>
                    <w:t xml:space="preserve">Baseline low-parent-education group size</w:t>
                  </w:r>
                </w:p>
              </w:tc>
              <w:tc>
                <w:tcPr/>
                <w:p>
                  <w:pPr>
                    <w:pStyle w:val="Compact"/>
                    <w:jc w:val="right"/>
                    <w:jc w:val="center"/>
                  </w:pPr>
                  <w:r>
                    <w:t xml:space="preserve">99</w:t>
                  </w:r>
                </w:p>
              </w:tc>
            </w:tr>
            <w:tr>
              <w:tc>
                <w:tcPr/>
                <w:p>
                  <w:pPr>
                    <w:pStyle w:val="Compact"/>
                    <w:jc w:val="left"/>
                    <w:jc w:val="center"/>
                  </w:pPr>
                  <w:r>
                    <w:t xml:space="preserve">Baseline higher-parent-education group size</w:t>
                  </w:r>
                </w:p>
              </w:tc>
              <w:tc>
                <w:tcPr/>
                <w:p>
                  <w:pPr>
                    <w:pStyle w:val="Compact"/>
                    <w:jc w:val="right"/>
                    <w:jc w:val="center"/>
                  </w:pPr>
                  <w:r>
                    <w:t xml:space="preserve">87</w:t>
                  </w:r>
                </w:p>
              </w:tc>
            </w:tr>
          </w:tbl>
          <w:bookmarkEnd w:id="77"/>
          <w:p/>
        </w:tc>
      </w:tr>
    </w:tbl>
    <w:bookmarkEnd w:id="78"/>
    <w:bookmarkStart w:id="79" w:name="main-regression-takeaway"/>
    <w:p>
      <w:pPr>
        <w:pStyle w:val="Heading3"/>
      </w:pPr>
      <w:r>
        <w:t xml:space="preserve">Main Regression Takeaway</w:t>
      </w:r>
    </w:p>
    <w:p>
      <w:pPr>
        <w:pStyle w:val="FirstParagraph"/>
      </w:pPr>
      <w:r>
        <w:t xml:space="preserve">One regression result deserves emphasis. Low parental education is positively associated with the probability that a child’s education stopped during COVID, with a coefficient of</w:t>
      </w:r>
      <w:r>
        <w:t xml:space="preserve"> </w:t>
      </w:r>
      <w:r>
        <w:rPr>
          <w:b/>
          <w:bCs/>
        </w:rPr>
        <w:t xml:space="preserve">1.040</w:t>
      </w:r>
      <w:r>
        <w:t xml:space="preserve"> </w:t>
      </w:r>
      <w:r>
        <w:t xml:space="preserve">in the stoppage model. This aligns with the descriptive split: the stoppage rate is</w:t>
      </w:r>
      <w:r>
        <w:t xml:space="preserve"> </w:t>
      </w:r>
      <w:r>
        <w:rPr>
          <w:b/>
          <w:bCs/>
        </w:rPr>
        <w:t xml:space="preserve">81.5 percent</w:t>
      </w:r>
      <w:r>
        <w:t xml:space="preserve"> </w:t>
      </w:r>
      <w:r>
        <w:t xml:space="preserve">among children from lower-parent-education households versus</w:t>
      </w:r>
      <w:r>
        <w:t xml:space="preserve"> </w:t>
      </w:r>
      <w:r>
        <w:rPr>
          <w:b/>
          <w:bCs/>
        </w:rPr>
        <w:t xml:space="preserve">74.5 percent</w:t>
      </w:r>
      <w:r>
        <w:t xml:space="preserve"> </w:t>
      </w:r>
      <w:r>
        <w:t xml:space="preserve">among those from higher-parent-education households.</w:t>
      </w:r>
    </w:p>
    <w:p>
      <w:pPr>
        <w:pStyle w:val="BodyText"/>
      </w:pPr>
      <w:r>
        <w:t xml:space="preserve">Beyond this stoppage result, the remaining mechanism regressions are secondary and less precise, so they are reported in the technical appendix rather than emphasized in the main text. Module C therefore contributes bounded descriptive evidence on household vulnerability, not causal evidence on pandemic mechanisms.</w:t>
      </w:r>
    </w:p>
    <w:bookmarkEnd w:id="79"/>
    <w:bookmarkEnd w:id="80"/>
    <w:bookmarkStart w:id="81" w:name="discussion-and-policy-implications"/>
    <w:p>
      <w:pPr>
        <w:pStyle w:val="Heading2"/>
      </w:pPr>
      <w:r>
        <w:t xml:space="preserve">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measures rise across waves, but the pooled models do not estimate the change precisely, so the evidence is stronger on levels than on time trends.</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This suggests that inequality in education is shaped not only by formal access to schools but also by what households can do when schools are disrupted or when learning increasingly depends on home resources.</w:t>
      </w:r>
    </w:p>
    <w:p>
      <w:pPr>
        <w:pStyle w:val="BodyText"/>
      </w:pPr>
      <w:r>
        <w:t xml:space="preserve">These findings imply several policy priorities. The first is to reduce the degree to which educational attainment depends on parental background through earlier remedial support, stronger transitions across schooling stages, and wider access to quality secondary and post-secondary pathways. The second is to address spatial and household bottlenecks directly. Even when the pooled urban coefficient is imprecise, the broader pattern points to local infrastructure, service access, and household support conditions as meaningful constraints on mobility.</w:t>
      </w:r>
    </w:p>
    <w:p>
      <w:pPr>
        <w:pStyle w:val="BodyText"/>
      </w:pPr>
      <w:r>
        <w:t xml:space="preserve">The third priority is to strengthen household support capacity in periods of disruption. The child module shows that digital inclusion is not only a question of nominal internet access, but also of connection quality, device availability, and adults’ ability to help children learn. A related implication is that education policy should recognize mothers’ support burden as a real part of learning continuity rather than assume that home-based adjustment is costless inside the household.</w:t>
      </w:r>
    </w:p>
    <w:bookmarkEnd w:id="81"/>
    <w:bookmarkStart w:id="82" w:name="limitations"/>
    <w:p>
      <w:pPr>
        <w:pStyle w:val="Heading2"/>
      </w:pPr>
      <w:r>
        <w:t xml:space="preserve">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the 2022-23 category-based mobility estimates rely on a much smaller valid denominator than the 2022 rank-based measure. This means the apparent spike in persistence in 2022-23 should be interpreted as suggestive rather than definitive.</w:t>
      </w:r>
    </w:p>
    <w:p>
      <w:pPr>
        <w:pStyle w:val="BodyText"/>
      </w:pPr>
      <w:r>
        <w:t xml:space="preserve">Fourth, the pandemic mechanism module is based on a limited child subsample and is not a causal design. It is useful for describing disruption and support patterns, but it should not be treated as evidence of the causal effect of parental education.</w:t>
      </w:r>
    </w:p>
    <w:p>
      <w:pPr>
        <w:pStyle w:val="BodyText"/>
      </w:pPr>
      <w:r>
        <w:t xml:space="preserve">These limitations do not undermine the central contribution of the paper, but they do shape the appropriate scope of the conclusions.</w:t>
      </w:r>
    </w:p>
    <w:bookmarkEnd w:id="82"/>
    <w:bookmarkStart w:id="83" w:name="conclusion"/>
    <w:p>
      <w:pPr>
        <w:pStyle w:val="Heading2"/>
      </w:pPr>
      <w:r>
        <w:t xml:space="preserve">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measures rise across waves, but the pooled models do not estimate that change precisely enough to support a firm trend claim. Parental education remains the clearest predictor of children’s educational attainment in the pooled correlates models.</w:t>
      </w:r>
    </w:p>
    <w:p>
      <w:pPr>
        <w:pStyle w:val="BodyText"/>
      </w:pPr>
      <w:r>
        <w:t xml:space="preserve">The extension based on the LiTS IV child module shows that pandemic-era learning disruption was widespread and that household support, especially maternal support, was central to learning continuity. Lower parental education appears to be associated with a higher risk that education stopped during COVID, but these patterns should be treated as suggestive due to sample limits.</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83"/>
    <w:bookmarkStart w:id="128" w:name="bibliography"/>
    <w:p>
      <w:pPr>
        <w:pStyle w:val="Heading1"/>
      </w:pPr>
      <w:r>
        <w:t xml:space="preserve">References</w:t>
      </w:r>
    </w:p>
    <w:bookmarkStart w:id="127" w:name="refs"/>
    <w:bookmarkStart w:id="84" w:name="ref-akarcay_polat_2017"/>
    <w:p>
      <w:pPr>
        <w:pStyle w:val="Bibliography"/>
      </w:pPr>
      <w:r>
        <w:t xml:space="preserve">Akarçay-Gürbüz, Asli, and Seher Polat. 2017.</w:t>
      </w:r>
      <w:r>
        <w:t xml:space="preserve"> </w:t>
      </w:r>
      <w:r>
        <w:t xml:space="preserve">“Schooling Opportunities and Intergenerational Educational Mobility in</w:t>
      </w:r>
      <w:r>
        <w:t xml:space="preserve"> </w:t>
      </w:r>
      <w:r>
        <w:t xml:space="preserve">T</w:t>
      </w:r>
      <w:r>
        <w:t xml:space="preserve">urkey.”</w:t>
      </w:r>
      <w:r>
        <w:t xml:space="preserve"> </w:t>
      </w:r>
      <w:r>
        <w:t xml:space="preserve">Working Paper. Piri Reis University; Yildiz Technical University.</w:t>
      </w:r>
    </w:p>
    <w:bookmarkEnd w:id="84"/>
    <w:bookmarkStart w:id="86" w:name="ref-alam_tiwari_2020"/>
    <w:p>
      <w:pPr>
        <w:pStyle w:val="Bibliography"/>
      </w:pPr>
      <w:r>
        <w:t xml:space="preserve">Alam, Andaleeb, and Priyanka Tiwari. 2020.</w:t>
      </w:r>
      <w:r>
        <w:t xml:space="preserve"> </w:t>
      </w:r>
      <w:r>
        <w:t xml:space="preserve">“Putting the</w:t>
      </w:r>
      <w:r>
        <w:t xml:space="preserve"> </w:t>
      </w:r>
      <w:r>
        <w:t xml:space="preserve">‘Learning’</w:t>
      </w:r>
      <w:r>
        <w:t xml:space="preserve"> </w:t>
      </w:r>
      <w:r>
        <w:t xml:space="preserve">Back in Remote Learning.”</w:t>
      </w:r>
      <w:r>
        <w:t xml:space="preserve"> </w:t>
      </w:r>
      <w:r>
        <w:t xml:space="preserve">UNICEF Office of Global Insight; Policy.</w:t>
      </w:r>
      <w:r>
        <w:t xml:space="preserve"> </w:t>
      </w:r>
      <w:hyperlink r:id="rId85">
        <w:r>
          <w:rPr>
            <w:rStyle w:val="Hyperlink"/>
          </w:rPr>
          <w:t xml:space="preserve">https://www.unicef.org/globalinsight/media/1086/file/UNICEF-Global-Insight-remote-learning-issue-brief-2020.pdf</w:t>
        </w:r>
      </w:hyperlink>
      <w:r>
        <w:t xml:space="preserve">.</w:t>
      </w:r>
    </w:p>
    <w:bookmarkEnd w:id="86"/>
    <w:bookmarkStart w:id="88" w:name="ref-aydemir_yazici_2019"/>
    <w:p>
      <w:pPr>
        <w:pStyle w:val="Bibliography"/>
      </w:pPr>
      <w:r>
        <w:t xml:space="preserve">Aydemir, Abdurrahman B., and Huseyin Yazici. 2019.</w:t>
      </w:r>
      <w:r>
        <w:t xml:space="preserve"> </w:t>
      </w:r>
      <w:r>
        <w:t xml:space="preserve">“Intergenerational Education Mobility and the Level of Development: Evidence from</w:t>
      </w:r>
      <w:r>
        <w:t xml:space="preserve"> </w:t>
      </w:r>
      <w:r>
        <w:t xml:space="preserve">T</w:t>
      </w:r>
      <w:r>
        <w:t xml:space="preserve">urkey.”</w:t>
      </w:r>
      <w:r>
        <w:t xml:space="preserve"> </w:t>
      </w:r>
      <w:r>
        <w:rPr>
          <w:i/>
          <w:iCs/>
        </w:rPr>
        <w:t xml:space="preserve">European Economic Review</w:t>
      </w:r>
      <w:r>
        <w:t xml:space="preserve"> </w:t>
      </w:r>
      <w:r>
        <w:t xml:space="preserve">116: 160–85.</w:t>
      </w:r>
      <w:r>
        <w:t xml:space="preserve"> </w:t>
      </w:r>
      <w:hyperlink r:id="rId87">
        <w:r>
          <w:rPr>
            <w:rStyle w:val="Hyperlink"/>
          </w:rPr>
          <w:t xml:space="preserve">https://doi.org/10.1016/j.euroecorev.2019.04.003</w:t>
        </w:r>
      </w:hyperlink>
      <w:r>
        <w:t xml:space="preserve">.</w:t>
      </w:r>
    </w:p>
    <w:bookmarkEnd w:id="88"/>
    <w:bookmarkStart w:id="90" w:name="ref-bruck_esenaliev_2018"/>
    <w:p>
      <w:pPr>
        <w:pStyle w:val="Bibliography"/>
      </w:pPr>
      <w:r>
        <w:t xml:space="preserve">Brück, Tilman, and Damir Esenaliev. 2018.</w:t>
      </w:r>
      <w:r>
        <w:t xml:space="preserve"> </w:t>
      </w:r>
      <w:r>
        <w:t xml:space="preserve">“Post-Socialist Transition and Intergenerational Educational Mobility in</w:t>
      </w:r>
      <w:r>
        <w:t xml:space="preserve"> </w:t>
      </w:r>
      <w:r>
        <w:t xml:space="preserve">K</w:t>
      </w:r>
      <w:r>
        <w:t xml:space="preserve">yrgyzstan.”</w:t>
      </w:r>
      <w:r>
        <w:t xml:space="preserve"> </w:t>
      </w:r>
      <w:r>
        <w:rPr>
          <w:i/>
          <w:iCs/>
        </w:rPr>
        <w:t xml:space="preserve">Economics of Transition</w:t>
      </w:r>
      <w:r>
        <w:t xml:space="preserve"> </w:t>
      </w:r>
      <w:r>
        <w:t xml:space="preserve">26 (1): 61–89.</w:t>
      </w:r>
      <w:r>
        <w:t xml:space="preserve"> </w:t>
      </w:r>
      <w:hyperlink r:id="rId89">
        <w:r>
          <w:rPr>
            <w:rStyle w:val="Hyperlink"/>
          </w:rPr>
          <w:t xml:space="preserve">https://doi.org/10.1111/ecot.12136</w:t>
        </w:r>
      </w:hyperlink>
      <w:r>
        <w:t xml:space="preserve">.</w:t>
      </w:r>
    </w:p>
    <w:bookmarkEnd w:id="90"/>
    <w:bookmarkStart w:id="92" w:name="ref-causa_johansson_2010"/>
    <w:p>
      <w:pPr>
        <w:pStyle w:val="Bibliography"/>
      </w:pPr>
      <w:r>
        <w:t xml:space="preserve">Causa, Orsetta, and Asa Johansson. 2010.</w:t>
      </w:r>
      <w:r>
        <w:t xml:space="preserve"> </w:t>
      </w:r>
      <w:r>
        <w:t xml:space="preserve">“Intergenerational Social Mobility in</w:t>
      </w:r>
      <w:r>
        <w:t xml:space="preserve"> </w:t>
      </w:r>
      <w:r>
        <w:t xml:space="preserve">OECD</w:t>
      </w:r>
      <w:r>
        <w:t xml:space="preserve"> </w:t>
      </w:r>
      <w:r>
        <w:t xml:space="preserve">Countries.”</w:t>
      </w:r>
      <w:r>
        <w:t xml:space="preserve"> </w:t>
      </w:r>
      <w:r>
        <w:t xml:space="preserve">Working Paper 707. OECD Economics Department.</w:t>
      </w:r>
      <w:r>
        <w:t xml:space="preserve"> </w:t>
      </w:r>
      <w:hyperlink r:id="rId91">
        <w:r>
          <w:rPr>
            <w:rStyle w:val="Hyperlink"/>
          </w:rPr>
          <w:t xml:space="preserve">https://doi.org/10.1787/223106258208</w:t>
        </w:r>
      </w:hyperlink>
      <w:r>
        <w:t xml:space="preserve">.</w:t>
      </w:r>
    </w:p>
    <w:bookmarkEnd w:id="92"/>
    <w:bookmarkStart w:id="93" w:name="ref-chevalier_denny_mcmahon_2009"/>
    <w:p>
      <w:pPr>
        <w:pStyle w:val="Bibliography"/>
      </w:pPr>
      <w:r>
        <w:t xml:space="preserve">Chevalier, Arnaud, Kevin Denny, and Dorren McMahon. 2009.</w:t>
      </w:r>
      <w:r>
        <w:t xml:space="preserve"> </w:t>
      </w:r>
      <w:r>
        <w:t xml:space="preserve">“A Multi-Country Study of Inter-Generational Educational Mobility.”</w:t>
      </w:r>
      <w:r>
        <w:t xml:space="preserve"> </w:t>
      </w:r>
      <w:r>
        <w:t xml:space="preserve">In</w:t>
      </w:r>
      <w:r>
        <w:t xml:space="preserve"> </w:t>
      </w:r>
      <w:r>
        <w:rPr>
          <w:i/>
          <w:iCs/>
        </w:rPr>
        <w:t xml:space="preserve">Education and Inequality Across Europe</w:t>
      </w:r>
      <w:r>
        <w:t xml:space="preserve">, edited by Peter Dolton, Rita Asplund, and Erling Barth. Cheltenham: Edward Elgar.</w:t>
      </w:r>
    </w:p>
    <w:bookmarkEnd w:id="93"/>
    <w:bookmarkStart w:id="95" w:name="ref-daniela_etal_2021"/>
    <w:p>
      <w:pPr>
        <w:pStyle w:val="Bibliography"/>
      </w:pPr>
      <w:r>
        <w:t xml:space="preserve">Daniela, Linda, Zanda Rubene, and Arta Rudolfa. 2021.</w:t>
      </w:r>
      <w:r>
        <w:t xml:space="preserve"> </w:t>
      </w:r>
      <w:r>
        <w:t xml:space="preserve">“Parents’ Perspectives on Remote Learning in the Pandemic Context.”</w:t>
      </w:r>
      <w:r>
        <w:t xml:space="preserve"> </w:t>
      </w:r>
      <w:r>
        <w:rPr>
          <w:i/>
          <w:iCs/>
        </w:rPr>
        <w:t xml:space="preserve">Sustainability</w:t>
      </w:r>
      <w:r>
        <w:t xml:space="preserve"> </w:t>
      </w:r>
      <w:r>
        <w:t xml:space="preserve">13 (7): 3640.</w:t>
      </w:r>
      <w:r>
        <w:t xml:space="preserve"> </w:t>
      </w:r>
      <w:hyperlink r:id="rId94">
        <w:r>
          <w:rPr>
            <w:rStyle w:val="Hyperlink"/>
          </w:rPr>
          <w:t xml:space="preserve">https://doi.org/10.3390/su13073640</w:t>
        </w:r>
      </w:hyperlink>
      <w:r>
        <w:t xml:space="preserve">.</w:t>
      </w:r>
    </w:p>
    <w:bookmarkEnd w:id="95"/>
    <w:bookmarkStart w:id="97" w:name="ref-guell_etal_2018"/>
    <w:p>
      <w:pPr>
        <w:pStyle w:val="Bibliography"/>
      </w:pPr>
      <w:r>
        <w:t xml:space="preserve">Guell, Maia, Michele Pellizzari, Giovanni Pica, and Jose V. Rodriguez Mora. 2018.</w:t>
      </w:r>
      <w:r>
        <w:t xml:space="preserve"> </w:t>
      </w:r>
      <w:r>
        <w:t xml:space="preserve">“Correlating Social Mobility and Economic Outcomes.”</w:t>
      </w:r>
      <w:r>
        <w:t xml:space="preserve"> </w:t>
      </w:r>
      <w:r>
        <w:rPr>
          <w:i/>
          <w:iCs/>
        </w:rPr>
        <w:t xml:space="preserve">The Economic Journal</w:t>
      </w:r>
      <w:r>
        <w:t xml:space="preserve"> </w:t>
      </w:r>
      <w:r>
        <w:t xml:space="preserve">128 (612): F353–403.</w:t>
      </w:r>
      <w:r>
        <w:t xml:space="preserve"> </w:t>
      </w:r>
      <w:hyperlink r:id="rId96">
        <w:r>
          <w:rPr>
            <w:rStyle w:val="Hyperlink"/>
          </w:rPr>
          <w:t xml:space="preserve">https://doi.org/10.1111/ecoj.12599</w:t>
        </w:r>
      </w:hyperlink>
      <w:r>
        <w:t xml:space="preserve">.</w:t>
      </w:r>
    </w:p>
    <w:bookmarkEnd w:id="97"/>
    <w:bookmarkStart w:id="99"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r>
        <w:t xml:space="preserve"> </w:t>
      </w:r>
      <w:r>
        <w:rPr>
          <w:i/>
          <w:iCs/>
        </w:rPr>
        <w:t xml:space="preserve">The B.E. Journal of Economic Analysis &amp; Policy</w:t>
      </w:r>
      <w:r>
        <w:t xml:space="preserve"> </w:t>
      </w:r>
      <w:r>
        <w:t xml:space="preserve">7 (2).</w:t>
      </w:r>
      <w:r>
        <w:t xml:space="preserve"> </w:t>
      </w:r>
      <w:hyperlink r:id="rId98">
        <w:r>
          <w:rPr>
            <w:rStyle w:val="Hyperlink"/>
          </w:rPr>
          <w:t xml:space="preserve">https://doi.org/10.2202/1935-1682.1775</w:t>
        </w:r>
      </w:hyperlink>
      <w:r>
        <w:t xml:space="preserve">.</w:t>
      </w:r>
    </w:p>
    <w:bookmarkEnd w:id="99"/>
    <w:bookmarkStart w:id="101" w:name="ref-iqbal_patrinos_2025"/>
    <w:p>
      <w:pPr>
        <w:pStyle w:val="Bibliography"/>
      </w:pPr>
      <w:r>
        <w:t xml:space="preserve">Iqbal, Syedah Aroob, and Harry Anthony Patrinos. 2025.</w:t>
      </w:r>
      <w:r>
        <w:t xml:space="preserve"> </w:t>
      </w:r>
      <w:r>
        <w:t xml:space="preserve">“Learning During the Pandemic: Evidence from</w:t>
      </w:r>
      <w:r>
        <w:t xml:space="preserve"> </w:t>
      </w:r>
      <w:r>
        <w:t xml:space="preserve">U</w:t>
      </w:r>
      <w:r>
        <w:t xml:space="preserve">zbekistan.”</w:t>
      </w:r>
      <w:r>
        <w:t xml:space="preserve"> </w:t>
      </w:r>
      <w:r>
        <w:rPr>
          <w:i/>
          <w:iCs/>
        </w:rPr>
        <w:t xml:space="preserve">Prospects</w:t>
      </w:r>
      <w:r>
        <w:t xml:space="preserve">.</w:t>
      </w:r>
      <w:r>
        <w:t xml:space="preserve"> </w:t>
      </w:r>
      <w:hyperlink r:id="rId100">
        <w:r>
          <w:rPr>
            <w:rStyle w:val="Hyperlink"/>
          </w:rPr>
          <w:t xml:space="preserve">https://doi.org/10.1007/s11125-025-09736-w</w:t>
        </w:r>
      </w:hyperlink>
      <w:r>
        <w:t xml:space="preserve">.</w:t>
      </w:r>
    </w:p>
    <w:bookmarkEnd w:id="101"/>
    <w:bookmarkStart w:id="103" w:name="ref-knopik_etal_2021"/>
    <w:p>
      <w:pPr>
        <w:pStyle w:val="Bibliography"/>
      </w:pPr>
      <w:r>
        <w:t xml:space="preserve">Knopik, Tomasz, Agnieszka Blaszczak, Renata Maksymiuk, and Urszula Oszwa. 2021.</w:t>
      </w:r>
      <w:r>
        <w:t xml:space="preserve"> </w:t>
      </w:r>
      <w:r>
        <w:t xml:space="preserve">“Parental Involvement in Remote Learning During the</w:t>
      </w:r>
      <w:r>
        <w:t xml:space="preserve"> </w:t>
      </w:r>
      <w:r>
        <w:t xml:space="preserve">COVID</w:t>
      </w:r>
      <w:r>
        <w:t xml:space="preserve">-19 Pandemic: Dominant Approaches and Their Diverse Implications.”</w:t>
      </w:r>
      <w:r>
        <w:t xml:space="preserve"> </w:t>
      </w:r>
      <w:r>
        <w:rPr>
          <w:i/>
          <w:iCs/>
        </w:rPr>
        <w:t xml:space="preserve">European Journal of Education</w:t>
      </w:r>
      <w:r>
        <w:t xml:space="preserve"> </w:t>
      </w:r>
      <w:r>
        <w:t xml:space="preserve">56 (4): 623–40.</w:t>
      </w:r>
      <w:r>
        <w:t xml:space="preserve"> </w:t>
      </w:r>
      <w:hyperlink r:id="rId102">
        <w:r>
          <w:rPr>
            <w:rStyle w:val="Hyperlink"/>
          </w:rPr>
          <w:t xml:space="preserve">https://doi.org/10.1111/ejed.12474</w:t>
        </w:r>
      </w:hyperlink>
      <w:r>
        <w:t xml:space="preserve">.</w:t>
      </w:r>
    </w:p>
    <w:bookmarkEnd w:id="103"/>
    <w:bookmarkStart w:id="105" w:name="ref-wb_blog_2020"/>
    <w:p>
      <w:pPr>
        <w:pStyle w:val="Bibliography"/>
      </w:pPr>
      <w:r>
        <w:t xml:space="preserve">Meliboeva, Nodira, Harry Anthony Patrinos, and Janssen Teixeira. 2020.</w:t>
      </w:r>
      <w:r>
        <w:t xml:space="preserve"> </w:t>
      </w:r>
      <w:r>
        <w:t xml:space="preserve">“</w:t>
      </w:r>
      <w:r>
        <w:t xml:space="preserve">Uzbekistan</w:t>
      </w:r>
      <w:r>
        <w:t xml:space="preserve">: A Timely Response on Learning During School Closures.”</w:t>
      </w:r>
      <w:r>
        <w:t xml:space="preserve"> </w:t>
      </w:r>
      <w:hyperlink r:id="rId104">
        <w:r>
          <w:rPr>
            <w:rStyle w:val="Hyperlink"/>
          </w:rPr>
          <w:t xml:space="preserve">https://blogs.worldbank.org/en/europeandcentralasia/uzbekistan-timely-response-learning-during-school-closures</w:t>
        </w:r>
      </w:hyperlink>
      <w:r>
        <w:t xml:space="preserve">.</w:t>
      </w:r>
    </w:p>
    <w:bookmarkEnd w:id="105"/>
    <w:bookmarkStart w:id="107" w:name="ref-munoz_najar_etal_2021"/>
    <w:p>
      <w:pPr>
        <w:pStyle w:val="Bibliography"/>
      </w:pPr>
      <w:r>
        <w:t xml:space="preserve">Muñoz-Najar, Alberto, Alison Gilberto, Amer Hasan, Cristobal Cobo, João Pedro Azevedo, and Maryam Akmal. 2021.</w:t>
      </w:r>
      <w:r>
        <w:t xml:space="preserve"> </w:t>
      </w:r>
      <w:r>
        <w:t xml:space="preserve">“Remote Learning During</w:t>
      </w:r>
      <w:r>
        <w:t xml:space="preserve"> </w:t>
      </w:r>
      <w:r>
        <w:t xml:space="preserve">COVID</w:t>
      </w:r>
      <w:r>
        <w:t xml:space="preserve">-19: Lessons from Today, Principles for Tomorrow.”</w:t>
      </w:r>
      <w:r>
        <w:t xml:space="preserve"> </w:t>
      </w:r>
      <w:r>
        <w:t xml:space="preserve">World Bank.</w:t>
      </w:r>
      <w:r>
        <w:t xml:space="preserve"> </w:t>
      </w:r>
      <w:hyperlink r:id="rId106">
        <w:r>
          <w:rPr>
            <w:rStyle w:val="Hyperlink"/>
          </w:rPr>
          <w:t xml:space="preserve">https://documents.worldbank.org/en/publication/documents-reports/documentdetail/160271637074230077/remote-learning-during-covid-19-lessons-from-today-principles-for-tomorrow</w:t>
        </w:r>
      </w:hyperlink>
      <w:r>
        <w:t xml:space="preserve">.</w:t>
      </w:r>
    </w:p>
    <w:bookmarkEnd w:id="107"/>
    <w:bookmarkStart w:id="109" w:name="ref-neidhoefer_etal_2024"/>
    <w:p>
      <w:pPr>
        <w:pStyle w:val="Bibliography"/>
      </w:pPr>
      <w:r>
        <w:t xml:space="preserve">Neidhöfer, Guido, Matias Ciaschi, Leonardo Gasparini, and Jorge Serrano. 2024.</w:t>
      </w:r>
      <w:r>
        <w:t xml:space="preserve"> </w:t>
      </w:r>
      <w:r>
        <w:t xml:space="preserve">“Social Mobility and Economic Development.”</w:t>
      </w:r>
      <w:r>
        <w:t xml:space="preserve"> </w:t>
      </w:r>
      <w:r>
        <w:rPr>
          <w:i/>
          <w:iCs/>
        </w:rPr>
        <w:t xml:space="preserve">Journal of Economic Growth</w:t>
      </w:r>
      <w:r>
        <w:t xml:space="preserve"> </w:t>
      </w:r>
      <w:r>
        <w:t xml:space="preserve">29 (2): 327–59.</w:t>
      </w:r>
      <w:r>
        <w:t xml:space="preserve"> </w:t>
      </w:r>
      <w:hyperlink r:id="rId108">
        <w:r>
          <w:rPr>
            <w:rStyle w:val="Hyperlink"/>
          </w:rPr>
          <w:t xml:space="preserve">https://doi.org/10.1007/s10887-023-09234-8</w:t>
        </w:r>
      </w:hyperlink>
      <w:r>
        <w:t xml:space="preserve">.</w:t>
      </w:r>
    </w:p>
    <w:bookmarkEnd w:id="109"/>
    <w:bookmarkStart w:id="111" w:name="ref-razzu_wambile_2022"/>
    <w:p>
      <w:pPr>
        <w:pStyle w:val="Bibliography"/>
      </w:pPr>
      <w:r>
        <w:t xml:space="preserve">Razzu, Giovanni, and Ayago Wambile. 2022.</w:t>
      </w:r>
      <w:r>
        <w:t xml:space="preserve"> </w:t>
      </w:r>
      <w:r>
        <w:t xml:space="preserve">“Four Decades of Intergenerational Educational Mobility in Sub-</w:t>
      </w:r>
      <w:r>
        <w:t xml:space="preserve">S</w:t>
      </w:r>
      <w:r>
        <w:t xml:space="preserve">aharan</w:t>
      </w:r>
      <w:r>
        <w:t xml:space="preserve"> </w:t>
      </w:r>
      <w:r>
        <w:t xml:space="preserve">A</w:t>
      </w:r>
      <w:r>
        <w:t xml:space="preserve">frica.”</w:t>
      </w:r>
      <w:r>
        <w:t xml:space="preserve"> </w:t>
      </w:r>
      <w:r>
        <w:rPr>
          <w:i/>
          <w:iCs/>
        </w:rPr>
        <w:t xml:space="preserve">The Journal of Development Studies</w:t>
      </w:r>
      <w:r>
        <w:t xml:space="preserve"> </w:t>
      </w:r>
      <w:r>
        <w:t xml:space="preserve">58 (5): 931–50.</w:t>
      </w:r>
      <w:r>
        <w:t xml:space="preserve"> </w:t>
      </w:r>
      <w:hyperlink r:id="rId110">
        <w:r>
          <w:rPr>
            <w:rStyle w:val="Hyperlink"/>
          </w:rPr>
          <w:t xml:space="preserve">https://doi.org/10.1080/00220388.2021.2008366</w:t>
        </w:r>
      </w:hyperlink>
      <w:r>
        <w:t xml:space="preserve">.</w:t>
      </w:r>
    </w:p>
    <w:bookmarkEnd w:id="111"/>
    <w:bookmarkStart w:id="113" w:name="ref-stromberg_engzell_2025"/>
    <w:p>
      <w:pPr>
        <w:pStyle w:val="Bibliography"/>
      </w:pPr>
      <w:r>
        <w:t xml:space="preserve">Strömberg, Ely, and Per Engzell. 2025.</w:t>
      </w:r>
      <w:r>
        <w:t xml:space="preserve"> </w:t>
      </w:r>
      <w:r>
        <w:t xml:space="preserve">“How Robust Are Country Rankings in Educational Mobility?”</w:t>
      </w:r>
      <w:r>
        <w:t xml:space="preserve"> </w:t>
      </w:r>
      <w:r>
        <w:rPr>
          <w:i/>
          <w:iCs/>
        </w:rPr>
        <w:t xml:space="preserve">Sociological Science</w:t>
      </w:r>
      <w:r>
        <w:t xml:space="preserve"> </w:t>
      </w:r>
      <w:r>
        <w:t xml:space="preserve">12: 891–922.</w:t>
      </w:r>
      <w:r>
        <w:t xml:space="preserve"> </w:t>
      </w:r>
      <w:hyperlink r:id="rId112">
        <w:r>
          <w:rPr>
            <w:rStyle w:val="Hyperlink"/>
          </w:rPr>
          <w:t xml:space="preserve">https://doi.org/10.15195/v12.a36</w:t>
        </w:r>
      </w:hyperlink>
      <w:r>
        <w:t xml:space="preserve">.</w:t>
      </w:r>
    </w:p>
    <w:bookmarkEnd w:id="113"/>
    <w:bookmarkStart w:id="115" w:name="ref-torche_2015"/>
    <w:p>
      <w:pPr>
        <w:pStyle w:val="Bibliography"/>
      </w:pPr>
      <w:r>
        <w:t xml:space="preserve">Torche, Florencia. 2015.</w:t>
      </w:r>
      <w:r>
        <w:t xml:space="preserve"> </w:t>
      </w:r>
      <w:r>
        <w:t xml:space="preserve">“Intergenerational Mobility and Equality of Opportunity.”</w:t>
      </w:r>
      <w:r>
        <w:t xml:space="preserve"> </w:t>
      </w:r>
      <w:r>
        <w:rPr>
          <w:i/>
          <w:iCs/>
        </w:rPr>
        <w:t xml:space="preserve">Archives Europ</w:t>
      </w:r>
      <w:r>
        <w:rPr>
          <w:i/>
          <w:iCs/>
        </w:rPr>
        <w:t xml:space="preserve">é</w:t>
      </w:r>
      <w:r>
        <w:rPr>
          <w:i/>
          <w:iCs/>
        </w:rPr>
        <w:t xml:space="preserve">ennes de Sociologie</w:t>
      </w:r>
      <w:r>
        <w:t xml:space="preserve"> </w:t>
      </w:r>
      <w:r>
        <w:t xml:space="preserve">56 (3): 343–71.</w:t>
      </w:r>
      <w:r>
        <w:t xml:space="preserve"> </w:t>
      </w:r>
      <w:hyperlink r:id="rId114">
        <w:r>
          <w:rPr>
            <w:rStyle w:val="Hyperlink"/>
          </w:rPr>
          <w:t xml:space="preserve">https://doi.org/10.1017/S0003975615000181</w:t>
        </w:r>
      </w:hyperlink>
      <w:r>
        <w:t xml:space="preserve">.</w:t>
      </w:r>
    </w:p>
    <w:bookmarkEnd w:id="115"/>
    <w:bookmarkStart w:id="117" w:name="ref-unicef_sitan_2020"/>
    <w:p>
      <w:pPr>
        <w:pStyle w:val="Bibliography"/>
      </w:pPr>
      <w:r>
        <w:t xml:space="preserve">UNICEF Uzbekistan. 2020.</w:t>
      </w:r>
      <w:r>
        <w:t xml:space="preserve"> </w:t>
      </w:r>
      <w:r>
        <w:t xml:space="preserve">“Situation Analysis of Children in</w:t>
      </w:r>
      <w:r>
        <w:t xml:space="preserve"> </w:t>
      </w:r>
      <w:r>
        <w:t xml:space="preserve">U</w:t>
      </w:r>
      <w:r>
        <w:t xml:space="preserve">zbekistan 2019/2020.”</w:t>
      </w:r>
      <w:r>
        <w:t xml:space="preserve"> </w:t>
      </w:r>
      <w:r>
        <w:t xml:space="preserve">UNICEF Uzbekistan.</w:t>
      </w:r>
      <w:r>
        <w:t xml:space="preserve"> </w:t>
      </w:r>
      <w:hyperlink r:id="rId116">
        <w:r>
          <w:rPr>
            <w:rStyle w:val="Hyperlink"/>
          </w:rPr>
          <w:t xml:space="preserve">https://www.unicef.org/uzbekistan/en/press-releases/unicef-launches-situation-analysis-uzbekistan-children-and-warns-covid-19-pandemic</w:t>
        </w:r>
      </w:hyperlink>
      <w:r>
        <w:t xml:space="preserve">.</w:t>
      </w:r>
    </w:p>
    <w:bookmarkEnd w:id="117"/>
    <w:bookmarkStart w:id="119" w:name="ref-unicef_sitan_2024"/>
    <w:p>
      <w:pPr>
        <w:pStyle w:val="Bibliography"/>
      </w:pPr>
      <w:r>
        <w:t xml:space="preserve">———.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118">
        <w:r>
          <w:rPr>
            <w:rStyle w:val="Hyperlink"/>
          </w:rPr>
          <w:t xml:space="preserve">https://www.unicef.org/uzbekistan/en/reports/situation-analysis-children-and-adolescents-uzbekistan</w:t>
        </w:r>
      </w:hyperlink>
      <w:r>
        <w:t xml:space="preserve">.</w:t>
      </w:r>
    </w:p>
    <w:bookmarkEnd w:id="119"/>
    <w:bookmarkStart w:id="120" w:name="ref-verashchagina_2012"/>
    <w:p>
      <w:pPr>
        <w:pStyle w:val="Bibliography"/>
      </w:pPr>
      <w:r>
        <w:t xml:space="preserve">Verashchagina, Alina. 2012.</w:t>
      </w:r>
      <w:r>
        <w:t xml:space="preserve"> </w:t>
      </w:r>
      <w:r>
        <w:t xml:space="preserve">“Education and Socioeconomic Mobility in Post-Communist Countries.”</w:t>
      </w:r>
      <w:r>
        <w:t xml:space="preserve"> </w:t>
      </w:r>
      <w:r>
        <w:t xml:space="preserve">In</w:t>
      </w:r>
      <w:r>
        <w:t xml:space="preserve"> </w:t>
      </w:r>
      <w:r>
        <w:rPr>
          <w:i/>
          <w:iCs/>
        </w:rPr>
        <w:t xml:space="preserve">Social Exclusion: Short and Long-Term Causes and Consequences</w:t>
      </w:r>
      <w:r>
        <w:t xml:space="preserve">, edited by Giuliana Parodi and Dario Sciulli. AIEL Series in Labour Economics. Heidelberg: Springer.</w:t>
      </w:r>
    </w:p>
    <w:bookmarkEnd w:id="120"/>
    <w:bookmarkStart w:id="122"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r>
        <w:t xml:space="preserve"> </w:t>
      </w:r>
      <w:r>
        <w:rPr>
          <w:i/>
          <w:iCs/>
        </w:rPr>
        <w:t xml:space="preserve">Journal of Development Economics</w:t>
      </w:r>
      <w:r>
        <w:t xml:space="preserve"> </w:t>
      </w:r>
      <w:r>
        <w:t xml:space="preserve">166: 103167.</w:t>
      </w:r>
      <w:r>
        <w:t xml:space="preserve"> </w:t>
      </w:r>
      <w:hyperlink r:id="rId121">
        <w:r>
          <w:rPr>
            <w:rStyle w:val="Hyperlink"/>
          </w:rPr>
          <w:t xml:space="preserve">https://doi.org/10.1016/j.jdeveco.2023.103167</w:t>
        </w:r>
      </w:hyperlink>
      <w:r>
        <w:t xml:space="preserve">.</w:t>
      </w:r>
    </w:p>
    <w:bookmarkEnd w:id="122"/>
    <w:bookmarkStart w:id="124" w:name="ref-wb_uzb_2018"/>
    <w:p>
      <w:pPr>
        <w:pStyle w:val="Bibliography"/>
      </w:pPr>
      <w:r>
        <w:t xml:space="preserve">World Bank. 2018.</w:t>
      </w:r>
      <w:r>
        <w:t xml:space="preserve"> </w:t>
      </w:r>
      <w:r>
        <w:t xml:space="preserve">“Uzbekistan Education Sector Analysis.”</w:t>
      </w:r>
      <w:r>
        <w:t xml:space="preserve"> </w:t>
      </w:r>
      <w:r>
        <w:t xml:space="preserve">AUS0000586. World Bank.</w:t>
      </w:r>
      <w:r>
        <w:t xml:space="preserve"> </w:t>
      </w:r>
      <w:hyperlink r:id="rId123">
        <w:r>
          <w:rPr>
            <w:rStyle w:val="Hyperlink"/>
          </w:rPr>
          <w:t xml:space="preserve">https://documents.worldbank.org/en/publication/documents-reports/documentdetail/648681587857648494/uzbekistan-education-sector-analysis-final-report</w:t>
        </w:r>
      </w:hyperlink>
      <w:r>
        <w:t xml:space="preserve">.</w:t>
      </w:r>
    </w:p>
    <w:bookmarkEnd w:id="124"/>
    <w:bookmarkStart w:id="126"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125">
        <w:r>
          <w:rPr>
            <w:rStyle w:val="Hyperlink"/>
          </w:rPr>
          <w:t xml:space="preserve">https://thedocs.worldbank.org/en/doc/752717e92c8ad1476bc6cb007bae8f1a-0080012024/original/uz-country-gender-assessment-2024-uz-pdf.pdf</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104" Target="https://blogs.worldbank.org/en/europeandcentralasia/uzbekistan-timely-response-learning-during-school-closures" TargetMode="External" /><Relationship Type="http://schemas.openxmlformats.org/officeDocument/2006/relationships/hyperlink" Id="rId106" Target="https://documents.worldbank.org/en/publication/documents-reports/documentdetail/160271637074230077/remote-learning-during-covid-19-lessons-from-today-principles-for-tomorrow" TargetMode="External" /><Relationship Type="http://schemas.openxmlformats.org/officeDocument/2006/relationships/hyperlink" Id="rId123" Target="https://documents.worldbank.org/en/publication/documents-reports/documentdetail/648681587857648494/uzbekistan-education-sector-analysis-final-report" TargetMode="External" /><Relationship Type="http://schemas.openxmlformats.org/officeDocument/2006/relationships/hyperlink" Id="rId108" Target="https://doi.org/10.1007/s10887-023-09234-8" TargetMode="External" /><Relationship Type="http://schemas.openxmlformats.org/officeDocument/2006/relationships/hyperlink" Id="rId100" Target="https://doi.org/10.1007/s11125-025-09736-w" TargetMode="External" /><Relationship Type="http://schemas.openxmlformats.org/officeDocument/2006/relationships/hyperlink" Id="rId87" Target="https://doi.org/10.1016/j.euroecorev.2019.04.003" TargetMode="External" /><Relationship Type="http://schemas.openxmlformats.org/officeDocument/2006/relationships/hyperlink" Id="rId121" Target="https://doi.org/10.1016/j.jdeveco.2023.103167" TargetMode="External" /><Relationship Type="http://schemas.openxmlformats.org/officeDocument/2006/relationships/hyperlink" Id="rId114" Target="https://doi.org/10.1017/S0003975615000181" TargetMode="External" /><Relationship Type="http://schemas.openxmlformats.org/officeDocument/2006/relationships/hyperlink" Id="rId110" Target="https://doi.org/10.1080/00220388.2021.2008366" TargetMode="External" /><Relationship Type="http://schemas.openxmlformats.org/officeDocument/2006/relationships/hyperlink" Id="rId96" Target="https://doi.org/10.1111/ecoj.12599" TargetMode="External" /><Relationship Type="http://schemas.openxmlformats.org/officeDocument/2006/relationships/hyperlink" Id="rId89" Target="https://doi.org/10.1111/ecot.12136" TargetMode="External" /><Relationship Type="http://schemas.openxmlformats.org/officeDocument/2006/relationships/hyperlink" Id="rId102" Target="https://doi.org/10.1111/ejed.12474" TargetMode="External" /><Relationship Type="http://schemas.openxmlformats.org/officeDocument/2006/relationships/hyperlink" Id="rId112" Target="https://doi.org/10.15195/v12.a36" TargetMode="External" /><Relationship Type="http://schemas.openxmlformats.org/officeDocument/2006/relationships/hyperlink" Id="rId91" Target="https://doi.org/10.1787/223106258208" TargetMode="External" /><Relationship Type="http://schemas.openxmlformats.org/officeDocument/2006/relationships/hyperlink" Id="rId98" Target="https://doi.org/10.2202/1935-1682.1775" TargetMode="External" /><Relationship Type="http://schemas.openxmlformats.org/officeDocument/2006/relationships/hyperlink" Id="rId94" Target="https://doi.org/10.3390/su13073640" TargetMode="External" /><Relationship Type="http://schemas.openxmlformats.org/officeDocument/2006/relationships/hyperlink" Id="rId125" Target="https://thedocs.worldbank.org/en/doc/752717e92c8ad1476bc6cb007bae8f1a-0080012024/original/uz-country-gender-assessment-2024-uz-pdf.pdf" TargetMode="External" /><Relationship Type="http://schemas.openxmlformats.org/officeDocument/2006/relationships/hyperlink" Id="rId85" Target="https://www.unicef.org/globalinsight/media/1086/file/UNICEF-Global-Insight-remote-learning-issue-brief-2020.pdf" TargetMode="External" /><Relationship Type="http://schemas.openxmlformats.org/officeDocument/2006/relationships/hyperlink" Id="rId116" Target="https://www.unicef.org/uzbekistan/en/press-releases/unicef-launches-situation-analysis-uzbekistan-children-and-warns-covid-19-pandemic" TargetMode="External" /><Relationship Type="http://schemas.openxmlformats.org/officeDocument/2006/relationships/hyperlink" Id="rId118"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104" Target="https://blogs.worldbank.org/en/europeandcentralasia/uzbekistan-timely-response-learning-during-school-closures" TargetMode="External" /><Relationship Type="http://schemas.openxmlformats.org/officeDocument/2006/relationships/hyperlink" Id="rId106" Target="https://documents.worldbank.org/en/publication/documents-reports/documentdetail/160271637074230077/remote-learning-during-covid-19-lessons-from-today-principles-for-tomorrow" TargetMode="External" /><Relationship Type="http://schemas.openxmlformats.org/officeDocument/2006/relationships/hyperlink" Id="rId123" Target="https://documents.worldbank.org/en/publication/documents-reports/documentdetail/648681587857648494/uzbekistan-education-sector-analysis-final-report" TargetMode="External" /><Relationship Type="http://schemas.openxmlformats.org/officeDocument/2006/relationships/hyperlink" Id="rId108" Target="https://doi.org/10.1007/s10887-023-09234-8" TargetMode="External" /><Relationship Type="http://schemas.openxmlformats.org/officeDocument/2006/relationships/hyperlink" Id="rId100" Target="https://doi.org/10.1007/s11125-025-09736-w" TargetMode="External" /><Relationship Type="http://schemas.openxmlformats.org/officeDocument/2006/relationships/hyperlink" Id="rId87" Target="https://doi.org/10.1016/j.euroecorev.2019.04.003" TargetMode="External" /><Relationship Type="http://schemas.openxmlformats.org/officeDocument/2006/relationships/hyperlink" Id="rId121" Target="https://doi.org/10.1016/j.jdeveco.2023.103167" TargetMode="External" /><Relationship Type="http://schemas.openxmlformats.org/officeDocument/2006/relationships/hyperlink" Id="rId114" Target="https://doi.org/10.1017/S0003975615000181" TargetMode="External" /><Relationship Type="http://schemas.openxmlformats.org/officeDocument/2006/relationships/hyperlink" Id="rId110" Target="https://doi.org/10.1080/00220388.2021.2008366" TargetMode="External" /><Relationship Type="http://schemas.openxmlformats.org/officeDocument/2006/relationships/hyperlink" Id="rId96" Target="https://doi.org/10.1111/ecoj.12599" TargetMode="External" /><Relationship Type="http://schemas.openxmlformats.org/officeDocument/2006/relationships/hyperlink" Id="rId89" Target="https://doi.org/10.1111/ecot.12136" TargetMode="External" /><Relationship Type="http://schemas.openxmlformats.org/officeDocument/2006/relationships/hyperlink" Id="rId102" Target="https://doi.org/10.1111/ejed.12474" TargetMode="External" /><Relationship Type="http://schemas.openxmlformats.org/officeDocument/2006/relationships/hyperlink" Id="rId112" Target="https://doi.org/10.15195/v12.a36" TargetMode="External" /><Relationship Type="http://schemas.openxmlformats.org/officeDocument/2006/relationships/hyperlink" Id="rId91" Target="https://doi.org/10.1787/223106258208" TargetMode="External" /><Relationship Type="http://schemas.openxmlformats.org/officeDocument/2006/relationships/hyperlink" Id="rId98" Target="https://doi.org/10.2202/1935-1682.1775" TargetMode="External" /><Relationship Type="http://schemas.openxmlformats.org/officeDocument/2006/relationships/hyperlink" Id="rId94" Target="https://doi.org/10.3390/su13073640" TargetMode="External" /><Relationship Type="http://schemas.openxmlformats.org/officeDocument/2006/relationships/hyperlink" Id="rId125" Target="https://thedocs.worldbank.org/en/doc/752717e92c8ad1476bc6cb007bae8f1a-0080012024/original/uz-country-gender-assessment-2024-uz-pdf.pdf" TargetMode="External" /><Relationship Type="http://schemas.openxmlformats.org/officeDocument/2006/relationships/hyperlink" Id="rId85" Target="https://www.unicef.org/globalinsight/media/1086/file/UNICEF-Global-Insight-remote-learning-issue-brief-2020.pdf" TargetMode="External" /><Relationship Type="http://schemas.openxmlformats.org/officeDocument/2006/relationships/hyperlink" Id="rId116" Target="https://www.unicef.org/uzbekistan/en/press-releases/unicef-launches-situation-analysis-uzbekistan-children-and-warns-covid-19-pandemic" TargetMode="External" /><Relationship Type="http://schemas.openxmlformats.org/officeDocument/2006/relationships/hyperlink" Id="rId118"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2026-03-27T15:28:01Z</dcterms:created>
  <dcterms:modified xsi:type="dcterms:W3CDTF">2026-03-27T15:28:01Z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2026-03-27</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