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Intergenerational Educational Mobility in Uzbekistan</w:t>
      </w:r>
    </w:p>
    <w:p>
      <w:pPr>
        <w:pStyle w:val="Author"/>
      </w:pPr>
      <w:r>
        <w:t xml:space="preserve">Research Team</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Abstract</w:t>
      </w:r>
    </w:p>
    <w:p>
      <w:pPr>
        <w:pStyle w:val="FirstParagraph"/>
      </w:pPr>
      <w:r>
        <w:t xml:space="preserve">This paper studies intergenerational educational mobility in Uzbekistan using the 2010, 2016, and 2022-23 waves of the Life in Transition Survey (LiTS). It asks how strongly educational attainment is associated across generations, which household and regional characteristics are correlated with mobility, and what the 2022-23 child module suggests about household learning conditions during pandemic disruption.</w:t>
      </w:r>
    </w:p>
    <w:p>
      <w:pPr>
        <w:pStyle w:val="BodyText"/>
      </w:pPr>
      <w:r>
        <w:t xml:space="preserve">The paper’s contribution is a reproducible multi-wave mobility profile built around descriptive and associational evidence. Descriptive rank-based persistence measures rise from 0.133 in 2010 to 0.299 in 2016 and 0.350 in 2022-23, but pooled models do not estimate that change precisely once controls and fixed effects are added. Category-based rates move in the same direction, yet the 2022-23 categorical estimates rely on only 124 valid observations and therefore receive limited interpretive weight. In pooled correlates models, parental education remains the clearest predictor of attainment, while women record somewhat lower attainment scores conditional on controls. The LiTS IV child module suggests widespread disruption and household-based support, and lower parental education is associated with a higher probability that education stopped during COVID, though the child-module evidence remains suggestive because of sample limits.</w:t>
      </w:r>
    </w:p>
    <w:p>
      <w:pPr>
        <w:pStyle w:val="BodyText"/>
      </w:pPr>
      <w:r>
        <w:t xml:space="preserve">The results point to substantial educational persistence and to the importance of household support conditions, but they do not provide precise model-based evidence of a worsening time trend or a causal pandemic mechanism.</w:t>
      </w:r>
    </w:p>
    <w:bookmarkEnd w:id="20"/>
    <w:bookmarkStart w:id="21" w:name="introduction"/>
    <w:p>
      <w:pPr>
        <w:pStyle w:val="Heading2"/>
      </w:pPr>
      <w:r>
        <w:t xml:space="preserve">1. Introduction</w:t>
      </w:r>
    </w:p>
    <w:p>
      <w:pPr>
        <w:pStyle w:val="FirstParagraph"/>
      </w:pPr>
      <w:r>
        <w:t xml:space="preserve">Educational mobility links family background to the allocation of opportunity. When mobility is low, parental education remains a strong predictor of children’s schooling, and the distribution of skills is shaped more by inherited circumstance than by individual potential.</w:t>
      </w:r>
    </w:p>
    <w:p>
      <w:pPr>
        <w:pStyle w:val="BodyText"/>
      </w:pPr>
      <w:r>
        <w:t xml:space="preserve">Uzbekistan is an important setting for this question. The country combines a young population, persistent regional inequality, and a policy agenda centered on human capital and productivity growth. At the same time, market transition, urbanization, higher-education expansion, and digital change have altered both the returns to schooling and the ways households support children’s learning.</w:t>
      </w:r>
    </w:p>
    <w:p>
      <w:pPr>
        <w:pStyle w:val="BodyText"/>
      </w:pPr>
      <w:r>
        <w:t xml:space="preserve">This paper uses LiTS repeated cross-sections from 2010, 2016, and 2022-23 to provide a structured profile of intergenerational educational mobility in Uzbekistan. It makes three contributions. First, it documents national mobility patterns using a locked bundle of measures: a rank-rank slope, upward mobility, downward mobility, and same-category persistence. Second, it estimates pooled correlates models with a disciplined set of household and regional controls. Third, it adds a short LiTS IV child-module extension on pandemic-era disruption and support patterns.</w:t>
      </w:r>
    </w:p>
    <w:p>
      <w:pPr>
        <w:pStyle w:val="BodyText"/>
      </w:pPr>
      <w:r>
        <w:t xml:space="preserve">The claims are intentionally limited by design. Module A is descriptive, Module B is associational, and Module C is a bounded non-causal extension. Descriptive persistence measures rise across waves, but the pooled models do not estimate the change precisely. The paper therefore emphasizes levels, correlates, and household constraints rather than a firm time-trend claim. Section 2 positions the paper in the literature, Section 3 describes the data and measurement choices, Sections 4-7 present the empirical design and results, and Sections 8-10 discuss interpretation, limitations, and conclusion.</w:t>
      </w:r>
    </w:p>
    <w:bookmarkEnd w:id="21"/>
    <w:bookmarkStart w:id="29" w:name="related-literature"/>
    <w:p>
      <w:pPr>
        <w:pStyle w:val="Heading2"/>
      </w:pPr>
      <w:r>
        <w:t xml:space="preserve">2. Related Literature</w:t>
      </w:r>
    </w:p>
    <w:bookmarkStart w:id="22" w:name="comparative-benchmarks"/>
    <w:p>
      <w:pPr>
        <w:pStyle w:val="Heading3"/>
      </w:pPr>
      <w:r>
        <w:t xml:space="preserve">Comparative benchmarks</w:t>
      </w:r>
    </w:p>
    <w:p>
      <w:pPr>
        <w:pStyle w:val="FirstParagraph"/>
      </w:pPr>
      <w:r>
        <w:t xml:space="preserve">The paper sits in the literature on intergenerational educational mobility, which studies how strongly parents’ schooling predicts the schooling eventually attained by adult children. This literature matters for both equity and efficiency: schooling is a major channel through which advantage is transmitted across generations, and it is often measured more comparably than income or wealth in lower- and middle-income settings. Comparative evidence shows that educational persistence remains substantial and varies widely across countries rather than falling uniformly over time. Hertz et al.</w:t>
      </w:r>
      <w:r>
        <w:t xml:space="preserve"> </w:t>
      </w:r>
      <w:r>
        <w:t xml:space="preserve">(</w:t>
      </w:r>
      <w:hyperlink w:anchor="ref-hertz_2008">
        <w:r>
          <w:rPr>
            <w:rStyle w:val="Hyperlink"/>
          </w:rPr>
          <w:t xml:space="preserve">Hertz et al. 2008</w:t>
        </w:r>
      </w:hyperlink>
      <w:r>
        <w:t xml:space="preserve">)</w:t>
      </w:r>
      <w:r>
        <w:t xml:space="preserve"> </w:t>
      </w:r>
      <w:r>
        <w:t xml:space="preserve">document large cross-country differences in parent-child schooling association, and Causa and Johansson</w:t>
      </w:r>
      <w:r>
        <w:t xml:space="preserve"> </w:t>
      </w:r>
      <w:r>
        <w:t xml:space="preserve">(</w:t>
      </w:r>
      <w:hyperlink w:anchor="ref-causa_johansson_2010">
        <w:r>
          <w:rPr>
            <w:rStyle w:val="Hyperlink"/>
          </w:rPr>
          <w:t xml:space="preserve">Causa and Johansson 2010</w:t>
        </w:r>
      </w:hyperlink>
      <w:r>
        <w:t xml:space="preserve">)</w:t>
      </w:r>
      <w:r>
        <w:t xml:space="preserve"> </w:t>
      </w:r>
      <w:r>
        <w:t xml:space="preserve">reach a similar conclusion for OECD settings. The GDIM database assembled by van der Weide et al.</w:t>
      </w:r>
      <w:r>
        <w:t xml:space="preserve"> </w:t>
      </w:r>
      <w:r>
        <w:t xml:space="preserve">(</w:t>
      </w:r>
      <w:hyperlink w:anchor="ref-weide_etal_2024">
        <w:r>
          <w:rPr>
            <w:rStyle w:val="Hyperlink"/>
          </w:rPr>
          <w:t xml:space="preserve">Weide et al. 2024</w:t>
        </w:r>
      </w:hyperlink>
      <w:r>
        <w:t xml:space="preserve">)</w:t>
      </w:r>
      <w:r>
        <w:t xml:space="preserve"> </w:t>
      </w:r>
      <w:r>
        <w:t xml:space="preserve">extends that benchmark to 153 economies and reinforces the value of country-specific evidence where national mobility studies remain thin.</w:t>
      </w:r>
    </w:p>
    <w:bookmarkEnd w:id="22"/>
    <w:bookmarkStart w:id="23" w:name="measure-choice-and-design-discipline"/>
    <w:p>
      <w:pPr>
        <w:pStyle w:val="Heading3"/>
      </w:pPr>
      <w:r>
        <w:t xml:space="preserve">Measure choice and design discipline</w:t>
      </w:r>
    </w:p>
    <w:p>
      <w:pPr>
        <w:pStyle w:val="FirstParagraph"/>
      </w:pPr>
      <w:r>
        <w:t xml:space="preserve">The literature also cautions against relying on a single mobility statistic. Torche</w:t>
      </w:r>
      <w:r>
        <w:t xml:space="preserve"> </w:t>
      </w:r>
      <w:r>
        <w:t xml:space="preserve">(</w:t>
      </w:r>
      <w:hyperlink w:anchor="ref-torche_2015">
        <w:r>
          <w:rPr>
            <w:rStyle w:val="Hyperlink"/>
          </w:rPr>
          <w:t xml:space="preserve">Torche 2015</w:t>
        </w:r>
      </w:hyperlink>
      <w:r>
        <w:t xml:space="preserve">)</w:t>
      </w:r>
      <w:r>
        <w:t xml:space="preserve"> </w:t>
      </w:r>
      <w:r>
        <w:t xml:space="preserve">emphasizes that intergenerational mobility measures are useful descriptors of opportunity structures but should not be treated as complete measures of equality of opportunity. Stromberg and Engzell</w:t>
      </w:r>
      <w:r>
        <w:t xml:space="preserve"> </w:t>
      </w:r>
      <w:r>
        <w:t xml:space="preserve">(</w:t>
      </w:r>
      <w:hyperlink w:anchor="ref-stromberg_engzell_2025">
        <w:r>
          <w:rPr>
            <w:rStyle w:val="Hyperlink"/>
          </w:rPr>
          <w:t xml:space="preserve">Stromberg and Engzell 2025</w:t>
        </w:r>
      </w:hyperlink>
      <w:r>
        <w:t xml:space="preserve">)</w:t>
      </w:r>
      <w:r>
        <w:t xml:space="preserve"> </w:t>
      </w:r>
      <w:r>
        <w:t xml:space="preserve">show that country rankings in educational mobility can move with coding, ranking, and modeling choices. That methodological point maps directly onto this paper’s design. A small locked bundle of measures, centered on a rank-rank slope, directional mobility rates, and same-category persistence, is more credible than a one-metric story, especially when questionnaire wording around parental schooling differs somewhat across LiTS waves.</w:t>
      </w:r>
    </w:p>
    <w:bookmarkEnd w:id="23"/>
    <w:bookmarkStart w:id="24" w:name="Xca6ff8af291edf304bb4bd92ee8fd0dfff33d8f"/>
    <w:p>
      <w:pPr>
        <w:pStyle w:val="Heading3"/>
      </w:pPr>
      <w:r>
        <w:t xml:space="preserve">Transition settings and the Uzbekistan case</w:t>
      </w:r>
    </w:p>
    <w:p>
      <w:pPr>
        <w:pStyle w:val="FirstParagraph"/>
      </w:pPr>
      <w:r>
        <w:t xml:space="preserve">Evidence from transition economies suggests no single post-socialist mobility trajectory. Verashchagina</w:t>
      </w:r>
      <w:r>
        <w:t xml:space="preserve"> </w:t>
      </w:r>
      <w:r>
        <w:t xml:space="preserve">(</w:t>
      </w:r>
      <w:hyperlink w:anchor="ref-verashchagina_2009">
        <w:r>
          <w:rPr>
            <w:rStyle w:val="Hyperlink"/>
          </w:rPr>
          <w:t xml:space="preserve">Verashchagina 2009</w:t>
        </w:r>
      </w:hyperlink>
      <w:r>
        <w:t xml:space="preserve">)</w:t>
      </w:r>
      <w:r>
        <w:t xml:space="preserve"> </w:t>
      </w:r>
      <w:r>
        <w:t xml:space="preserve">shows substantial cross-country variation in educational inheritance across post-communist settings, and Bruck and Esenaliev</w:t>
      </w:r>
      <w:r>
        <w:t xml:space="preserve"> </w:t>
      </w:r>
      <w:r>
        <w:t xml:space="preserve">(</w:t>
      </w:r>
      <w:hyperlink w:anchor="ref-bruck_esenaliev_2018">
        <w:r>
          <w:rPr>
            <w:rStyle w:val="Hyperlink"/>
          </w:rPr>
          <w:t xml:space="preserve">Bruck and Esenaliev 2018</w:t>
        </w:r>
      </w:hyperlink>
      <w:r>
        <w:t xml:space="preserve">)</w:t>
      </w:r>
      <w:r>
        <w:t xml:space="preserve"> </w:t>
      </w:r>
      <w:r>
        <w:t xml:space="preserve">find that Kyrgyzstan maintained relatively high educational mobility through transition. Turkey offers a complementary middle-income comparator: Aydemir and Yazici</w:t>
      </w:r>
      <w:r>
        <w:t xml:space="preserve"> </w:t>
      </w:r>
      <w:r>
        <w:t xml:space="preserve">(</w:t>
      </w:r>
      <w:hyperlink w:anchor="ref-aydemir_yazici_2019">
        <w:r>
          <w:rPr>
            <w:rStyle w:val="Hyperlink"/>
          </w:rPr>
          <w:t xml:space="preserve">Aydemir and Yazici 2019</w:t>
        </w:r>
      </w:hyperlink>
      <w:r>
        <w:t xml:space="preserve">)</w:t>
      </w:r>
      <w:r>
        <w:t xml:space="preserve"> </w:t>
      </w:r>
      <w:r>
        <w:t xml:space="preserve">show strong regional and family-background gradients in educational mobility, while Akarcay-Gurbuz and Polat</w:t>
      </w:r>
      <w:r>
        <w:t xml:space="preserve"> </w:t>
      </w:r>
      <w:r>
        <w:t xml:space="preserve">(</w:t>
      </w:r>
      <w:hyperlink w:anchor="ref-akarcay_polat_2017">
        <w:r>
          <w:rPr>
            <w:rStyle w:val="Hyperlink"/>
          </w:rPr>
          <w:t xml:space="preserve">Akarcay-Gurbuz and Polat 2017</w:t>
        </w:r>
      </w:hyperlink>
      <w:r>
        <w:t xml:space="preserve">)</w:t>
      </w:r>
      <w:r>
        <w:t xml:space="preserve"> </w:t>
      </w:r>
      <w:r>
        <w:t xml:space="preserve">illustrate what a stronger causal design requires by using exogenous provincial variation in schooling opportunities. Together, this literature supports treating Uzbekistan as an under-documented transition case rather than as a setting with a mechanically predictable mobility path.</w:t>
      </w:r>
    </w:p>
    <w:bookmarkEnd w:id="24"/>
    <w:bookmarkStart w:id="25" w:name="uzbekistans-education-context"/>
    <w:p>
      <w:pPr>
        <w:pStyle w:val="Heading3"/>
      </w:pPr>
      <w:r>
        <w:t xml:space="preserve">Uzbekistan’s education context</w:t>
      </w:r>
    </w:p>
    <w:p>
      <w:pPr>
        <w:pStyle w:val="FirstParagraph"/>
      </w:pPr>
      <w:r>
        <w:t xml:space="preserve">Country diagnostics explain why the question matters in Uzbekistan. World Bank</w:t>
      </w:r>
      <w:r>
        <w:t xml:space="preserve"> </w:t>
      </w:r>
      <w:r>
        <w:t xml:space="preserve">(</w:t>
      </w:r>
      <w:hyperlink w:anchor="ref-wb_uzb_2018">
        <w:r>
          <w:rPr>
            <w:rStyle w:val="Hyperlink"/>
          </w:rPr>
          <w:t xml:space="preserve">World Bank 2018</w:t>
        </w:r>
      </w:hyperlink>
      <w:r>
        <w:t xml:space="preserve">)</w:t>
      </w:r>
      <w:r>
        <w:t xml:space="preserve"> </w:t>
      </w:r>
      <w:r>
        <w:t xml:space="preserve">and UNICEF</w:t>
      </w:r>
      <w:r>
        <w:t xml:space="preserve"> </w:t>
      </w:r>
      <w:r>
        <w:t xml:space="preserve">(</w:t>
      </w:r>
      <w:hyperlink w:anchor="ref-unicef_uzb_2021">
        <w:r>
          <w:rPr>
            <w:rStyle w:val="Hyperlink"/>
          </w:rPr>
          <w:t xml:space="preserve">UNICEF 2021</w:t>
        </w:r>
      </w:hyperlink>
      <w:r>
        <w:t xml:space="preserve">)</w:t>
      </w:r>
      <w:r>
        <w:t xml:space="preserve"> </w:t>
      </w:r>
      <w:r>
        <w:t xml:space="preserve">document severe tertiary access constraints before the recent expansion of higher education, while UNICEF</w:t>
      </w:r>
      <w:r>
        <w:t xml:space="preserve"> </w:t>
      </w:r>
      <w:r>
        <w:t xml:space="preserve">(</w:t>
      </w:r>
      <w:hyperlink w:anchor="ref-unicef_sitan_2023">
        <w:r>
          <w:rPr>
            <w:rStyle w:val="Hyperlink"/>
          </w:rPr>
          <w:t xml:space="preserve">UNICEF 2023</w:t>
        </w:r>
      </w:hyperlink>
      <w:r>
        <w:t xml:space="preserve">)</w:t>
      </w:r>
      <w:r>
        <w:t xml:space="preserve"> </w:t>
      </w:r>
      <w:r>
        <w:t xml:space="preserve">and World Bank</w:t>
      </w:r>
      <w:r>
        <w:t xml:space="preserve"> </w:t>
      </w:r>
      <w:r>
        <w:t xml:space="preserve">(</w:t>
      </w:r>
      <w:hyperlink w:anchor="ref-wb_gender_2024">
        <w:r>
          <w:rPr>
            <w:rStyle w:val="Hyperlink"/>
          </w:rPr>
          <w:t xml:space="preserve">World Bank 2024</w:t>
        </w:r>
      </w:hyperlink>
      <w:r>
        <w:t xml:space="preserve">)</w:t>
      </w:r>
      <w:r>
        <w:t xml:space="preserve"> </w:t>
      </w:r>
      <w:r>
        <w:t xml:space="preserve">highlight persistent rural-urban, migration-related, and gendered inequalities in the conditions that shape educational opportunity. These reports do not estimate intergenerational mobility directly. Their value for this paper is to show why parental background, place, and household support are plausible correlates of educational attainment in the Uzbek context.</w:t>
      </w:r>
    </w:p>
    <w:bookmarkEnd w:id="25"/>
    <w:bookmarkStart w:id="26" w:name="Xd9fdc2e2ed07e55d8e78bee43faabf9bce76073"/>
    <w:p>
      <w:pPr>
        <w:pStyle w:val="Heading3"/>
      </w:pPr>
      <w:r>
        <w:t xml:space="preserve">Pandemic background and the bounded role of Module C</w:t>
      </w:r>
    </w:p>
    <w:p>
      <w:pPr>
        <w:pStyle w:val="FirstParagraph"/>
      </w:pPr>
      <w:r>
        <w:t xml:space="preserve">The pandemic literature is relevant only as background for the LiTS IV child-module extension. UNICEF</w:t>
      </w:r>
      <w:r>
        <w:t xml:space="preserve"> </w:t>
      </w:r>
      <w:r>
        <w:t xml:space="preserve">(</w:t>
      </w:r>
      <w:hyperlink w:anchor="ref-unicef_remote_2020">
        <w:r>
          <w:rPr>
            <w:rStyle w:val="Hyperlink"/>
          </w:rPr>
          <w:t xml:space="preserve">UNICEF 2020</w:t>
        </w:r>
      </w:hyperlink>
      <w:r>
        <w:t xml:space="preserve">)</w:t>
      </w:r>
      <w:r>
        <w:t xml:space="preserve"> </w:t>
      </w:r>
      <w:r>
        <w:t xml:space="preserve">and Munoz-Najar et al.</w:t>
      </w:r>
      <w:r>
        <w:t xml:space="preserve"> </w:t>
      </w:r>
      <w:r>
        <w:t xml:space="preserve">(</w:t>
      </w:r>
      <w:hyperlink w:anchor="ref-munoznajar_2021">
        <w:r>
          <w:rPr>
            <w:rStyle w:val="Hyperlink"/>
          </w:rPr>
          <w:t xml:space="preserve">Munoz-Najar et al. 2021</w:t>
        </w:r>
      </w:hyperlink>
      <w:r>
        <w:t xml:space="preserve">)</w:t>
      </w:r>
      <w:r>
        <w:t xml:space="preserve"> </w:t>
      </w:r>
      <w:r>
        <w:t xml:space="preserve">emphasize that remote learning increased the salience of household support, devices, and connectivity. Survey evidence from Latvia and Poland likewise shows that parents absorbed a large share of the home-learning burden during school closures</w:t>
      </w:r>
      <w:r>
        <w:t xml:space="preserve"> </w:t>
      </w:r>
      <w:r>
        <w:t xml:space="preserve">(</w:t>
      </w:r>
      <w:hyperlink w:anchor="ref-daniela_2021">
        <w:r>
          <w:rPr>
            <w:rStyle w:val="Hyperlink"/>
          </w:rPr>
          <w:t xml:space="preserve">Daniela et al. 2021</w:t>
        </w:r>
      </w:hyperlink>
      <w:r>
        <w:t xml:space="preserve">;</w:t>
      </w:r>
      <w:r>
        <w:t xml:space="preserve"> </w:t>
      </w:r>
      <w:hyperlink w:anchor="ref-knopik_2021">
        <w:r>
          <w:rPr>
            <w:rStyle w:val="Hyperlink"/>
          </w:rPr>
          <w:t xml:space="preserve">Knopik et al. 2021</w:t>
        </w:r>
      </w:hyperlink>
      <w:r>
        <w:t xml:space="preserve">)</w:t>
      </w:r>
      <w:r>
        <w:t xml:space="preserve">. For Uzbekistan, Meliboeva, Patrinos, and Teixeira</w:t>
      </w:r>
      <w:r>
        <w:t xml:space="preserve"> </w:t>
      </w:r>
      <w:r>
        <w:t xml:space="preserve">(</w:t>
      </w:r>
      <w:hyperlink w:anchor="ref-wb_blog_2020">
        <w:r>
          <w:rPr>
            <w:rStyle w:val="Hyperlink"/>
          </w:rPr>
          <w:t xml:space="preserve">Meliboeva, Patrinos, and Teixeira 2020</w:t>
        </w:r>
      </w:hyperlink>
      <w:r>
        <w:t xml:space="preserve">)</w:t>
      </w:r>
      <w:r>
        <w:t xml:space="preserve"> </w:t>
      </w:r>
      <w:r>
        <w:t xml:space="preserve">document the early policy response, while Iqbal, Patrinos, and coauthors</w:t>
      </w:r>
      <w:r>
        <w:t xml:space="preserve"> </w:t>
      </w:r>
      <w:r>
        <w:t xml:space="preserve">(</w:t>
      </w:r>
      <w:hyperlink w:anchor="ref-iqbal_patrinos_2025">
        <w:r>
          <w:rPr>
            <w:rStyle w:val="Hyperlink"/>
          </w:rPr>
          <w:t xml:space="preserve">Iqbal, Patrinos, et al. 2025</w:t>
        </w:r>
      </w:hyperlink>
      <w:r>
        <w:t xml:space="preserve">)</w:t>
      </w:r>
      <w:r>
        <w:t xml:space="preserve"> </w:t>
      </w:r>
      <w:r>
        <w:t xml:space="preserve">show that pandemic-era learning outcomes do not reduce to a simple average-loss narrative. This literature justifies a short descriptive extension on disruption and support patterns, not a co-equal pandemic paper.</w:t>
      </w:r>
    </w:p>
    <w:bookmarkEnd w:id="26"/>
    <w:bookmarkStart w:id="27" w:name="positioning-the-paper"/>
    <w:p>
      <w:pPr>
        <w:pStyle w:val="Heading3"/>
      </w:pPr>
      <w:r>
        <w:t xml:space="preserve">Positioning the paper</w:t>
      </w:r>
    </w:p>
    <w:p>
      <w:pPr>
        <w:pStyle w:val="FirstParagraph"/>
      </w:pPr>
      <w:r>
        <w:t xml:space="preserve">The literature therefore supports a narrow contribution. The paper’s most defensible contribution is a transparent multi-wave profile of educational persistence in Uzbekistan using repeated LiTS cross-sections, multiple complementary measures, and explicit limits on interpretation. Modules A and B belong in the descriptive and associational mobility literature; Module C is best read as a bounded, suggestive extension on household conditions during school disruption.</w:t>
      </w:r>
    </w:p>
    <w:bookmarkEnd w:id="27"/>
    <w:bookmarkStart w:id="28" w:name="scope-and-identification-limits"/>
    <w:p>
      <w:pPr>
        <w:pStyle w:val="Heading3"/>
      </w:pPr>
      <w:r>
        <w:t xml:space="preserve">Scope and Identification Limits</w:t>
      </w:r>
    </w:p>
    <w:p>
      <w:pPr>
        <w:pStyle w:val="FirstParagraph"/>
      </w:pPr>
      <w:r>
        <w:t xml:space="preserve">The literature supports a deliberately cautious empirical stance. Mobility statistics describe the strength of intergenerational association, but they do not by themselves identify a complete causal model of equality of opportunity. Torche</w:t>
      </w:r>
      <w:r>
        <w:t xml:space="preserve"> </w:t>
      </w:r>
      <w:r>
        <w:t xml:space="preserve">(</w:t>
      </w:r>
      <w:hyperlink w:anchor="ref-torche_2015">
        <w:r>
          <w:rPr>
            <w:rStyle w:val="Hyperlink"/>
          </w:rPr>
          <w:t xml:space="preserve">Torche 2015</w:t>
        </w:r>
      </w:hyperlink>
      <w:r>
        <w:t xml:space="preserve">)</w:t>
      </w:r>
      <w:r>
        <w:t xml:space="preserve"> </w:t>
      </w:r>
      <w:r>
        <w:t xml:space="preserve">is especially clear on this point, and Stromberg and Engzell</w:t>
      </w:r>
      <w:r>
        <w:t xml:space="preserve"> </w:t>
      </w:r>
      <w:r>
        <w:t xml:space="preserve">(</w:t>
      </w:r>
      <w:hyperlink w:anchor="ref-stromberg_engzell_2025">
        <w:r>
          <w:rPr>
            <w:rStyle w:val="Hyperlink"/>
          </w:rPr>
          <w:t xml:space="preserve">Stromberg and Engzell 2025</w:t>
        </w:r>
      </w:hyperlink>
      <w:r>
        <w:t xml:space="preserve">)</w:t>
      </w:r>
      <w:r>
        <w:t xml:space="preserve"> </w:t>
      </w:r>
      <w:r>
        <w:t xml:space="preserve">reinforce it by showing how sensitive educational mobility rankings can be to measurement choices.</w:t>
      </w:r>
    </w:p>
    <w:p>
      <w:pPr>
        <w:pStyle w:val="BodyText"/>
      </w:pPr>
      <w:r>
        <w:t xml:space="preserve">The core data in this paper are repeated LiTS cross-sections rather than a panel that follows fixed parents and children over time. The design can therefore describe population-level persistence patterns across waves, but it cannot trace within-family change under a stable treatment regime. That distinction matters most for time-trend claims: descriptive persistence measures rise across waves, but the pooled models do not estimate the change precisely.</w:t>
      </w:r>
    </w:p>
    <w:p>
      <w:pPr>
        <w:pStyle w:val="BodyText"/>
      </w:pPr>
      <w:r>
        <w:t xml:space="preserve">The causal mobility literature also shows what stronger identification would require. Akarcay-Gurbuz and Polat</w:t>
      </w:r>
      <w:r>
        <w:t xml:space="preserve"> </w:t>
      </w:r>
      <w:r>
        <w:t xml:space="preserve">(</w:t>
      </w:r>
      <w:hyperlink w:anchor="ref-akarcay_polat_2017">
        <w:r>
          <w:rPr>
            <w:rStyle w:val="Hyperlink"/>
          </w:rPr>
          <w:t xml:space="preserve">Akarcay-Gurbuz and Polat 2017</w:t>
        </w:r>
      </w:hyperlink>
      <w:r>
        <w:t xml:space="preserve">)</w:t>
      </w:r>
      <w:r>
        <w:t xml:space="preserve">, for example, use external provincial variation in schooling opportunity in Turkey. The current Uzbekistan paper does not have comparable region-time policy variation for the main design, so Modules A and B are more credibly framed as descriptive and associational.</w:t>
      </w:r>
    </w:p>
    <w:p>
      <w:pPr>
        <w:pStyle w:val="BodyText"/>
      </w:pPr>
      <w:r>
        <w:t xml:space="preserve">The same logic applies to the pandemic extension. The remote-learning literature strongly motivates attention to household support, devices, and connectivity</w:t>
      </w:r>
      <w:r>
        <w:t xml:space="preserve"> </w:t>
      </w:r>
      <w:r>
        <w:t xml:space="preserve">(</w:t>
      </w:r>
      <w:hyperlink w:anchor="ref-unicef_remote_2020">
        <w:r>
          <w:rPr>
            <w:rStyle w:val="Hyperlink"/>
          </w:rPr>
          <w:t xml:space="preserve">UNICEF 2020</w:t>
        </w:r>
      </w:hyperlink>
      <w:r>
        <w:t xml:space="preserve">;</w:t>
      </w:r>
      <w:r>
        <w:t xml:space="preserve"> </w:t>
      </w:r>
      <w:hyperlink w:anchor="ref-munoznajar_2021">
        <w:r>
          <w:rPr>
            <w:rStyle w:val="Hyperlink"/>
          </w:rPr>
          <w:t xml:space="preserve">Munoz-Najar et al. 2021</w:t>
        </w:r>
      </w:hyperlink>
      <w:r>
        <w:t xml:space="preserve">)</w:t>
      </w:r>
      <w:r>
        <w:t xml:space="preserve">, but the LiTS IV child module remains a small cross-sectional subsample. Module C can show which disruption patterns are associated with parental background, especially around education stoppage, but it cannot separately identify the causal effect of parental education from other correlated household constraints.</w:t>
      </w:r>
    </w:p>
    <w:p>
      <w:pPr>
        <w:pStyle w:val="BodyText"/>
      </w:pPr>
      <w:r>
        <w:t xml:space="preserve">That framing is not only conservative. It is analytically cleaner, and it keeps the paper’s contribution aligned with what the data can actually support.</w:t>
      </w:r>
    </w:p>
    <w:bookmarkEnd w:id="28"/>
    <w:bookmarkEnd w:id="29"/>
    <w:bookmarkStart w:id="35" w:name="data-and-measurement"/>
    <w:p>
      <w:pPr>
        <w:pStyle w:val="Heading2"/>
      </w:pPr>
      <w:r>
        <w:t xml:space="preserve">3. Data and Measurement</w:t>
      </w:r>
    </w:p>
    <w:bookmarkStart w:id="30" w:name="core-data"/>
    <w:p>
      <w:pPr>
        <w:pStyle w:val="Heading3"/>
      </w:pPr>
      <w:r>
        <w:t xml:space="preserve">3.1 Core data</w:t>
      </w:r>
    </w:p>
    <w:p>
      <w:pPr>
        <w:pStyle w:val="FirstParagraph"/>
      </w:pPr>
      <w:r>
        <w:t xml:space="preserve">The main source is the Life in Transition Survey (LiTS) for 2010, 2016, and 2022-23. These repeated cross-sections provide comparable information on respondents’ own education, parental education, age, sex, place of residence, and regional identifiers, which makes them suitable for multi-wave mobility analysis.</w:t>
      </w:r>
    </w:p>
    <w:p>
      <w:pPr>
        <w:pStyle w:val="BodyText"/>
      </w:pPr>
      <w:r>
        <w:t xml:space="preserve">The analytical sample is restricted to respondents aged 25-64 so that own education is largely complete. Cohorts are grouped as 25-34, 35-44, 45-54, and 55-64. Weighted estimates are used throughout, and subgroup outputs are suppressed when the valid cell size is below 30.</w:t>
      </w:r>
    </w:p>
    <w:p>
      <w:pPr>
        <w:pStyle w:val="BodyText"/>
      </w:pPr>
      <w:r>
        <w:t xml:space="preserve">The Household Budget Survey is used only as a supplementary source for context and construct validation, especially around household structure, migration, schooling expenses, tutoring, and internet access. Because direct parent-child linkage in HBS is only partially supported in the current audit, it is not the source of the intergenerational estimates reported here.</w:t>
      </w:r>
    </w:p>
    <w:bookmarkEnd w:id="30"/>
    <w:bookmarkStart w:id="31" w:name="education-measures"/>
    <w:p>
      <w:pPr>
        <w:pStyle w:val="Heading3"/>
      </w:pPr>
      <w:r>
        <w:t xml:space="preserve">3.2 Education measures</w:t>
      </w:r>
    </w:p>
    <w:p>
      <w:pPr>
        <w:pStyle w:val="FirstParagraph"/>
      </w:pPr>
      <w:r>
        <w:t xml:space="preserve">The paper uses two related education measures. Cross-wave parental education harmonization follows a common rule. Within each wave, mothers’ and fathers’ schooling responses are mapped into a shared six-category ladder: no formal education, primary, lower secondary, upper secondary, post-secondary non-tertiary, and tertiary. The harmonized parental measure takes the higher observed parental category. Rank-based measures are then constructed within wave using survey weights, so the rank-rank estimates compare respondents’ and parents’ relative position inside each survey rather than imposing exact equivalence on raw questionnaire categories across waves.</w:t>
      </w:r>
    </w:p>
    <w:p>
      <w:pPr>
        <w:pStyle w:val="BodyText"/>
      </w:pPr>
      <w:r>
        <w:t xml:space="preserve">First, it constructs a harmonized ordered education score from the common categories above. This score supports the categorical mobility measures and the attainment-score regressions.</w:t>
      </w:r>
    </w:p>
    <w:p>
      <w:pPr>
        <w:pStyle w:val="BodyText"/>
      </w:pPr>
      <w:r>
        <w:t xml:space="preserve">Second, it constructs within-wave weighted ranks for respondents’ own schooling and parental schooling. These are used to summarize relative persistence in a way that is less sensitive to small cross-wave differences in questionnaire coding.</w:t>
      </w:r>
    </w:p>
    <w:bookmarkEnd w:id="31"/>
    <w:bookmarkStart w:id="32" w:name="mobility-outcomes"/>
    <w:p>
      <w:pPr>
        <w:pStyle w:val="Heading3"/>
      </w:pPr>
      <w:r>
        <w:t xml:space="preserve">3.3 Mobility outcomes</w:t>
      </w:r>
    </w:p>
    <w:p>
      <w:pPr>
        <w:pStyle w:val="FirstParagraph"/>
      </w:pPr>
      <w:r>
        <w:t xml:space="preserve">The main outcomes are:</w:t>
      </w:r>
    </w:p>
    <w:p>
      <w:pPr>
        <w:pStyle w:val="Compact"/>
        <w:numPr>
          <w:ilvl w:val="0"/>
          <w:numId w:val="1001"/>
        </w:numPr>
      </w:pPr>
      <w:r>
        <w:t xml:space="preserve">Rank-rank slope: the relationship between own education rank and parental education rank within each wave.</w:t>
      </w:r>
    </w:p>
    <w:p>
      <w:pPr>
        <w:pStyle w:val="Compact"/>
        <w:numPr>
          <w:ilvl w:val="0"/>
          <w:numId w:val="1001"/>
        </w:numPr>
      </w:pPr>
      <w:r>
        <w:t xml:space="preserve">Upward mobility: an indicator that own education exceeds parental education.</w:t>
      </w:r>
    </w:p>
    <w:p>
      <w:pPr>
        <w:pStyle w:val="Compact"/>
        <w:numPr>
          <w:ilvl w:val="0"/>
          <w:numId w:val="1001"/>
        </w:numPr>
      </w:pPr>
      <w:r>
        <w:t xml:space="preserve">Downward mobility: an indicator that own education is lower than parental education.</w:t>
      </w:r>
    </w:p>
    <w:p>
      <w:pPr>
        <w:pStyle w:val="Compact"/>
        <w:numPr>
          <w:ilvl w:val="0"/>
          <w:numId w:val="1001"/>
        </w:numPr>
      </w:pPr>
      <w:r>
        <w:t xml:space="preserve">Persistence: an indicator that own education remains at the same category as parental education.</w:t>
      </w:r>
    </w:p>
    <w:p>
      <w:pPr>
        <w:pStyle w:val="FirstParagraph"/>
      </w:pPr>
      <w:r>
        <w:t xml:space="preserve">These measures are reported nationally and, where the denominator permits, by subgroup.</w:t>
      </w:r>
    </w:p>
    <w:bookmarkEnd w:id="32"/>
    <w:bookmarkStart w:id="33" w:name="covariates"/>
    <w:p>
      <w:pPr>
        <w:pStyle w:val="Heading3"/>
      </w:pPr>
      <w:r>
        <w:t xml:space="preserve">3.4 Covariates</w:t>
      </w:r>
    </w:p>
    <w:p>
      <w:pPr>
        <w:pStyle w:val="FirstParagraph"/>
      </w:pPr>
      <w:r>
        <w:t xml:space="preserve">The core covariates in the pooled correlates models are urban residence, female, migration exposure, and multigenerational household structure, with region, cohort, and wave fixed effects. These were selected through the project’s audit and coverage rules and represent the active set of non-core controls in the current design.</w:t>
      </w:r>
    </w:p>
    <w:bookmarkEnd w:id="33"/>
    <w:bookmarkStart w:id="34" w:name="pandemic-mechanism-variables"/>
    <w:p>
      <w:pPr>
        <w:pStyle w:val="Heading3"/>
      </w:pPr>
      <w:r>
        <w:t xml:space="preserve">3.5 Pandemic mechanism variables</w:t>
      </w:r>
    </w:p>
    <w:p>
      <w:pPr>
        <w:pStyle w:val="FirstParagraph"/>
      </w:pPr>
      <w:r>
        <w:t xml:space="preserve">The 2022-23 LiTS child module is used to create descriptive indicators for remote-learning disruption, learning support, and home-learning constraints. These include switching to online learning, switching to hybrid learning, education stopping during COVID, school closure without online learning, shared-device use, support from mother, father, or relatives, and indicators for internet, device, cost, and time-balance challenges.</w:t>
      </w:r>
    </w:p>
    <w:p>
      <w:pPr>
        <w:pStyle w:val="BodyText"/>
      </w:pPr>
      <w:r>
        <w:t xml:space="preserve">The mechanism sample is much smaller than the full LiTS IV sample. The child-module flow is as follows: 1006 Uzbekistan respondents in LiTS IV, 650 with child-module eligibility information, 186 with a child enrolled before COVID, and 183 with non-missing parental schooling. This extension is therefore used to illustrate patterns rather than to support broad generalization.</w:t>
      </w:r>
    </w:p>
    <w:bookmarkEnd w:id="34"/>
    <w:bookmarkEnd w:id="35"/>
    <w:bookmarkStart w:id="39" w:name="empirical-strategy"/>
    <w:p>
      <w:pPr>
        <w:pStyle w:val="Heading2"/>
      </w:pPr>
      <w:r>
        <w:t xml:space="preserve">4. Empirical Strategy</w:t>
      </w:r>
    </w:p>
    <w:p>
      <w:pPr>
        <w:pStyle w:val="FirstParagraph"/>
      </w:pPr>
      <w:r>
        <w:t xml:space="preserve">The empirical strategy has three modules.</w:t>
      </w:r>
    </w:p>
    <w:bookmarkStart w:id="36" w:name="module-a-mobility-levels-and-trends"/>
    <w:p>
      <w:pPr>
        <w:pStyle w:val="Heading3"/>
      </w:pPr>
      <w:r>
        <w:t xml:space="preserve">4.1 Module A: mobility levels and trends</w:t>
      </w:r>
    </w:p>
    <w:p>
      <w:pPr>
        <w:pStyle w:val="FirstParagraph"/>
      </w:pPr>
      <w:r>
        <w:t xml:space="preserve">The first module estimates national mobility levels by wave. The core rank-based specification is:</w:t>
      </w:r>
    </w:p>
    <w:p>
      <w:pPr>
        <w:pStyle w:val="BodyText"/>
      </w:pPr>
      <w:r>
        <w:t xml:space="preserve">[</w:t>
      </w:r>
      <w:r>
        <w:t xml:space="preserve"> </w:t>
      </w:r>
      <w:r>
        <w:t xml:space="preserve">R^{</w:t>
      </w:r>
      <w:r>
        <w:t xml:space="preserve">}_{iw} =</w:t>
      </w:r>
      <w:r>
        <w:t xml:space="preserve"> </w:t>
      </w:r>
      <w:r>
        <w:rPr>
          <w:i/>
          <w:iCs/>
        </w:rPr>
        <w:t xml:space="preserve">w +</w:t>
      </w:r>
      <w:r>
        <w:rPr>
          <w:i/>
          <w:iCs/>
        </w:rPr>
        <w:t xml:space="preserve"> </w:t>
      </w:r>
      <w:r>
        <w:rPr>
          <w:i/>
          <w:i/>
          <w:iCs/>
          <w:iCs/>
        </w:rPr>
        <w:t xml:space="preserve">w R^{</w:t>
      </w:r>
      <w:r>
        <w:rPr>
          <w:i/>
          <w:i/>
          <w:iCs/>
          <w:iCs/>
        </w:rPr>
        <w:t xml:space="preserve">}</w:t>
      </w:r>
      <w:r>
        <w:rPr>
          <w:i/>
          <w:iCs/>
        </w:rPr>
        <w:t xml:space="preserve">{iw} +</w:t>
      </w:r>
      <w:r>
        <w:rPr>
          <w:i/>
          <w:iCs/>
        </w:rPr>
        <w:t xml:space="preserve"> </w:t>
      </w:r>
      <w:r>
        <w:t xml:space="preserve">{iw}</w:t>
      </w:r>
      <w:r>
        <w:t xml:space="preserve"> </w:t>
      </w:r>
      <w:r>
        <w:t xml:space="preserve">]</w:t>
      </w:r>
    </w:p>
    <w:p>
      <w:pPr>
        <w:pStyle w:val="BodyText"/>
      </w:pPr>
      <w:r>
        <w:t xml:space="preserve">where (R^{</w:t>
      </w:r>
      <w:r>
        <w:t xml:space="preserve">}</w:t>
      </w:r>
      <w:r>
        <w:rPr>
          <w:i/>
          <w:iCs/>
        </w:rPr>
        <w:t xml:space="preserve">{iw}) is the respondent’s within-wave education rank and (R^{</w:t>
      </w:r>
      <w:r>
        <w:rPr>
          <w:i/>
          <w:iCs/>
        </w:rPr>
        <w:t xml:space="preserve">}</w:t>
      </w:r>
      <w:r>
        <w:t xml:space="preserve">{iw}) is the parental education rank in wave (w). A larger (</w:t>
      </w:r>
      <w:r>
        <w:t xml:space="preserve">_w) implies greater intergenerational persistence and lower relative mobility.</w:t>
      </w:r>
    </w:p>
    <w:p>
      <w:pPr>
        <w:pStyle w:val="BodyText"/>
      </w:pPr>
      <w:r>
        <w:t xml:space="preserve">The module also reports the weighted rates of upward mobility, downward mobility, and persistence using harmonized education categories.</w:t>
      </w:r>
    </w:p>
    <w:bookmarkEnd w:id="36"/>
    <w:bookmarkStart w:id="37" w:name="module-b-correlates-of-mobility"/>
    <w:p>
      <w:pPr>
        <w:pStyle w:val="Heading3"/>
      </w:pPr>
      <w:r>
        <w:t xml:space="preserve">4.2 Module B: correlates of mobility</w:t>
      </w:r>
    </w:p>
    <w:p>
      <w:pPr>
        <w:pStyle w:val="FirstParagraph"/>
      </w:pPr>
      <w:r>
        <w:t xml:space="preserve">The second module estimates pooled correlates models with region, cohort, and wave fixed effects. The baseline pooled rank specification is:</w:t>
      </w:r>
    </w:p>
    <w:p>
      <w:pPr>
        <w:pStyle w:val="BodyText"/>
      </w:pPr>
      <w:r>
        <w:t xml:space="preserve">[</w:t>
      </w:r>
      <w:r>
        <w:t xml:space="preserve"> </w:t>
      </w:r>
      <w:r>
        <w:t xml:space="preserve">R^{</w:t>
      </w:r>
      <w:r>
        <w:t xml:space="preserve">}</w:t>
      </w:r>
      <w:r>
        <w:rPr>
          <w:i/>
          <w:iCs/>
        </w:rPr>
        <w:t xml:space="preserve">{i}</w:t>
      </w:r>
      <w:r>
        <w:rPr>
          <w:i/>
          <w:iCs/>
        </w:rPr>
        <w:t xml:space="preserve"> </w:t>
      </w:r>
      <w:r>
        <w:rPr>
          <w:i/>
          <w:iCs/>
        </w:rPr>
        <w:t xml:space="preserve">=</w:t>
      </w:r>
      <w:r>
        <w:rPr>
          <w:i/>
          <w:iCs/>
        </w:rPr>
        <w:t xml:space="preserve"> </w:t>
      </w:r>
      <w:r>
        <w:rPr>
          <w:i/>
          <w:iCs/>
        </w:rPr>
        <w:t xml:space="preserve">+</w:t>
      </w:r>
      <w:r>
        <w:rPr>
          <w:i/>
          <w:iCs/>
        </w:rPr>
        <w:t xml:space="preserve"> </w:t>
      </w:r>
      <w:r>
        <w:rPr>
          <w:i/>
          <w:iCs/>
        </w:rPr>
        <w:t xml:space="preserve">R^{</w:t>
      </w:r>
      <w:r>
        <w:rPr>
          <w:i/>
          <w:iCs/>
        </w:rPr>
        <w:t xml:space="preserve">}</w:t>
      </w:r>
      <w:r>
        <w:t xml:space="preserve">{i}</w:t>
      </w:r>
      <w:r>
        <w:t xml:space="preserve"> </w:t>
      </w:r>
      <w:r>
        <w:t xml:space="preserve">+</w:t>
      </w:r>
      <w:r>
        <w:t xml:space="preserve"> </w:t>
      </w:r>
      <w:r>
        <w:rPr>
          <w:i/>
          <w:iCs/>
        </w:rPr>
        <w:t xml:space="preserve">{2016}</w:t>
      </w:r>
      <w:r>
        <w:rPr>
          <w:i/>
          <w:iCs/>
        </w:rPr>
        <w:t xml:space="preserve"> </w:t>
      </w:r>
      <w:r>
        <w:rPr>
          <w:i/>
          <w:iCs/>
        </w:rPr>
        <w:t xml:space="preserve">(R^{</w:t>
      </w:r>
      <w:r>
        <w:rPr>
          <w:i/>
          <w:iCs/>
        </w:rPr>
        <w:t xml:space="preserve">}</w:t>
      </w:r>
      <w:r>
        <w:t xml:space="preserve">{i}</w:t>
      </w:r>
      <w:r>
        <w:t xml:space="preserve"> </w:t>
      </w:r>
      <w:r>
        <w:t xml:space="preserve">D_{2016}</w:t>
      </w:r>
      <w:r>
        <w:t xml:space="preserve">)</w:t>
      </w:r>
      <w:r>
        <w:t xml:space="preserve"> </w:t>
      </w:r>
      <w:r>
        <w:t xml:space="preserve">+</w:t>
      </w:r>
      <w:r>
        <w:t xml:space="preserve"> </w:t>
      </w:r>
      <w:r>
        <w:rPr>
          <w:i/>
          <w:iCs/>
        </w:rPr>
        <w:t xml:space="preserve">{2022}</w:t>
      </w:r>
      <w:r>
        <w:rPr>
          <w:i/>
          <w:iCs/>
        </w:rPr>
        <w:t xml:space="preserve"> </w:t>
      </w:r>
      <w:r>
        <w:rPr>
          <w:i/>
          <w:iCs/>
        </w:rPr>
        <w:t xml:space="preserve">(R^{</w:t>
      </w:r>
      <w:r>
        <w:rPr>
          <w:i/>
          <w:iCs/>
        </w:rPr>
        <w:t xml:space="preserve">}</w:t>
      </w:r>
      <w:r>
        <w:t xml:space="preserve">{i}</w:t>
      </w:r>
      <w:r>
        <w:t xml:space="preserve"> </w:t>
      </w:r>
      <w:r>
        <w:t xml:space="preserve">D_{2022}</w:t>
      </w:r>
      <w:r>
        <w:t xml:space="preserve">)</w:t>
      </w:r>
      <w:r>
        <w:t xml:space="preserve"> </w:t>
      </w:r>
      <w:r>
        <w:t xml:space="preserve">+</w:t>
      </w:r>
      <w:r>
        <w:t xml:space="preserve"> </w:t>
      </w:r>
      <w:r>
        <w:t xml:space="preserve">X_i +</w:t>
      </w:r>
      <w:r>
        <w:t xml:space="preserve"> </w:t>
      </w:r>
      <w:r>
        <w:t xml:space="preserve">_r +</w:t>
      </w:r>
      <w:r>
        <w:t xml:space="preserve"> </w:t>
      </w:r>
      <w:r>
        <w:t xml:space="preserve">_c +</w:t>
      </w:r>
      <w:r>
        <w:t xml:space="preserve"> </w:t>
      </w:r>
      <w:r>
        <w:t xml:space="preserve">_w +</w:t>
      </w:r>
      <w:r>
        <w:t xml:space="preserve"> </w:t>
      </w:r>
      <w:r>
        <w:t xml:space="preserve">_i</w:t>
      </w:r>
      <w:r>
        <w:t xml:space="preserve"> </w:t>
      </w:r>
      <w:r>
        <w:t xml:space="preserve">]</w:t>
      </w:r>
    </w:p>
    <w:p>
      <w:pPr>
        <w:pStyle w:val="BodyText"/>
      </w:pPr>
      <w:r>
        <w:t xml:space="preserve">The paper also estimates:</w:t>
      </w:r>
    </w:p>
    <w:p>
      <w:pPr>
        <w:pStyle w:val="Compact"/>
        <w:numPr>
          <w:ilvl w:val="0"/>
          <w:numId w:val="1002"/>
        </w:numPr>
      </w:pPr>
      <w:r>
        <w:t xml:space="preserve">an attainment-score regression,</w:t>
      </w:r>
    </w:p>
    <w:p>
      <w:pPr>
        <w:pStyle w:val="Compact"/>
        <w:numPr>
          <w:ilvl w:val="0"/>
          <w:numId w:val="1002"/>
        </w:numPr>
      </w:pPr>
      <w:r>
        <w:t xml:space="preserve">an upward-mobility linear probability model,</w:t>
      </w:r>
    </w:p>
    <w:p>
      <w:pPr>
        <w:pStyle w:val="Compact"/>
        <w:numPr>
          <w:ilvl w:val="0"/>
          <w:numId w:val="1002"/>
        </w:numPr>
      </w:pPr>
      <w:r>
        <w:t xml:space="preserve">a persistence heterogeneity model with interactions for urban residence, female, and the 2022 wave.</w:t>
      </w:r>
    </w:p>
    <w:p>
      <w:pPr>
        <w:pStyle w:val="FirstParagraph"/>
      </w:pPr>
      <w:r>
        <w:t xml:space="preserve">These models are interpreted as correlates, not causal effects.</w:t>
      </w:r>
    </w:p>
    <w:bookmarkEnd w:id="37"/>
    <w:bookmarkStart w:id="38" w:name="module-c-pandemic-era-mechanisms"/>
    <w:p>
      <w:pPr>
        <w:pStyle w:val="Heading3"/>
      </w:pPr>
      <w:r>
        <w:t xml:space="preserve">4.3 Module C: pandemic-era mechanisms</w:t>
      </w:r>
    </w:p>
    <w:p>
      <w:pPr>
        <w:pStyle w:val="FirstParagraph"/>
      </w:pPr>
      <w:r>
        <w:t xml:space="preserve">The third module uses the 2022-23 child module to examine whether disruption and support patterns differ by parental education. The baseline mechanism equation is:</w:t>
      </w:r>
    </w:p>
    <w:p>
      <w:pPr>
        <w:pStyle w:val="BodyText"/>
      </w:pPr>
      <w:r>
        <w:t xml:space="preserve">[</w:t>
      </w:r>
      <w:r>
        <w:t xml:space="preserve"> </w:t>
      </w:r>
      <w:r>
        <w:t xml:space="preserve">M_i =</w:t>
      </w:r>
      <w:r>
        <w:t xml:space="preserve"> </w:t>
      </w:r>
      <w:r>
        <w:t xml:space="preserve">+</w:t>
      </w:r>
      <w:r>
        <w:t xml:space="preserve"> </w:t>
      </w:r>
      <w:r>
        <w:t xml:space="preserve">LowParentEdu_i +</w:t>
      </w:r>
      <w:r>
        <w:t xml:space="preserve"> </w:t>
      </w:r>
      <w:r>
        <w:t xml:space="preserve">Urban_i +</w:t>
      </w:r>
      <w:r>
        <w:t xml:space="preserve"> </w:t>
      </w:r>
      <w:r>
        <w:t xml:space="preserve">Male_i +</w:t>
      </w:r>
      <w:r>
        <w:t xml:space="preserve"> </w:t>
      </w:r>
      <w:r>
        <w:t xml:space="preserve">(LowParentEdu_i</w:t>
      </w:r>
      <w:r>
        <w:t xml:space="preserve"> </w:t>
      </w:r>
      <w:r>
        <w:t xml:space="preserve">Urban_i</w:t>
      </w:r>
      <w:r>
        <w:t xml:space="preserve">) +</w:t>
      </w:r>
      <w:r>
        <w:t xml:space="preserve"> </w:t>
      </w:r>
      <w:r>
        <w:t xml:space="preserve">_r +</w:t>
      </w:r>
      <w:r>
        <w:t xml:space="preserve"> </w:t>
      </w:r>
      <w:r>
        <w:t xml:space="preserve">_i</w:t>
      </w:r>
      <w:r>
        <w:t xml:space="preserve"> </w:t>
      </w:r>
      <w:r>
        <w:t xml:space="preserve">]</w:t>
      </w:r>
    </w:p>
    <w:p>
      <w:pPr>
        <w:pStyle w:val="BodyText"/>
      </w:pPr>
      <w:r>
        <w:t xml:space="preserve">where (M_i) is a binary disruption or support outcome. These models are best treated as descriptive heterogeneity exercises rather than as identification strategies.</w:t>
      </w:r>
    </w:p>
    <w:bookmarkEnd w:id="38"/>
    <w:bookmarkEnd w:id="39"/>
    <w:bookmarkStart w:id="52" w:name="mobility-levels-and-trends"/>
    <w:p>
      <w:pPr>
        <w:pStyle w:val="Heading2"/>
      </w:pPr>
      <w:r>
        <w:t xml:space="preserve">5. Mobility Levels and Trends</w:t>
      </w:r>
    </w:p>
    <w:bookmarkStart w:id="40" w:name="rank-based-persistence"/>
    <w:p>
      <w:pPr>
        <w:pStyle w:val="Heading3"/>
      </w:pPr>
      <w:r>
        <w:t xml:space="preserve">5.1 Rank-based persistence</w:t>
      </w:r>
    </w:p>
    <w:p>
      <w:pPr>
        <w:pStyle w:val="FirstParagraph"/>
      </w:pPr>
      <w:r>
        <w:t xml:space="preserve">The rank-rank slope is the paper’s most stable descriptive mobility measure. It rises from</w:t>
      </w:r>
      <w:r>
        <w:t xml:space="preserve"> </w:t>
      </w:r>
      <w:r>
        <w:rPr>
          <w:b/>
          <w:bCs/>
        </w:rPr>
        <w:t xml:space="preserve">0.133</w:t>
      </w:r>
      <w:r>
        <w:t xml:space="preserve"> </w:t>
      </w:r>
      <w:r>
        <w:t xml:space="preserve">in 2010 to</w:t>
      </w:r>
      <w:r>
        <w:t xml:space="preserve"> </w:t>
      </w:r>
      <w:r>
        <w:rPr>
          <w:b/>
          <w:bCs/>
        </w:rPr>
        <w:t xml:space="preserve">0.299</w:t>
      </w:r>
      <w:r>
        <w:t xml:space="preserve"> </w:t>
      </w:r>
      <w:r>
        <w:t xml:space="preserve">in 2016 and</w:t>
      </w:r>
      <w:r>
        <w:t xml:space="preserve"> </w:t>
      </w:r>
      <w:r>
        <w:rPr>
          <w:b/>
          <w:bCs/>
        </w:rPr>
        <w:t xml:space="preserve">0.350</w:t>
      </w:r>
      <w:r>
        <w:t xml:space="preserve"> </w:t>
      </w:r>
      <w:r>
        <w:t xml:space="preserve">in 2022-23. Read descriptively, later waves show a stronger parent-child rank association than 2010.</w:t>
      </w:r>
    </w:p>
    <w:p>
      <w:pPr>
        <w:pStyle w:val="BodyText"/>
      </w:pPr>
      <w:r>
        <w:t xml:space="preserve">That pattern should not, however, be read as precise evidence of a monotonic time trend. The by-wave estimates are informative about levels in each survey, while the pooled models in Section 6 do not estimate the change precisely once controls and fixed effects are added. The safest conclusion is therefore that educational persistence remains substantial across all three waves.</w:t>
      </w:r>
    </w:p>
    <w:bookmarkEnd w:id="40"/>
    <w:bookmarkStart w:id="42" w:name="category-based-mobility-measures"/>
    <w:p>
      <w:pPr>
        <w:pStyle w:val="Heading3"/>
      </w:pPr>
      <w:r>
        <w:t xml:space="preserve">5.2 Category-based mobility measures</w:t>
      </w:r>
    </w:p>
    <w:p>
      <w:pPr>
        <w:pStyle w:val="FirstParagraph"/>
      </w:pPr>
      <w:r>
        <w:t xml:space="preserve">The category-based measures move in the same direction, though with an important caveat about denominator size.</w:t>
      </w:r>
    </w:p>
    <w:p>
      <w:pPr>
        <w:pStyle w:val="BodyText"/>
      </w:pPr>
      <w:r>
        <w:t xml:space="preserve">In 2010, the weighted upward mobility rate is</w:t>
      </w:r>
      <w:r>
        <w:t xml:space="preserve"> </w:t>
      </w:r>
      <w:r>
        <w:rPr>
          <w:b/>
          <w:bCs/>
        </w:rPr>
        <w:t xml:space="preserve">26.2 percent</w:t>
      </w:r>
      <w:r>
        <w:t xml:space="preserve">, the downward mobility rate is</w:t>
      </w:r>
      <w:r>
        <w:t xml:space="preserve"> </w:t>
      </w:r>
      <w:r>
        <w:rPr>
          <w:b/>
          <w:bCs/>
        </w:rPr>
        <w:t xml:space="preserve">13.5 percent</w:t>
      </w:r>
      <w:r>
        <w:t xml:space="preserve">, and the persistence probability is</w:t>
      </w:r>
      <w:r>
        <w:t xml:space="preserve"> </w:t>
      </w:r>
      <w:r>
        <w:rPr>
          <w:b/>
          <w:bCs/>
        </w:rPr>
        <w:t xml:space="preserve">60.3 percent</w:t>
      </w:r>
      <w:r>
        <w:t xml:space="preserve">. In 2016, upward mobility is</w:t>
      </w:r>
      <w:r>
        <w:t xml:space="preserve"> </w:t>
      </w:r>
      <w:r>
        <w:rPr>
          <w:b/>
          <w:bCs/>
        </w:rPr>
        <w:t xml:space="preserve">24.7 percent</w:t>
      </w:r>
      <w:r>
        <w:t xml:space="preserve">, downward mobility is</w:t>
      </w:r>
      <w:r>
        <w:t xml:space="preserve"> </w:t>
      </w:r>
      <w:r>
        <w:rPr>
          <w:b/>
          <w:bCs/>
        </w:rPr>
        <w:t xml:space="preserve">5.8 percent</w:t>
      </w:r>
      <w:r>
        <w:t xml:space="preserve">, and persistence rises to</w:t>
      </w:r>
      <w:r>
        <w:t xml:space="preserve"> </w:t>
      </w:r>
      <w:r>
        <w:rPr>
          <w:b/>
          <w:bCs/>
        </w:rPr>
        <w:t xml:space="preserve">69.5 percent</w:t>
      </w:r>
      <w:r>
        <w:t xml:space="preserve">. In 2022-23, the category-based rates indicate</w:t>
      </w:r>
      <w:r>
        <w:t xml:space="preserve"> </w:t>
      </w:r>
      <w:r>
        <w:rPr>
          <w:b/>
          <w:bCs/>
        </w:rPr>
        <w:t xml:space="preserve">3.0 percent</w:t>
      </w:r>
      <w:r>
        <w:t xml:space="preserve"> </w:t>
      </w:r>
      <w:r>
        <w:t xml:space="preserve">upward mobility,</w:t>
      </w:r>
      <w:r>
        <w:t xml:space="preserve"> </w:t>
      </w:r>
      <w:r>
        <w:rPr>
          <w:b/>
          <w:bCs/>
        </w:rPr>
        <w:t xml:space="preserve">1.6 percent</w:t>
      </w:r>
      <w:r>
        <w:t xml:space="preserve"> </w:t>
      </w:r>
      <w:r>
        <w:t xml:space="preserve">downward mobility, and</w:t>
      </w:r>
      <w:r>
        <w:t xml:space="preserve"> </w:t>
      </w:r>
      <w:r>
        <w:rPr>
          <w:b/>
          <w:bCs/>
        </w:rPr>
        <w:t xml:space="preserve">95.3 percent</w:t>
      </w:r>
      <w:r>
        <w:t xml:space="preserve"> </w:t>
      </w:r>
      <w:r>
        <w:t xml:space="preserve">persistence.</w:t>
      </w:r>
    </w:p>
    <w:p>
      <w:pPr>
        <w:pStyle w:val="BodyText"/>
      </w:pPr>
      <w:r>
        <w:t xml:space="preserve">These 2022-23 category-based results should be treated carefully. The valid denominator for the rank-rank slope in 2022-23 is 782, but the valid denominator for the category-based mobility rates is only 124. The 2022 categorical estimates are therefore best treated as a noisy cross-check rather than as standalone headline evidence.</w:t>
      </w:r>
    </w:p>
    <w:tbl>
      <w:tblPr>
        <w:tblStyle w:val="Table"/>
        <w:tblW w:type="pct" w:w="5000"/>
        <w:tblLayout w:type="fixed"/>
        <w:tblLook w:firstRow="0" w:lastRow="0" w:firstColumn="0" w:lastColumn="0" w:noHBand="0" w:noVBand="0" w:val="0000"/>
      </w:tblPr>
      <w:tblGrid>
        <w:gridCol w:w="7920"/>
      </w:tblGrid>
      <w:tr>
        <w:tc>
          <w:tcPr/>
          <w:bookmarkStart w:id="41" w:name="tbl-mobility-metrics"/>
          <w:p>
            <w:pPr>
              <w:jc w:val="center"/>
            </w:pPr>
            <w:pPr>
              <w:jc w:val="left"/>
              <w:spacing w:before="200"/>
              <w:pStyle w:val="ImageCaption"/>
            </w:pPr>
            <w:r>
              <w:t xml:space="preserve">Table 1: National mobility metrics by LiTS wave.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Wave</w:t>
                  </w:r>
                </w:p>
              </w:tc>
              <w:tc>
                <w:tcPr/>
                <w:p>
                  <w:pPr>
                    <w:pStyle w:val="Compact"/>
                    <w:jc w:val="left"/>
                    <w:jc w:val="center"/>
                  </w:pPr>
                  <w:r>
                    <w:t xml:space="preserve">Metric</w:t>
                  </w:r>
                </w:p>
              </w:tc>
              <w:tc>
                <w:tcPr/>
                <w:p>
                  <w:pPr>
                    <w:pStyle w:val="Compact"/>
                    <w:jc w:val="left"/>
                    <w:jc w:val="center"/>
                  </w:pPr>
                  <w:r>
                    <w:t xml:space="preserve">Estimate</w:t>
                  </w:r>
                </w:p>
              </w:tc>
              <w:tc>
                <w:tcPr/>
                <w:p>
                  <w:pPr>
                    <w:pStyle w:val="Compact"/>
                    <w:jc w:val="right"/>
                    <w:jc w:val="center"/>
                  </w:pPr>
                  <w:r>
                    <w:t xml:space="preserve">Valid N</w:t>
                  </w:r>
                </w:p>
              </w:tc>
            </w:tr>
            <w:tr>
              <w:tc>
                <w:tcPr/>
                <w:p>
                  <w:pPr>
                    <w:pStyle w:val="Compact"/>
                    <w:jc w:val="left"/>
                    <w:jc w:val="center"/>
                  </w:pPr>
                  <w:r>
                    <w:t xml:space="preserve">1</w:t>
                  </w:r>
                </w:p>
              </w:tc>
              <w:tc>
                <w:tcPr/>
                <w:p>
                  <w:pPr>
                    <w:pStyle w:val="Compact"/>
                    <w:jc w:val="left"/>
                    <w:jc w:val="center"/>
                  </w:pPr>
                  <w:r>
                    <w:t xml:space="preserve">2010</w:t>
                  </w:r>
                </w:p>
              </w:tc>
              <w:tc>
                <w:tcPr/>
                <w:p>
                  <w:pPr>
                    <w:pStyle w:val="Compact"/>
                    <w:jc w:val="left"/>
                    <w:jc w:val="center"/>
                  </w:pPr>
                  <w:r>
                    <w:t xml:space="preserve">Rank-rank slope</w:t>
                  </w:r>
                </w:p>
              </w:tc>
              <w:tc>
                <w:tcPr/>
                <w:p>
                  <w:pPr>
                    <w:pStyle w:val="Compact"/>
                    <w:jc w:val="left"/>
                    <w:jc w:val="center"/>
                  </w:pPr>
                  <w:r>
                    <w:t xml:space="preserve">0.133</w:t>
                  </w:r>
                </w:p>
              </w:tc>
              <w:tc>
                <w:tcPr/>
                <w:p>
                  <w:pPr>
                    <w:pStyle w:val="Compact"/>
                    <w:jc w:val="right"/>
                    <w:jc w:val="center"/>
                  </w:pPr>
                  <w:r>
                    <w:t xml:space="preserve">936</w:t>
                  </w:r>
                </w:p>
              </w:tc>
            </w:tr>
            <w:tr>
              <w:tc>
                <w:tcPr/>
                <w:p>
                  <w:pPr>
                    <w:pStyle w:val="Compact"/>
                    <w:jc w:val="left"/>
                    <w:jc w:val="center"/>
                  </w:pPr>
                  <w:r>
                    <w:t xml:space="preserve">2</w:t>
                  </w:r>
                </w:p>
              </w:tc>
              <w:tc>
                <w:tcPr/>
                <w:p>
                  <w:pPr>
                    <w:pStyle w:val="Compact"/>
                    <w:jc w:val="left"/>
                    <w:jc w:val="center"/>
                  </w:pPr>
                  <w:r>
                    <w:t xml:space="preserve">2016</w:t>
                  </w:r>
                </w:p>
              </w:tc>
              <w:tc>
                <w:tcPr/>
                <w:p>
                  <w:pPr>
                    <w:pStyle w:val="Compact"/>
                    <w:jc w:val="left"/>
                    <w:jc w:val="center"/>
                  </w:pPr>
                  <w:r>
                    <w:t xml:space="preserve">Rank-rank slope</w:t>
                  </w:r>
                </w:p>
              </w:tc>
              <w:tc>
                <w:tcPr/>
                <w:p>
                  <w:pPr>
                    <w:pStyle w:val="Compact"/>
                    <w:jc w:val="left"/>
                    <w:jc w:val="center"/>
                  </w:pPr>
                  <w:r>
                    <w:t xml:space="preserve">0.299</w:t>
                  </w:r>
                </w:p>
              </w:tc>
              <w:tc>
                <w:tcPr/>
                <w:p>
                  <w:pPr>
                    <w:pStyle w:val="Compact"/>
                    <w:jc w:val="right"/>
                    <w:jc w:val="center"/>
                  </w:pPr>
                  <w:r>
                    <w:t xml:space="preserve">1186</w:t>
                  </w:r>
                </w:p>
              </w:tc>
            </w:tr>
            <w:tr>
              <w:tc>
                <w:tcPr/>
                <w:p>
                  <w:pPr>
                    <w:pStyle w:val="Compact"/>
                    <w:jc w:val="left"/>
                    <w:jc w:val="center"/>
                  </w:pPr>
                  <w:r>
                    <w:t xml:space="preserve">3</w:t>
                  </w:r>
                </w:p>
              </w:tc>
              <w:tc>
                <w:tcPr/>
                <w:p>
                  <w:pPr>
                    <w:pStyle w:val="Compact"/>
                    <w:jc w:val="left"/>
                    <w:jc w:val="center"/>
                  </w:pPr>
                  <w:r>
                    <w:t xml:space="preserve">2022-23</w:t>
                  </w:r>
                </w:p>
              </w:tc>
              <w:tc>
                <w:tcPr/>
                <w:p>
                  <w:pPr>
                    <w:pStyle w:val="Compact"/>
                    <w:jc w:val="left"/>
                    <w:jc w:val="center"/>
                  </w:pPr>
                  <w:r>
                    <w:t xml:space="preserve">Rank-rank slope</w:t>
                  </w:r>
                </w:p>
              </w:tc>
              <w:tc>
                <w:tcPr/>
                <w:p>
                  <w:pPr>
                    <w:pStyle w:val="Compact"/>
                    <w:jc w:val="left"/>
                    <w:jc w:val="center"/>
                  </w:pPr>
                  <w:r>
                    <w:t xml:space="preserve">0.350</w:t>
                  </w:r>
                </w:p>
              </w:tc>
              <w:tc>
                <w:tcPr/>
                <w:p>
                  <w:pPr>
                    <w:pStyle w:val="Compact"/>
                    <w:jc w:val="right"/>
                    <w:jc w:val="center"/>
                  </w:pPr>
                  <w:r>
                    <w:t xml:space="preserve">782</w:t>
                  </w:r>
                </w:p>
              </w:tc>
            </w:tr>
            <w:tr>
              <w:tc>
                <w:tcPr/>
                <w:p>
                  <w:pPr>
                    <w:pStyle w:val="Compact"/>
                    <w:jc w:val="left"/>
                    <w:jc w:val="center"/>
                  </w:pPr>
                  <w:r>
                    <w:t xml:space="preserve">4</w:t>
                  </w:r>
                </w:p>
              </w:tc>
              <w:tc>
                <w:tcPr/>
                <w:p>
                  <w:pPr>
                    <w:pStyle w:val="Compact"/>
                    <w:jc w:val="left"/>
                    <w:jc w:val="center"/>
                  </w:pPr>
                  <w:r>
                    <w:t xml:space="preserve">2010</w:t>
                  </w:r>
                </w:p>
              </w:tc>
              <w:tc>
                <w:tcPr/>
                <w:p>
                  <w:pPr>
                    <w:pStyle w:val="Compact"/>
                    <w:jc w:val="left"/>
                    <w:jc w:val="center"/>
                  </w:pPr>
                  <w:r>
                    <w:t xml:space="preserve">Upward mobility rate</w:t>
                  </w:r>
                </w:p>
              </w:tc>
              <w:tc>
                <w:tcPr/>
                <w:p>
                  <w:pPr>
                    <w:pStyle w:val="Compact"/>
                    <w:jc w:val="left"/>
                    <w:jc w:val="center"/>
                  </w:pPr>
                  <w:r>
                    <w:t xml:space="preserve">26.2 percent</w:t>
                  </w:r>
                </w:p>
              </w:tc>
              <w:tc>
                <w:tcPr/>
                <w:p>
                  <w:pPr>
                    <w:pStyle w:val="Compact"/>
                    <w:jc w:val="right"/>
                    <w:jc w:val="center"/>
                  </w:pPr>
                  <w:r>
                    <w:t xml:space="preserve">612</w:t>
                  </w:r>
                </w:p>
              </w:tc>
            </w:tr>
            <w:tr>
              <w:tc>
                <w:tcPr/>
                <w:p>
                  <w:pPr>
                    <w:pStyle w:val="Compact"/>
                    <w:jc w:val="left"/>
                    <w:jc w:val="center"/>
                  </w:pPr>
                  <w:r>
                    <w:t xml:space="preserve">7</w:t>
                  </w:r>
                </w:p>
              </w:tc>
              <w:tc>
                <w:tcPr/>
                <w:p>
                  <w:pPr>
                    <w:pStyle w:val="Compact"/>
                    <w:jc w:val="left"/>
                    <w:jc w:val="center"/>
                  </w:pPr>
                  <w:r>
                    <w:t xml:space="preserve">2016</w:t>
                  </w:r>
                </w:p>
              </w:tc>
              <w:tc>
                <w:tcPr/>
                <w:p>
                  <w:pPr>
                    <w:pStyle w:val="Compact"/>
                    <w:jc w:val="left"/>
                    <w:jc w:val="center"/>
                  </w:pPr>
                  <w:r>
                    <w:t xml:space="preserve">Upward mobility rate</w:t>
                  </w:r>
                </w:p>
              </w:tc>
              <w:tc>
                <w:tcPr/>
                <w:p>
                  <w:pPr>
                    <w:pStyle w:val="Compact"/>
                    <w:jc w:val="left"/>
                    <w:jc w:val="center"/>
                  </w:pPr>
                  <w:r>
                    <w:t xml:space="preserve">24.7 percent</w:t>
                  </w:r>
                </w:p>
              </w:tc>
              <w:tc>
                <w:tcPr/>
                <w:p>
                  <w:pPr>
                    <w:pStyle w:val="Compact"/>
                    <w:jc w:val="right"/>
                    <w:jc w:val="center"/>
                  </w:pPr>
                  <w:r>
                    <w:t xml:space="preserve">439</w:t>
                  </w:r>
                </w:p>
              </w:tc>
            </w:tr>
            <w:tr>
              <w:tc>
                <w:tcPr/>
                <w:p>
                  <w:pPr>
                    <w:pStyle w:val="Compact"/>
                    <w:jc w:val="left"/>
                    <w:jc w:val="center"/>
                  </w:pPr>
                  <w:r>
                    <w:t xml:space="preserve">10</w:t>
                  </w:r>
                </w:p>
              </w:tc>
              <w:tc>
                <w:tcPr/>
                <w:p>
                  <w:pPr>
                    <w:pStyle w:val="Compact"/>
                    <w:jc w:val="left"/>
                    <w:jc w:val="center"/>
                  </w:pPr>
                  <w:r>
                    <w:t xml:space="preserve">2022-23</w:t>
                  </w:r>
                </w:p>
              </w:tc>
              <w:tc>
                <w:tcPr/>
                <w:p>
                  <w:pPr>
                    <w:pStyle w:val="Compact"/>
                    <w:jc w:val="left"/>
                    <w:jc w:val="center"/>
                  </w:pPr>
                  <w:r>
                    <w:t xml:space="preserve">Upward mobility rate</w:t>
                  </w:r>
                </w:p>
              </w:tc>
              <w:tc>
                <w:tcPr/>
                <w:p>
                  <w:pPr>
                    <w:pStyle w:val="Compact"/>
                    <w:jc w:val="left"/>
                    <w:jc w:val="center"/>
                  </w:pPr>
                  <w:r>
                    <w:t xml:space="preserve">3.0 percent</w:t>
                  </w:r>
                </w:p>
              </w:tc>
              <w:tc>
                <w:tcPr/>
                <w:p>
                  <w:pPr>
                    <w:pStyle w:val="Compact"/>
                    <w:jc w:val="right"/>
                    <w:jc w:val="center"/>
                  </w:pPr>
                  <w:r>
                    <w:t xml:space="preserve">124</w:t>
                  </w:r>
                </w:p>
              </w:tc>
            </w:tr>
            <w:tr>
              <w:tc>
                <w:tcPr/>
                <w:p>
                  <w:pPr>
                    <w:pStyle w:val="Compact"/>
                    <w:jc w:val="left"/>
                    <w:jc w:val="center"/>
                  </w:pPr>
                  <w:r>
                    <w:t xml:space="preserve">5</w:t>
                  </w:r>
                </w:p>
              </w:tc>
              <w:tc>
                <w:tcPr/>
                <w:p>
                  <w:pPr>
                    <w:pStyle w:val="Compact"/>
                    <w:jc w:val="left"/>
                    <w:jc w:val="center"/>
                  </w:pPr>
                  <w:r>
                    <w:t xml:space="preserve">2010</w:t>
                  </w:r>
                </w:p>
              </w:tc>
              <w:tc>
                <w:tcPr/>
                <w:p>
                  <w:pPr>
                    <w:pStyle w:val="Compact"/>
                    <w:jc w:val="left"/>
                    <w:jc w:val="center"/>
                  </w:pPr>
                  <w:r>
                    <w:t xml:space="preserve">Downward mobility rate</w:t>
                  </w:r>
                </w:p>
              </w:tc>
              <w:tc>
                <w:tcPr/>
                <w:p>
                  <w:pPr>
                    <w:pStyle w:val="Compact"/>
                    <w:jc w:val="left"/>
                    <w:jc w:val="center"/>
                  </w:pPr>
                  <w:r>
                    <w:t xml:space="preserve">13.5 percent</w:t>
                  </w:r>
                </w:p>
              </w:tc>
              <w:tc>
                <w:tcPr/>
                <w:p>
                  <w:pPr>
                    <w:pStyle w:val="Compact"/>
                    <w:jc w:val="right"/>
                    <w:jc w:val="center"/>
                  </w:pPr>
                  <w:r>
                    <w:t xml:space="preserve">612</w:t>
                  </w:r>
                </w:p>
              </w:tc>
            </w:tr>
            <w:tr>
              <w:tc>
                <w:tcPr/>
                <w:p>
                  <w:pPr>
                    <w:pStyle w:val="Compact"/>
                    <w:jc w:val="left"/>
                    <w:jc w:val="center"/>
                  </w:pPr>
                  <w:r>
                    <w:t xml:space="preserve">8</w:t>
                  </w:r>
                </w:p>
              </w:tc>
              <w:tc>
                <w:tcPr/>
                <w:p>
                  <w:pPr>
                    <w:pStyle w:val="Compact"/>
                    <w:jc w:val="left"/>
                    <w:jc w:val="center"/>
                  </w:pPr>
                  <w:r>
                    <w:t xml:space="preserve">2016</w:t>
                  </w:r>
                </w:p>
              </w:tc>
              <w:tc>
                <w:tcPr/>
                <w:p>
                  <w:pPr>
                    <w:pStyle w:val="Compact"/>
                    <w:jc w:val="left"/>
                    <w:jc w:val="center"/>
                  </w:pPr>
                  <w:r>
                    <w:t xml:space="preserve">Downward mobility rate</w:t>
                  </w:r>
                </w:p>
              </w:tc>
              <w:tc>
                <w:tcPr/>
                <w:p>
                  <w:pPr>
                    <w:pStyle w:val="Compact"/>
                    <w:jc w:val="left"/>
                    <w:jc w:val="center"/>
                  </w:pPr>
                  <w:r>
                    <w:t xml:space="preserve">5.8 percent</w:t>
                  </w:r>
                </w:p>
              </w:tc>
              <w:tc>
                <w:tcPr/>
                <w:p>
                  <w:pPr>
                    <w:pStyle w:val="Compact"/>
                    <w:jc w:val="right"/>
                    <w:jc w:val="center"/>
                  </w:pPr>
                  <w:r>
                    <w:t xml:space="preserve">439</w:t>
                  </w:r>
                </w:p>
              </w:tc>
            </w:tr>
            <w:tr>
              <w:tc>
                <w:tcPr/>
                <w:p>
                  <w:pPr>
                    <w:pStyle w:val="Compact"/>
                    <w:jc w:val="left"/>
                    <w:jc w:val="center"/>
                  </w:pPr>
                  <w:r>
                    <w:t xml:space="preserve">11</w:t>
                  </w:r>
                </w:p>
              </w:tc>
              <w:tc>
                <w:tcPr/>
                <w:p>
                  <w:pPr>
                    <w:pStyle w:val="Compact"/>
                    <w:jc w:val="left"/>
                    <w:jc w:val="center"/>
                  </w:pPr>
                  <w:r>
                    <w:t xml:space="preserve">2022-23</w:t>
                  </w:r>
                </w:p>
              </w:tc>
              <w:tc>
                <w:tcPr/>
                <w:p>
                  <w:pPr>
                    <w:pStyle w:val="Compact"/>
                    <w:jc w:val="left"/>
                    <w:jc w:val="center"/>
                  </w:pPr>
                  <w:r>
                    <w:t xml:space="preserve">Downward mobility rate</w:t>
                  </w:r>
                </w:p>
              </w:tc>
              <w:tc>
                <w:tcPr/>
                <w:p>
                  <w:pPr>
                    <w:pStyle w:val="Compact"/>
                    <w:jc w:val="left"/>
                    <w:jc w:val="center"/>
                  </w:pPr>
                  <w:r>
                    <w:t xml:space="preserve">1.6 percent</w:t>
                  </w:r>
                </w:p>
              </w:tc>
              <w:tc>
                <w:tcPr/>
                <w:p>
                  <w:pPr>
                    <w:pStyle w:val="Compact"/>
                    <w:jc w:val="right"/>
                    <w:jc w:val="center"/>
                  </w:pPr>
                  <w:r>
                    <w:t xml:space="preserve">124</w:t>
                  </w:r>
                </w:p>
              </w:tc>
            </w:tr>
            <w:tr>
              <w:tc>
                <w:tcPr/>
                <w:p>
                  <w:pPr>
                    <w:pStyle w:val="Compact"/>
                    <w:jc w:val="left"/>
                    <w:jc w:val="center"/>
                  </w:pPr>
                  <w:r>
                    <w:t xml:space="preserve">6</w:t>
                  </w:r>
                </w:p>
              </w:tc>
              <w:tc>
                <w:tcPr/>
                <w:p>
                  <w:pPr>
                    <w:pStyle w:val="Compact"/>
                    <w:jc w:val="left"/>
                    <w:jc w:val="center"/>
                  </w:pPr>
                  <w:r>
                    <w:t xml:space="preserve">2010</w:t>
                  </w:r>
                </w:p>
              </w:tc>
              <w:tc>
                <w:tcPr/>
                <w:p>
                  <w:pPr>
                    <w:pStyle w:val="Compact"/>
                    <w:jc w:val="left"/>
                    <w:jc w:val="center"/>
                  </w:pPr>
                  <w:r>
                    <w:t xml:space="preserve">Persistence probability</w:t>
                  </w:r>
                </w:p>
              </w:tc>
              <w:tc>
                <w:tcPr/>
                <w:p>
                  <w:pPr>
                    <w:pStyle w:val="Compact"/>
                    <w:jc w:val="left"/>
                    <w:jc w:val="center"/>
                  </w:pPr>
                  <w:r>
                    <w:t xml:space="preserve">60.3 percent</w:t>
                  </w:r>
                </w:p>
              </w:tc>
              <w:tc>
                <w:tcPr/>
                <w:p>
                  <w:pPr>
                    <w:pStyle w:val="Compact"/>
                    <w:jc w:val="right"/>
                    <w:jc w:val="center"/>
                  </w:pPr>
                  <w:r>
                    <w:t xml:space="preserve">612</w:t>
                  </w:r>
                </w:p>
              </w:tc>
            </w:tr>
            <w:tr>
              <w:tc>
                <w:tcPr/>
                <w:p>
                  <w:pPr>
                    <w:pStyle w:val="Compact"/>
                    <w:jc w:val="left"/>
                    <w:jc w:val="center"/>
                  </w:pPr>
                  <w:r>
                    <w:t xml:space="preserve">9</w:t>
                  </w:r>
                </w:p>
              </w:tc>
              <w:tc>
                <w:tcPr/>
                <w:p>
                  <w:pPr>
                    <w:pStyle w:val="Compact"/>
                    <w:jc w:val="left"/>
                    <w:jc w:val="center"/>
                  </w:pPr>
                  <w:r>
                    <w:t xml:space="preserve">2016</w:t>
                  </w:r>
                </w:p>
              </w:tc>
              <w:tc>
                <w:tcPr/>
                <w:p>
                  <w:pPr>
                    <w:pStyle w:val="Compact"/>
                    <w:jc w:val="left"/>
                    <w:jc w:val="center"/>
                  </w:pPr>
                  <w:r>
                    <w:t xml:space="preserve">Persistence probability</w:t>
                  </w:r>
                </w:p>
              </w:tc>
              <w:tc>
                <w:tcPr/>
                <w:p>
                  <w:pPr>
                    <w:pStyle w:val="Compact"/>
                    <w:jc w:val="left"/>
                    <w:jc w:val="center"/>
                  </w:pPr>
                  <w:r>
                    <w:t xml:space="preserve">69.5 percent</w:t>
                  </w:r>
                </w:p>
              </w:tc>
              <w:tc>
                <w:tcPr/>
                <w:p>
                  <w:pPr>
                    <w:pStyle w:val="Compact"/>
                    <w:jc w:val="right"/>
                    <w:jc w:val="center"/>
                  </w:pPr>
                  <w:r>
                    <w:t xml:space="preserve">439</w:t>
                  </w:r>
                </w:p>
              </w:tc>
            </w:tr>
            <w:tr>
              <w:tc>
                <w:tcPr/>
                <w:p>
                  <w:pPr>
                    <w:pStyle w:val="Compact"/>
                    <w:jc w:val="left"/>
                    <w:jc w:val="center"/>
                  </w:pPr>
                  <w:r>
                    <w:t xml:space="preserve">12</w:t>
                  </w:r>
                </w:p>
              </w:tc>
              <w:tc>
                <w:tcPr/>
                <w:p>
                  <w:pPr>
                    <w:pStyle w:val="Compact"/>
                    <w:jc w:val="left"/>
                    <w:jc w:val="center"/>
                  </w:pPr>
                  <w:r>
                    <w:t xml:space="preserve">2022-23</w:t>
                  </w:r>
                </w:p>
              </w:tc>
              <w:tc>
                <w:tcPr/>
                <w:p>
                  <w:pPr>
                    <w:pStyle w:val="Compact"/>
                    <w:jc w:val="left"/>
                    <w:jc w:val="center"/>
                  </w:pPr>
                  <w:r>
                    <w:t xml:space="preserve">Persistence probability</w:t>
                  </w:r>
                </w:p>
              </w:tc>
              <w:tc>
                <w:tcPr/>
                <w:p>
                  <w:pPr>
                    <w:pStyle w:val="Compact"/>
                    <w:jc w:val="left"/>
                    <w:jc w:val="center"/>
                  </w:pPr>
                  <w:r>
                    <w:t xml:space="preserve">95.3 percent</w:t>
                  </w:r>
                </w:p>
              </w:tc>
              <w:tc>
                <w:tcPr/>
                <w:p>
                  <w:pPr>
                    <w:pStyle w:val="Compact"/>
                    <w:jc w:val="right"/>
                    <w:jc w:val="center"/>
                  </w:pPr>
                  <w:r>
                    <w:t xml:space="preserve">124</w:t>
                  </w:r>
                </w:p>
              </w:tc>
            </w:tr>
          </w:tbl>
          <w:bookmarkEnd w:id="41"/>
          <w:p/>
        </w:tc>
      </w:tr>
    </w:tbl>
    <w:p>
      <w:pPr>
        <w:pStyle w:val="BodyText"/>
      </w:pPr>
      <w:r>
        <w:rPr>
          <w:b/>
          <w:bCs/>
        </w:rPr>
        <w:t xml:space="preserve">Reporting note.</w:t>
      </w:r>
      <w:r>
        <w:t xml:space="preserve"> </w:t>
      </w:r>
      <w:r>
        <w:t xml:space="preserve">Table</w:t>
      </w:r>
      <w:r>
        <w:t xml:space="preserve"> </w:t>
      </w:r>
      <w:hyperlink w:anchor="tbl-mobility-metrics">
        <w:r>
          <w:rPr>
            <w:rStyle w:val="Hyperlink"/>
          </w:rPr>
          <w:t xml:space="preserve">Table 1</w:t>
        </w:r>
      </w:hyperlink>
      <w:r>
        <w:t xml:space="preserve"> </w:t>
      </w:r>
      <w:r>
        <w:t xml:space="preserve">summarizes the headline mobility estimates. Current reporting outputs provide Module A point estimates and valid denominators, but not design-consistent standard errors or confidence intervals for the weighted mobility measures. Adding uncertainty for these headline estimates is the next recommended reporting improvement.</w:t>
      </w:r>
    </w:p>
    <w:bookmarkEnd w:id="42"/>
    <w:bookmarkStart w:id="51" w:name="interpretation"/>
    <w:p>
      <w:pPr>
        <w:pStyle w:val="Heading3"/>
      </w:pPr>
      <w:r>
        <w:t xml:space="preserve">5.3 Interpretation</w:t>
      </w:r>
    </w:p>
    <w:p>
      <w:pPr>
        <w:pStyle w:val="FirstParagraph"/>
      </w:pPr>
      <w:r>
        <w:t xml:space="preserve">Table</w:t>
      </w:r>
      <w:r>
        <w:t xml:space="preserve"> </w:t>
      </w:r>
      <w:hyperlink w:anchor="tbl-mobility-metrics">
        <w:r>
          <w:rPr>
            <w:rStyle w:val="Hyperlink"/>
          </w:rPr>
          <w:t xml:space="preserve">Table 1</w:t>
        </w:r>
      </w:hyperlink>
      <w:r>
        <w:t xml:space="preserve"> </w:t>
      </w:r>
      <w:r>
        <w:t xml:space="preserve">and Figures</w:t>
      </w:r>
      <w:r>
        <w:t xml:space="preserve"> </w:t>
      </w:r>
      <w:hyperlink w:anchor="fig-rank-rank">
        <w:r>
          <w:rPr>
            <w:rStyle w:val="Hyperlink"/>
          </w:rPr>
          <w:t xml:space="preserve">Figure 1</w:t>
        </w:r>
      </w:hyperlink>
      <w:r>
        <w:t xml:space="preserve"> </w:t>
      </w:r>
      <w:r>
        <w:t xml:space="preserve">and</w:t>
      </w:r>
      <w:r>
        <w:t xml:space="preserve"> </w:t>
      </w:r>
      <w:hyperlink w:anchor="fig-directional-rates">
        <w:r>
          <w:rPr>
            <w:rStyle w:val="Hyperlink"/>
          </w:rPr>
          <w:t xml:space="preserve">Figure 2</w:t>
        </w:r>
      </w:hyperlink>
      <w:r>
        <w:t xml:space="preserve"> </w:t>
      </w:r>
      <w:r>
        <w:t xml:space="preserve">tell a consistent high-level story: intergenerational persistence is substantial in Uzbekistan, and the descriptive measures do not suggest a weakening over time. The rank-based pattern is the more informative part of this result because it uses much larger valid samples and is less vulnerable to sparse category cells.</w:t>
      </w:r>
    </w:p>
    <w:p>
      <w:pPr>
        <w:pStyle w:val="BodyText"/>
      </w:pPr>
      <w:r>
        <w:t xml:space="preserve">The descriptive profile does not, however, identify why persistence differs across waves. Composition changes, regional inequality, tertiary expansion, and measurement noise all remain plausible explanations. The rest of the paper therefore turns to pooled correlates rather than causal explanations.</w:t>
      </w:r>
    </w:p>
    <w:tbl>
      <w:tblPr>
        <w:tblStyle w:val="Table"/>
        <w:tblW w:type="pct" w:w="5000"/>
        <w:tblLayout w:type="fixed"/>
        <w:tblLook w:firstRow="0" w:lastRow="0" w:firstColumn="0" w:lastColumn="0" w:noHBand="0" w:noVBand="0" w:val="0000"/>
      </w:tblPr>
      <w:tblGrid>
        <w:gridCol w:w="7920"/>
      </w:tblGrid>
      <w:tr>
        <w:tc>
          <w:tcPr/>
          <w:bookmarkStart w:id="46" w:name="fig-rank-rank"/>
          <w:p>
            <w:pPr>
              <w:pStyle w:val="Compact"/>
              <w:jc w:val="center"/>
            </w:pPr>
            <w:r>
              <w:drawing>
                <wp:inline>
                  <wp:extent cx="5334000" cy="3555999"/>
                  <wp:effectExtent b="0" l="0" r="0" t="0"/>
                  <wp:docPr descr="" title="" id="44" name="Picture"/>
                  <a:graphic>
                    <a:graphicData uri="http://schemas.openxmlformats.org/drawingml/2006/picture">
                      <pic:pic>
                        <pic:nvPicPr>
                          <pic:cNvPr descr="../outputs/figures/tier_a_rank_rank_by_wave.png" id="45" name="Picture"/>
                          <pic:cNvPicPr>
                            <a:picLocks noChangeArrowheads="1" noChangeAspect="1"/>
                          </pic:cNvPicPr>
                        </pic:nvPicPr>
                        <pic:blipFill>
                          <a:blip r:embed="rId43"/>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Rank-rank slope by LiTS wave.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directional-rates"/>
          <w:p>
            <w:pPr>
              <w:pStyle w:val="Compact"/>
              <w:jc w:val="center"/>
            </w:pPr>
            <w:r>
              <w:drawing>
                <wp:inline>
                  <wp:extent cx="5334000" cy="3555999"/>
                  <wp:effectExtent b="0" l="0" r="0" t="0"/>
                  <wp:docPr descr="" title="" id="48" name="Picture"/>
                  <a:graphic>
                    <a:graphicData uri="http://schemas.openxmlformats.org/drawingml/2006/picture">
                      <pic:pic>
                        <pic:nvPicPr>
                          <pic:cNvPr descr="../outputs/figures/tier_a_directional_rates_by_wave.png" id="49" name="Picture"/>
                          <pic:cNvPicPr>
                            <a:picLocks noChangeArrowheads="1" noChangeAspect="1"/>
                          </pic:cNvPicPr>
                        </pic:nvPicPr>
                        <pic:blipFill>
                          <a:blip r:embed="rId47"/>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Directional mobility rates by LiTS wave.</w:t>
            </w:r>
          </w:p>
          <w:bookmarkEnd w:id="50"/>
        </w:tc>
      </w:tr>
    </w:tbl>
    <w:bookmarkEnd w:id="51"/>
    <w:bookmarkEnd w:id="52"/>
    <w:bookmarkStart w:id="58" w:name="correlates-of-educational-mobility"/>
    <w:p>
      <w:pPr>
        <w:pStyle w:val="Heading2"/>
      </w:pPr>
      <w:r>
        <w:t xml:space="preserve">6. Correlates of Educational Mobility</w:t>
      </w:r>
    </w:p>
    <w:bookmarkStart w:id="53" w:name="pooled-persistence-trend-model"/>
    <w:p>
      <w:pPr>
        <w:pStyle w:val="Heading3"/>
      </w:pPr>
      <w:r>
        <w:t xml:space="preserve">6.1 Pooled persistence-trend model</w:t>
      </w:r>
    </w:p>
    <w:p>
      <w:pPr>
        <w:pStyle w:val="FirstParagraph"/>
      </w:pPr>
      <w:r>
        <w:t xml:space="preserve">The pooled rank-based persistence model does not provide statistically precise evidence that persistence changed relative to 2010 once the controls and fixed effects are added. The coefficient on parental rank is positive at</w:t>
      </w:r>
      <w:r>
        <w:t xml:space="preserve"> </w:t>
      </w:r>
      <w:r>
        <w:rPr>
          <w:b/>
          <w:bCs/>
        </w:rPr>
        <w:t xml:space="preserve">0.080</w:t>
      </w:r>
      <w:r>
        <w:t xml:space="preserve">, but the interaction terms for 2016 and 2022 relative to 2010 are not statistically distinguishable from zero in this specification (p = 0.670 and p = 0.680, respectively).</w:t>
      </w:r>
    </w:p>
    <w:p>
      <w:pPr>
        <w:pStyle w:val="BodyText"/>
      </w:pPr>
      <w:r>
        <w:t xml:space="preserve">This result matters for interpretation. The descriptive by-wave rank-rank slopes clearly rise across the three surveys, but once the model adds region, cohort, wave fixed effects, and the selected covariates, the change in persistence over time is estimated less precisely. That suggests that part of the raw trend may reflect shifts in composition or limited power rather than a simple structural break.</w:t>
      </w:r>
    </w:p>
    <w:bookmarkEnd w:id="53"/>
    <w:bookmarkStart w:id="54" w:name="attainment-score-model"/>
    <w:p>
      <w:pPr>
        <w:pStyle w:val="Heading3"/>
      </w:pPr>
      <w:r>
        <w:t xml:space="preserve">6.2 Attainment-score model</w:t>
      </w:r>
    </w:p>
    <w:p>
      <w:pPr>
        <w:pStyle w:val="FirstParagraph"/>
      </w:pPr>
      <w:r>
        <w:t xml:space="preserve">The attainment-score regression shows a robust positive association between parental education and own educational attainment. The coefficient on parental education score is</w:t>
      </w:r>
      <w:r>
        <w:t xml:space="preserve"> </w:t>
      </w:r>
      <w:r>
        <w:rPr>
          <w:b/>
          <w:bCs/>
        </w:rPr>
        <w:t xml:space="preserve">0.082</w:t>
      </w:r>
      <w:r>
        <w:t xml:space="preserve"> </w:t>
      </w:r>
      <w:r>
        <w:t xml:space="preserve">and statistically significant (p = 0.002). This is the clearest correlates result in the paper: better-educated parents are associated with higher educational attainment among adult children even after adding fixed effects and the active covariates.</w:t>
      </w:r>
    </w:p>
    <w:p>
      <w:pPr>
        <w:pStyle w:val="BodyText"/>
      </w:pPr>
      <w:r>
        <w:t xml:space="preserve">Among the covariates, the female coefficient is negative and statistically significant at</w:t>
      </w:r>
      <w:r>
        <w:t xml:space="preserve"> </w:t>
      </w:r>
      <w:r>
        <w:rPr>
          <w:b/>
          <w:bCs/>
        </w:rPr>
        <w:t xml:space="preserve">-0.045</w:t>
      </w:r>
      <w:r>
        <w:t xml:space="preserve">, while the urban coefficient is positive but not statistically precise. Migration exposure and multigenerational household structure are not estimated precisely in this specification.</w:t>
      </w:r>
    </w:p>
    <w:p>
      <w:pPr>
        <w:pStyle w:val="BodyText"/>
      </w:pPr>
      <w:r>
        <w:t xml:space="preserve">The main takeaway is that parental educational background remains the strongest predictor in the model. Household structure and migration may still matter, but the current data do not deliver equally strong statistical evidence for those channels in the core pooled attainment specification.</w:t>
      </w:r>
    </w:p>
    <w:bookmarkEnd w:id="54"/>
    <w:bookmarkStart w:id="55" w:name="upward-mobility-models"/>
    <w:p>
      <w:pPr>
        <w:pStyle w:val="Heading3"/>
      </w:pPr>
      <w:r>
        <w:t xml:space="preserve">6.3 Upward mobility models</w:t>
      </w:r>
    </w:p>
    <w:p>
      <w:pPr>
        <w:pStyle w:val="FirstParagraph"/>
      </w:pPr>
      <w:r>
        <w:t xml:space="preserve">The upward-mobility linear probability models are useful mainly for showing where upward transitions are mechanically more likely. Relative to the upper-secondary reference group, respondents from primary-educated households and lower-secondary households have much higher estimated probabilities of upward mobility, with coefficients of</w:t>
      </w:r>
      <w:r>
        <w:t xml:space="preserve"> </w:t>
      </w:r>
      <w:r>
        <w:rPr>
          <w:b/>
          <w:bCs/>
        </w:rPr>
        <w:t xml:space="preserve">0.974</w:t>
      </w:r>
      <w:r>
        <w:t xml:space="preserve"> </w:t>
      </w:r>
      <w:r>
        <w:t xml:space="preserve">and</w:t>
      </w:r>
      <w:r>
        <w:t xml:space="preserve"> </w:t>
      </w:r>
      <w:r>
        <w:rPr>
          <w:b/>
          <w:bCs/>
        </w:rPr>
        <w:t xml:space="preserve">0.736</w:t>
      </w:r>
      <w:r>
        <w:t xml:space="preserve">, respectively.</w:t>
      </w:r>
    </w:p>
    <w:p>
      <w:pPr>
        <w:pStyle w:val="BodyText"/>
      </w:pPr>
      <w:r>
        <w:t xml:space="preserve">The non-parental covariates in the upward-mobility models are weaker. Urban residence is close to zero, the female coefficient is negative but only marginally significant, migration exposure is not precise, and multigenerational household structure is positive but not strongly estimated.</w:t>
      </w:r>
    </w:p>
    <w:p>
      <w:pPr>
        <w:pStyle w:val="BodyText"/>
      </w:pPr>
      <w:r>
        <w:t xml:space="preserve">These results suggest that most of the upward-mobility variation in the pooled model is driven by where the household starts in the parental education distribution rather than by the additional correlates included here.</w:t>
      </w:r>
    </w:p>
    <w:bookmarkEnd w:id="55"/>
    <w:bookmarkStart w:id="57" w:name="heterogeneity-in-persistence"/>
    <w:p>
      <w:pPr>
        <w:pStyle w:val="Heading3"/>
      </w:pPr>
      <w:r>
        <w:t xml:space="preserve">6.4 Heterogeneity in persistence</w:t>
      </w:r>
    </w:p>
    <w:p>
      <w:pPr>
        <w:pStyle w:val="FirstParagraph"/>
      </w:pPr>
      <w:r>
        <w:t xml:space="preserve">The persistence heterogeneity model shows a strong positive association between parental education score and the probability of remaining in the same education category as one’s parents. The coefficient on parental education score is</w:t>
      </w:r>
      <w:r>
        <w:t xml:space="preserve"> </w:t>
      </w:r>
      <w:r>
        <w:rPr>
          <w:b/>
          <w:bCs/>
        </w:rPr>
        <w:t xml:space="preserve">0.512</w:t>
      </w:r>
      <w:r>
        <w:t xml:space="preserve"> </w:t>
      </w:r>
      <w:r>
        <w:t xml:space="preserve">and is precisely estimated.</w:t>
      </w:r>
    </w:p>
    <w:p>
      <w:pPr>
        <w:pStyle w:val="BodyText"/>
      </w:pPr>
      <w:r>
        <w:t xml:space="preserve">There is some suggestive evidence that persistence is stronger in urban settings and weaker for women. The interaction between parent education and urban residence is positive at</w:t>
      </w:r>
      <w:r>
        <w:t xml:space="preserve"> </w:t>
      </w:r>
      <w:r>
        <w:rPr>
          <w:b/>
          <w:bCs/>
        </w:rPr>
        <w:t xml:space="preserve">0.076</w:t>
      </w:r>
      <w:r>
        <w:t xml:space="preserve"> </w:t>
      </w:r>
      <w:r>
        <w:t xml:space="preserve">and statistically significant (p = 0.052), while the interaction between parent education and female is negative at</w:t>
      </w:r>
      <w:r>
        <w:t xml:space="preserve"> </w:t>
      </w:r>
      <w:r>
        <w:rPr>
          <w:b/>
          <w:bCs/>
        </w:rPr>
        <w:t xml:space="preserve">-0.081</w:t>
      </w:r>
      <w:r>
        <w:t xml:space="preserve"> </w:t>
      </w:r>
      <w:r>
        <w:t xml:space="preserve">and statistically significant (p = 0.029). By contrast, the interaction between parent education and the 2022 wave is not statistically precise.</w:t>
      </w:r>
    </w:p>
    <w:p>
      <w:pPr>
        <w:pStyle w:val="BodyText"/>
      </w:pPr>
      <w:r>
        <w:t xml:space="preserve">A cautious reading is that parental education translates into same-category persistence across the entire sample, but the strength of that translation may vary by subgroup. In this dataset, the strongest subgroup evidence points to weaker persistence among women and somewhat stronger persistence in urban settings. Table</w:t>
      </w:r>
      <w:r>
        <w:t xml:space="preserve"> </w:t>
      </w:r>
      <w:hyperlink w:anchor="tbl-pooled-correlates">
        <w:r>
          <w:rPr>
            <w:rStyle w:val="Hyperlink"/>
          </w:rPr>
          <w:t xml:space="preserve">Table 2</w:t>
        </w:r>
      </w:hyperlink>
      <w:r>
        <w:t xml:space="preserve"> </w:t>
      </w:r>
      <w:r>
        <w:t xml:space="preserve">collects the selected coefficients discussed in Section 6.</w:t>
      </w:r>
    </w:p>
    <w:tbl>
      <w:tblPr>
        <w:tblStyle w:val="Table"/>
        <w:tblW w:type="pct" w:w="5000"/>
        <w:tblLayout w:type="fixed"/>
        <w:tblLook w:firstRow="0" w:lastRow="0" w:firstColumn="0" w:lastColumn="0" w:noHBand="0" w:noVBand="0" w:val="0000"/>
      </w:tblPr>
      <w:tblGrid>
        <w:gridCol w:w="7920"/>
      </w:tblGrid>
      <w:tr>
        <w:tc>
          <w:tcPr/>
          <w:bookmarkStart w:id="56" w:name="tbl-pooled-correlates"/>
          <w:p>
            <w:pPr>
              <w:jc w:val="center"/>
            </w:pPr>
            <w:pPr>
              <w:jc w:val="left"/>
              <w:spacing w:before="200"/>
              <w:pStyle w:val="ImageCaption"/>
            </w:pPr>
            <w:r>
              <w:t xml:space="preserve">Table 2: Selected pooled correlates estimates.</w:t>
            </w:r>
          </w:p>
          <w:tbl>
            <w:tblPr>
              <w:tblStyle w:val="Table"/>
              <w:tblW w:type="pct" w:w="5000"/>
              <w:tblLayout w:type="fixed"/>
              <w:tblLook w:firstRow="1" w:lastRow="0" w:firstColumn="0" w:lastColumn="0" w:noHBand="0" w:noVBand="0" w:val="0020"/>
            </w:tblPr>
            <w:tblGrid>
              <w:gridCol w:w="261"/>
              <w:gridCol w:w="2262"/>
              <w:gridCol w:w="2959"/>
              <w:gridCol w:w="783"/>
              <w:gridCol w:w="957"/>
              <w:gridCol w:w="696"/>
            </w:tblGrid>
            <w:tr>
              <w:trPr>
                <w:tblHeader w:val="on"/>
              </w:trPr>
              <w:tc>
                <w:tcPr/>
                <w:p>
                  <w:pPr>
                    <w:pStyle w:val="Compact"/>
                  </w:pPr>
                </w:p>
              </w:tc>
              <w:tc>
                <w:tcPr/>
                <w:p>
                  <w:pPr>
                    <w:pStyle w:val="Compact"/>
                    <w:jc w:val="left"/>
                    <w:jc w:val="center"/>
                  </w:pPr>
                  <w:r>
                    <w:t xml:space="preserve">Model</w:t>
                  </w:r>
                </w:p>
              </w:tc>
              <w:tc>
                <w:tcPr/>
                <w:p>
                  <w:pPr>
                    <w:pStyle w:val="Compact"/>
                    <w:jc w:val="left"/>
                    <w:jc w:val="center"/>
                  </w:pPr>
                  <w:r>
                    <w:t xml:space="preserve">Term</w:t>
                  </w:r>
                </w:p>
              </w:tc>
              <w:tc>
                <w:tcPr/>
                <w:p>
                  <w:pPr>
                    <w:pStyle w:val="Compact"/>
                    <w:jc w:val="left"/>
                    <w:jc w:val="center"/>
                  </w:pPr>
                  <w:r>
                    <w:t xml:space="preserve">Estimate</w:t>
                  </w:r>
                </w:p>
              </w:tc>
              <w:tc>
                <w:tcPr/>
                <w:p>
                  <w:pPr>
                    <w:pStyle w:val="Compact"/>
                    <w:jc w:val="left"/>
                    <w:jc w:val="center"/>
                  </w:pPr>
                  <w:r>
                    <w:t xml:space="preserve">Std. Error</w:t>
                  </w:r>
                </w:p>
              </w:tc>
              <w:tc>
                <w:tcPr/>
                <w:p>
                  <w:pPr>
                    <w:pStyle w:val="Compact"/>
                    <w:jc w:val="left"/>
                    <w:jc w:val="center"/>
                  </w:pPr>
                  <w:r>
                    <w:t xml:space="preserve">P-value</w:t>
                  </w:r>
                </w:p>
              </w:tc>
            </w:tr>
            <w:tr>
              <w:tc>
                <w:tcPr/>
                <w:p>
                  <w:pPr>
                    <w:pStyle w:val="Compact"/>
                    <w:jc w:val="left"/>
                    <w:jc w:val="center"/>
                  </w:pPr>
                  <w:r>
                    <w:t xml:space="preserve">1</w:t>
                  </w:r>
                </w:p>
              </w:tc>
              <w:tc>
                <w:tcPr/>
                <w:p>
                  <w:pPr>
                    <w:pStyle w:val="Compact"/>
                    <w:jc w:val="left"/>
                    <w:jc w:val="center"/>
                  </w:pPr>
                  <w:r>
                    <w:t xml:space="preserve">Persistence trend</w:t>
                  </w:r>
                </w:p>
              </w:tc>
              <w:tc>
                <w:tcPr/>
                <w:p>
                  <w:pPr>
                    <w:pStyle w:val="Compact"/>
                    <w:jc w:val="left"/>
                    <w:jc w:val="center"/>
                  </w:pPr>
                  <w:r>
                    <w:t xml:space="preserve">Parent rank</w:t>
                  </w:r>
                </w:p>
              </w:tc>
              <w:tc>
                <w:tcPr/>
                <w:p>
                  <w:pPr>
                    <w:pStyle w:val="Compact"/>
                    <w:jc w:val="left"/>
                    <w:jc w:val="center"/>
                  </w:pPr>
                  <w:r>
                    <w:t xml:space="preserve">0.080</w:t>
                  </w:r>
                </w:p>
              </w:tc>
              <w:tc>
                <w:tcPr/>
                <w:p>
                  <w:pPr>
                    <w:pStyle w:val="Compact"/>
                    <w:jc w:val="left"/>
                    <w:jc w:val="center"/>
                  </w:pPr>
                  <w:r>
                    <w:t xml:space="preserve">0.058</w:t>
                  </w:r>
                </w:p>
              </w:tc>
              <w:tc>
                <w:tcPr/>
                <w:p>
                  <w:pPr>
                    <w:pStyle w:val="Compact"/>
                    <w:jc w:val="left"/>
                    <w:jc w:val="center"/>
                  </w:pPr>
                  <w:r>
                    <w:t xml:space="preserve">0.179</w:t>
                  </w:r>
                </w:p>
              </w:tc>
            </w:tr>
            <w:tr>
              <w:tc>
                <w:tcPr/>
                <w:p>
                  <w:pPr>
                    <w:pStyle w:val="Compact"/>
                    <w:jc w:val="left"/>
                    <w:jc w:val="center"/>
                  </w:pPr>
                  <w:r>
                    <w:t xml:space="preserve">2</w:t>
                  </w:r>
                </w:p>
              </w:tc>
              <w:tc>
                <w:tcPr/>
                <w:p>
                  <w:pPr>
                    <w:pStyle w:val="Compact"/>
                    <w:jc w:val="left"/>
                    <w:jc w:val="center"/>
                  </w:pPr>
                  <w:r>
                    <w:t xml:space="preserve">Persistence trend</w:t>
                  </w:r>
                </w:p>
              </w:tc>
              <w:tc>
                <w:tcPr/>
                <w:p>
                  <w:pPr>
                    <w:pStyle w:val="Compact"/>
                    <w:jc w:val="left"/>
                    <w:jc w:val="center"/>
                  </w:pPr>
                  <w:r>
                    <w:t xml:space="preserve">Parent rank x 2016</w:t>
                  </w:r>
                </w:p>
              </w:tc>
              <w:tc>
                <w:tcPr/>
                <w:p>
                  <w:pPr>
                    <w:pStyle w:val="Compact"/>
                    <w:jc w:val="left"/>
                    <w:jc w:val="center"/>
                  </w:pPr>
                  <w:r>
                    <w:t xml:space="preserve">0.057</w:t>
                  </w:r>
                </w:p>
              </w:tc>
              <w:tc>
                <w:tcPr/>
                <w:p>
                  <w:pPr>
                    <w:pStyle w:val="Compact"/>
                    <w:jc w:val="left"/>
                    <w:jc w:val="center"/>
                  </w:pPr>
                  <w:r>
                    <w:t xml:space="preserve">0.132</w:t>
                  </w:r>
                </w:p>
              </w:tc>
              <w:tc>
                <w:tcPr/>
                <w:p>
                  <w:pPr>
                    <w:pStyle w:val="Compact"/>
                    <w:jc w:val="left"/>
                    <w:jc w:val="center"/>
                  </w:pPr>
                  <w:r>
                    <w:t xml:space="preserve">0.670</w:t>
                  </w:r>
                </w:p>
              </w:tc>
            </w:tr>
            <w:tr>
              <w:tc>
                <w:tcPr/>
                <w:p>
                  <w:pPr>
                    <w:pStyle w:val="Compact"/>
                    <w:jc w:val="left"/>
                    <w:jc w:val="center"/>
                  </w:pPr>
                  <w:r>
                    <w:t xml:space="preserve">3</w:t>
                  </w:r>
                </w:p>
              </w:tc>
              <w:tc>
                <w:tcPr/>
                <w:p>
                  <w:pPr>
                    <w:pStyle w:val="Compact"/>
                    <w:jc w:val="left"/>
                    <w:jc w:val="center"/>
                  </w:pPr>
                  <w:r>
                    <w:t xml:space="preserve">Persistence trend</w:t>
                  </w:r>
                </w:p>
              </w:tc>
              <w:tc>
                <w:tcPr/>
                <w:p>
                  <w:pPr>
                    <w:pStyle w:val="Compact"/>
                    <w:jc w:val="left"/>
                    <w:jc w:val="center"/>
                  </w:pPr>
                  <w:r>
                    <w:t xml:space="preserve">Parent rank x 2022-23</w:t>
                  </w:r>
                </w:p>
              </w:tc>
              <w:tc>
                <w:tcPr/>
                <w:p>
                  <w:pPr>
                    <w:pStyle w:val="Compact"/>
                    <w:jc w:val="left"/>
                    <w:jc w:val="center"/>
                  </w:pPr>
                  <w:r>
                    <w:t xml:space="preserve">-0.028</w:t>
                  </w:r>
                </w:p>
              </w:tc>
              <w:tc>
                <w:tcPr/>
                <w:p>
                  <w:pPr>
                    <w:pStyle w:val="Compact"/>
                    <w:jc w:val="left"/>
                    <w:jc w:val="center"/>
                  </w:pPr>
                  <w:r>
                    <w:t xml:space="preserve">0.067</w:t>
                  </w:r>
                </w:p>
              </w:tc>
              <w:tc>
                <w:tcPr/>
                <w:p>
                  <w:pPr>
                    <w:pStyle w:val="Compact"/>
                    <w:jc w:val="left"/>
                    <w:jc w:val="center"/>
                  </w:pPr>
                  <w:r>
                    <w:t xml:space="preserve">0.680</w:t>
                  </w:r>
                </w:p>
              </w:tc>
            </w:tr>
            <w:tr>
              <w:tc>
                <w:tcPr/>
                <w:p>
                  <w:pPr>
                    <w:pStyle w:val="Compact"/>
                    <w:jc w:val="left"/>
                    <w:jc w:val="center"/>
                  </w:pPr>
                  <w:r>
                    <w:t xml:space="preserve">8</w:t>
                  </w:r>
                </w:p>
              </w:tc>
              <w:tc>
                <w:tcPr/>
                <w:p>
                  <w:pPr>
                    <w:pStyle w:val="Compact"/>
                    <w:jc w:val="left"/>
                    <w:jc w:val="center"/>
                  </w:pPr>
                  <w:r>
                    <w:t xml:space="preserve">Attainment score</w:t>
                  </w:r>
                </w:p>
              </w:tc>
              <w:tc>
                <w:tcPr/>
                <w:p>
                  <w:pPr>
                    <w:pStyle w:val="Compact"/>
                    <w:jc w:val="left"/>
                    <w:jc w:val="center"/>
                  </w:pPr>
                  <w:r>
                    <w:t xml:space="preserve">Parent education score</w:t>
                  </w:r>
                </w:p>
              </w:tc>
              <w:tc>
                <w:tcPr/>
                <w:p>
                  <w:pPr>
                    <w:pStyle w:val="Compact"/>
                    <w:jc w:val="left"/>
                    <w:jc w:val="center"/>
                  </w:pPr>
                  <w:r>
                    <w:t xml:space="preserve">0.082</w:t>
                  </w:r>
                </w:p>
              </w:tc>
              <w:tc>
                <w:tcPr/>
                <w:p>
                  <w:pPr>
                    <w:pStyle w:val="Compact"/>
                    <w:jc w:val="left"/>
                    <w:jc w:val="center"/>
                  </w:pPr>
                  <w:r>
                    <w:t xml:space="preserve">0.024</w:t>
                  </w:r>
                </w:p>
              </w:tc>
              <w:tc>
                <w:tcPr/>
                <w:p>
                  <w:pPr>
                    <w:pStyle w:val="Compact"/>
                    <w:jc w:val="left"/>
                    <w:jc w:val="center"/>
                  </w:pPr>
                  <w:r>
                    <w:t xml:space="preserve">0.002</w:t>
                  </w:r>
                </w:p>
              </w:tc>
            </w:tr>
            <w:tr>
              <w:tc>
                <w:tcPr/>
                <w:p>
                  <w:pPr>
                    <w:pStyle w:val="Compact"/>
                    <w:jc w:val="left"/>
                    <w:jc w:val="center"/>
                  </w:pPr>
                  <w:r>
                    <w:t xml:space="preserve">10</w:t>
                  </w:r>
                </w:p>
              </w:tc>
              <w:tc>
                <w:tcPr/>
                <w:p>
                  <w:pPr>
                    <w:pStyle w:val="Compact"/>
                    <w:jc w:val="left"/>
                    <w:jc w:val="center"/>
                  </w:pPr>
                  <w:r>
                    <w:t xml:space="preserve">Attainment score</w:t>
                  </w:r>
                </w:p>
              </w:tc>
              <w:tc>
                <w:tcPr/>
                <w:p>
                  <w:pPr>
                    <w:pStyle w:val="Compact"/>
                    <w:jc w:val="left"/>
                    <w:jc w:val="center"/>
                  </w:pPr>
                  <w:r>
                    <w:t xml:space="preserve">Female</w:t>
                  </w:r>
                </w:p>
              </w:tc>
              <w:tc>
                <w:tcPr/>
                <w:p>
                  <w:pPr>
                    <w:pStyle w:val="Compact"/>
                    <w:jc w:val="left"/>
                    <w:jc w:val="center"/>
                  </w:pPr>
                  <w:r>
                    <w:t xml:space="preserve">-0.045</w:t>
                  </w:r>
                </w:p>
              </w:tc>
              <w:tc>
                <w:tcPr/>
                <w:p>
                  <w:pPr>
                    <w:pStyle w:val="Compact"/>
                    <w:jc w:val="left"/>
                    <w:jc w:val="center"/>
                  </w:pPr>
                  <w:r>
                    <w:t xml:space="preserve">0.020</w:t>
                  </w:r>
                </w:p>
              </w:tc>
              <w:tc>
                <w:tcPr/>
                <w:p>
                  <w:pPr>
                    <w:pStyle w:val="Compact"/>
                    <w:jc w:val="left"/>
                    <w:jc w:val="center"/>
                  </w:pPr>
                  <w:r>
                    <w:t xml:space="preserve">0.034</w:t>
                  </w:r>
                </w:p>
              </w:tc>
            </w:tr>
            <w:tr>
              <w:tc>
                <w:tcPr/>
                <w:p>
                  <w:pPr>
                    <w:pStyle w:val="Compact"/>
                    <w:jc w:val="left"/>
                    <w:jc w:val="center"/>
                  </w:pPr>
                  <w:r>
                    <w:t xml:space="preserve">13</w:t>
                  </w:r>
                </w:p>
              </w:tc>
              <w:tc>
                <w:tcPr/>
                <w:p>
                  <w:pPr>
                    <w:pStyle w:val="Compact"/>
                    <w:jc w:val="left"/>
                    <w:jc w:val="center"/>
                  </w:pPr>
                  <w:r>
                    <w:t xml:space="preserve">Upward mobility</w:t>
                  </w:r>
                </w:p>
              </w:tc>
              <w:tc>
                <w:tcPr/>
                <w:p>
                  <w:pPr>
                    <w:pStyle w:val="Compact"/>
                    <w:jc w:val="left"/>
                    <w:jc w:val="center"/>
                  </w:pPr>
                  <w:r>
                    <w:t xml:space="preserve">Parent education: primary</w:t>
                  </w:r>
                </w:p>
              </w:tc>
              <w:tc>
                <w:tcPr/>
                <w:p>
                  <w:pPr>
                    <w:pStyle w:val="Compact"/>
                    <w:jc w:val="left"/>
                    <w:jc w:val="center"/>
                  </w:pPr>
                  <w:r>
                    <w:t xml:space="preserve">0.974</w:t>
                  </w:r>
                </w:p>
              </w:tc>
              <w:tc>
                <w:tcPr/>
                <w:p>
                  <w:pPr>
                    <w:pStyle w:val="Compact"/>
                    <w:jc w:val="left"/>
                    <w:jc w:val="center"/>
                  </w:pPr>
                  <w:r>
                    <w:t xml:space="preserve">0.010</w:t>
                  </w:r>
                </w:p>
              </w:tc>
              <w:tc>
                <w:tcPr/>
                <w:p>
                  <w:pPr>
                    <w:pStyle w:val="Compact"/>
                    <w:jc w:val="left"/>
                    <w:jc w:val="center"/>
                  </w:pPr>
                  <w:r>
                    <w:t xml:space="preserve">&lt;0.001</w:t>
                  </w:r>
                </w:p>
              </w:tc>
            </w:tr>
            <w:tr>
              <w:tc>
                <w:tcPr/>
                <w:p>
                  <w:pPr>
                    <w:pStyle w:val="Compact"/>
                    <w:jc w:val="left"/>
                    <w:jc w:val="center"/>
                  </w:pPr>
                  <w:r>
                    <w:t xml:space="preserve">14</w:t>
                  </w:r>
                </w:p>
              </w:tc>
              <w:tc>
                <w:tcPr/>
                <w:p>
                  <w:pPr>
                    <w:pStyle w:val="Compact"/>
                    <w:jc w:val="left"/>
                    <w:jc w:val="center"/>
                  </w:pPr>
                  <w:r>
                    <w:t xml:space="preserve">Upward mobility</w:t>
                  </w:r>
                </w:p>
              </w:tc>
              <w:tc>
                <w:tcPr/>
                <w:p>
                  <w:pPr>
                    <w:pStyle w:val="Compact"/>
                    <w:jc w:val="left"/>
                    <w:jc w:val="center"/>
                  </w:pPr>
                  <w:r>
                    <w:t xml:space="preserve">Parent education: lower secondary</w:t>
                  </w:r>
                </w:p>
              </w:tc>
              <w:tc>
                <w:tcPr/>
                <w:p>
                  <w:pPr>
                    <w:pStyle w:val="Compact"/>
                    <w:jc w:val="left"/>
                    <w:jc w:val="center"/>
                  </w:pPr>
                  <w:r>
                    <w:t xml:space="preserve">0.736</w:t>
                  </w:r>
                </w:p>
              </w:tc>
              <w:tc>
                <w:tcPr/>
                <w:p>
                  <w:pPr>
                    <w:pStyle w:val="Compact"/>
                    <w:jc w:val="left"/>
                    <w:jc w:val="center"/>
                  </w:pPr>
                  <w:r>
                    <w:t xml:space="preserve">0.039</w:t>
                  </w:r>
                </w:p>
              </w:tc>
              <w:tc>
                <w:tcPr/>
                <w:p>
                  <w:pPr>
                    <w:pStyle w:val="Compact"/>
                    <w:jc w:val="left"/>
                    <w:jc w:val="center"/>
                  </w:pPr>
                  <w:r>
                    <w:t xml:space="preserve">&lt;0.001</w:t>
                  </w:r>
                </w:p>
              </w:tc>
            </w:tr>
            <w:tr>
              <w:tc>
                <w:tcPr/>
                <w:p>
                  <w:pPr>
                    <w:pStyle w:val="Compact"/>
                    <w:jc w:val="left"/>
                    <w:jc w:val="center"/>
                  </w:pPr>
                  <w:r>
                    <w:t xml:space="preserve">25</w:t>
                  </w:r>
                </w:p>
              </w:tc>
              <w:tc>
                <w:tcPr/>
                <w:p>
                  <w:pPr>
                    <w:pStyle w:val="Compact"/>
                    <w:jc w:val="left"/>
                    <w:jc w:val="center"/>
                  </w:pPr>
                  <w:r>
                    <w:t xml:space="preserve">Persistence heterogeneity</w:t>
                  </w:r>
                </w:p>
              </w:tc>
              <w:tc>
                <w:tcPr/>
                <w:p>
                  <w:pPr>
                    <w:pStyle w:val="Compact"/>
                    <w:jc w:val="left"/>
                    <w:jc w:val="center"/>
                  </w:pPr>
                  <w:r>
                    <w:t xml:space="preserve">Parent education score</w:t>
                  </w:r>
                </w:p>
              </w:tc>
              <w:tc>
                <w:tcPr/>
                <w:p>
                  <w:pPr>
                    <w:pStyle w:val="Compact"/>
                    <w:jc w:val="left"/>
                    <w:jc w:val="center"/>
                  </w:pPr>
                  <w:r>
                    <w:t xml:space="preserve">0.512</w:t>
                  </w:r>
                </w:p>
              </w:tc>
              <w:tc>
                <w:tcPr/>
                <w:p>
                  <w:pPr>
                    <w:pStyle w:val="Compact"/>
                    <w:jc w:val="left"/>
                    <w:jc w:val="center"/>
                  </w:pPr>
                  <w:r>
                    <w:t xml:space="preserve">0.035</w:t>
                  </w:r>
                </w:p>
              </w:tc>
              <w:tc>
                <w:tcPr/>
                <w:p>
                  <w:pPr>
                    <w:pStyle w:val="Compact"/>
                    <w:jc w:val="left"/>
                    <w:jc w:val="center"/>
                  </w:pPr>
                  <w:r>
                    <w:t xml:space="preserve">&lt;0.001</w:t>
                  </w:r>
                </w:p>
              </w:tc>
            </w:tr>
            <w:tr>
              <w:tc>
                <w:tcPr/>
                <w:p>
                  <w:pPr>
                    <w:pStyle w:val="Compact"/>
                    <w:jc w:val="left"/>
                    <w:jc w:val="center"/>
                  </w:pPr>
                  <w:r>
                    <w:t xml:space="preserve">30</w:t>
                  </w:r>
                </w:p>
              </w:tc>
              <w:tc>
                <w:tcPr/>
                <w:p>
                  <w:pPr>
                    <w:pStyle w:val="Compact"/>
                    <w:jc w:val="left"/>
                    <w:jc w:val="center"/>
                  </w:pPr>
                  <w:r>
                    <w:t xml:space="preserve">Persistence heterogeneity</w:t>
                  </w:r>
                </w:p>
              </w:tc>
              <w:tc>
                <w:tcPr/>
                <w:p>
                  <w:pPr>
                    <w:pStyle w:val="Compact"/>
                    <w:jc w:val="left"/>
                    <w:jc w:val="center"/>
                  </w:pPr>
                  <w:r>
                    <w:t xml:space="preserve">Parent education score x urban</w:t>
                  </w:r>
                </w:p>
              </w:tc>
              <w:tc>
                <w:tcPr/>
                <w:p>
                  <w:pPr>
                    <w:pStyle w:val="Compact"/>
                    <w:jc w:val="left"/>
                    <w:jc w:val="center"/>
                  </w:pPr>
                  <w:r>
                    <w:t xml:space="preserve">0.076</w:t>
                  </w:r>
                </w:p>
              </w:tc>
              <w:tc>
                <w:tcPr/>
                <w:p>
                  <w:pPr>
                    <w:pStyle w:val="Compact"/>
                    <w:jc w:val="left"/>
                    <w:jc w:val="center"/>
                  </w:pPr>
                  <w:r>
                    <w:t xml:space="preserve">0.037</w:t>
                  </w:r>
                </w:p>
              </w:tc>
              <w:tc>
                <w:tcPr/>
                <w:p>
                  <w:pPr>
                    <w:pStyle w:val="Compact"/>
                    <w:jc w:val="left"/>
                    <w:jc w:val="center"/>
                  </w:pPr>
                  <w:r>
                    <w:t xml:space="preserve">0.052</w:t>
                  </w:r>
                </w:p>
              </w:tc>
            </w:tr>
            <w:tr>
              <w:tc>
                <w:tcPr/>
                <w:p>
                  <w:pPr>
                    <w:pStyle w:val="Compact"/>
                    <w:jc w:val="left"/>
                    <w:jc w:val="center"/>
                  </w:pPr>
                  <w:r>
                    <w:t xml:space="preserve">31</w:t>
                  </w:r>
                </w:p>
              </w:tc>
              <w:tc>
                <w:tcPr/>
                <w:p>
                  <w:pPr>
                    <w:pStyle w:val="Compact"/>
                    <w:jc w:val="left"/>
                    <w:jc w:val="center"/>
                  </w:pPr>
                  <w:r>
                    <w:t xml:space="preserve">Persistence heterogeneity</w:t>
                  </w:r>
                </w:p>
              </w:tc>
              <w:tc>
                <w:tcPr/>
                <w:p>
                  <w:pPr>
                    <w:pStyle w:val="Compact"/>
                    <w:jc w:val="left"/>
                    <w:jc w:val="center"/>
                  </w:pPr>
                  <w:r>
                    <w:t xml:space="preserve">Parent education score x female</w:t>
                  </w:r>
                </w:p>
              </w:tc>
              <w:tc>
                <w:tcPr/>
                <w:p>
                  <w:pPr>
                    <w:pStyle w:val="Compact"/>
                    <w:jc w:val="left"/>
                    <w:jc w:val="center"/>
                  </w:pPr>
                  <w:r>
                    <w:t xml:space="preserve">-0.081</w:t>
                  </w:r>
                </w:p>
              </w:tc>
              <w:tc>
                <w:tcPr/>
                <w:p>
                  <w:pPr>
                    <w:pStyle w:val="Compact"/>
                    <w:jc w:val="left"/>
                    <w:jc w:val="center"/>
                  </w:pPr>
                  <w:r>
                    <w:t xml:space="preserve">0.035</w:t>
                  </w:r>
                </w:p>
              </w:tc>
              <w:tc>
                <w:tcPr/>
                <w:p>
                  <w:pPr>
                    <w:pStyle w:val="Compact"/>
                    <w:jc w:val="left"/>
                    <w:jc w:val="center"/>
                  </w:pPr>
                  <w:r>
                    <w:t xml:space="preserve">0.029</w:t>
                  </w:r>
                </w:p>
              </w:tc>
            </w:tr>
          </w:tbl>
          <w:bookmarkEnd w:id="56"/>
          <w:p/>
        </w:tc>
      </w:tr>
    </w:tbl>
    <w:bookmarkEnd w:id="57"/>
    <w:bookmarkEnd w:id="58"/>
    <w:bookmarkStart w:id="62" w:name="bounded-lits-iv-child-module-extension"/>
    <w:p>
      <w:pPr>
        <w:pStyle w:val="Heading2"/>
      </w:pPr>
      <w:r>
        <w:t xml:space="preserve">7. Bounded LiTS IV Child Module Extension</w:t>
      </w:r>
    </w:p>
    <w:bookmarkStart w:id="60" w:name="sample-and-disruption-profile"/>
    <w:p>
      <w:pPr>
        <w:pStyle w:val="Heading3"/>
      </w:pPr>
      <w:r>
        <w:t xml:space="preserve">7.1 Sample and disruption profile</w:t>
      </w:r>
    </w:p>
    <w:p>
      <w:pPr>
        <w:pStyle w:val="FirstParagraph"/>
      </w:pPr>
      <w:r>
        <w:t xml:space="preserve">The child-module extension is deliberately kept secondary to Modules A and B. It is based on 183 respondents with a child enrolled before COVID and non-missing parental schooling. Table</w:t>
      </w:r>
      <w:r>
        <w:t xml:space="preserve"> </w:t>
      </w:r>
      <w:hyperlink w:anchor="tbl-modulec-sample">
        <w:r>
          <w:rPr>
            <w:rStyle w:val="Hyperlink"/>
          </w:rPr>
          <w:t xml:space="preserve">Table 3</w:t>
        </w:r>
      </w:hyperlink>
      <w:r>
        <w:t xml:space="preserve"> </w:t>
      </w:r>
      <w:r>
        <w:t xml:space="preserve">reports the sample flow.</w:t>
      </w:r>
    </w:p>
    <w:p>
      <w:pPr>
        <w:pStyle w:val="BodyText"/>
      </w:pPr>
      <w:r>
        <w:t xml:space="preserve">Within this sample, disruption was widespread. About</w:t>
      </w:r>
      <w:r>
        <w:t xml:space="preserve"> </w:t>
      </w:r>
      <w:r>
        <w:rPr>
          <w:b/>
          <w:bCs/>
        </w:rPr>
        <w:t xml:space="preserve">93.0 percent</w:t>
      </w:r>
      <w:r>
        <w:t xml:space="preserve"> </w:t>
      </w:r>
      <w:r>
        <w:t xml:space="preserve">report switching to online learning,</w:t>
      </w:r>
      <w:r>
        <w:t xml:space="preserve"> </w:t>
      </w:r>
      <w:r>
        <w:rPr>
          <w:b/>
          <w:bCs/>
        </w:rPr>
        <w:t xml:space="preserve">83.3 percent</w:t>
      </w:r>
      <w:r>
        <w:t xml:space="preserve"> </w:t>
      </w:r>
      <w:r>
        <w:t xml:space="preserve">report switching to hybrid learning,</w:t>
      </w:r>
      <w:r>
        <w:t xml:space="preserve"> </w:t>
      </w:r>
      <w:r>
        <w:rPr>
          <w:b/>
          <w:bCs/>
        </w:rPr>
        <w:t xml:space="preserve">85.2 percent</w:t>
      </w:r>
      <w:r>
        <w:t xml:space="preserve"> </w:t>
      </w:r>
      <w:r>
        <w:t xml:space="preserve">report school closure without online learning, and</w:t>
      </w:r>
      <w:r>
        <w:t xml:space="preserve"> </w:t>
      </w:r>
      <w:r>
        <w:rPr>
          <w:b/>
          <w:bCs/>
        </w:rPr>
        <w:t xml:space="preserve">78.3 percent</w:t>
      </w:r>
      <w:r>
        <w:t xml:space="preserve"> </w:t>
      </w:r>
      <w:r>
        <w:t xml:space="preserve">report that the child stopped education during COVID. Constraints were also common:</w:t>
      </w:r>
      <w:r>
        <w:t xml:space="preserve"> </w:t>
      </w:r>
      <w:r>
        <w:rPr>
          <w:b/>
          <w:bCs/>
        </w:rPr>
        <w:t xml:space="preserve">72.6 percent</w:t>
      </w:r>
      <w:r>
        <w:t xml:space="preserve"> </w:t>
      </w:r>
      <w:r>
        <w:t xml:space="preserve">report internet challenges,</w:t>
      </w:r>
      <w:r>
        <w:t xml:space="preserve"> </w:t>
      </w:r>
      <w:r>
        <w:rPr>
          <w:b/>
          <w:bCs/>
        </w:rPr>
        <w:t xml:space="preserve">66.3 percent</w:t>
      </w:r>
      <w:r>
        <w:t xml:space="preserve"> </w:t>
      </w:r>
      <w:r>
        <w:t xml:space="preserve">cost-related challenges,</w:t>
      </w:r>
      <w:r>
        <w:t xml:space="preserve"> </w:t>
      </w:r>
      <w:r>
        <w:rPr>
          <w:b/>
          <w:bCs/>
        </w:rPr>
        <w:t xml:space="preserve">63.5 percent</w:t>
      </w:r>
      <w:r>
        <w:t xml:space="preserve"> </w:t>
      </w:r>
      <w:r>
        <w:t xml:space="preserve">device challenges, and</w:t>
      </w:r>
      <w:r>
        <w:t xml:space="preserve"> </w:t>
      </w:r>
      <w:r>
        <w:rPr>
          <w:b/>
          <w:bCs/>
        </w:rPr>
        <w:t xml:space="preserve">60.5 percent</w:t>
      </w:r>
      <w:r>
        <w:t xml:space="preserve"> </w:t>
      </w:r>
      <w:r>
        <w:t xml:space="preserve">shared-device use. Learning support was overwhelmingly household-based, with mothers reported as the support channel in</w:t>
      </w:r>
      <w:r>
        <w:t xml:space="preserve"> </w:t>
      </w:r>
      <w:r>
        <w:rPr>
          <w:b/>
          <w:bCs/>
        </w:rPr>
        <w:t xml:space="preserve">87.0 percent</w:t>
      </w:r>
      <w:r>
        <w:t xml:space="preserve"> </w:t>
      </w:r>
      <w:r>
        <w:t xml:space="preserve">of cases, compared with</w:t>
      </w:r>
      <w:r>
        <w:t xml:space="preserve"> </w:t>
      </w:r>
      <w:r>
        <w:rPr>
          <w:b/>
          <w:bCs/>
        </w:rPr>
        <w:t xml:space="preserve">3.7 percent</w:t>
      </w:r>
      <w:r>
        <w:t xml:space="preserve"> </w:t>
      </w:r>
      <w:r>
        <w:t xml:space="preserve">for fathers and</w:t>
      </w:r>
      <w:r>
        <w:t xml:space="preserve"> </w:t>
      </w:r>
      <w:r>
        <w:rPr>
          <w:b/>
          <w:bCs/>
        </w:rPr>
        <w:t xml:space="preserve">6.6 percent</w:t>
      </w:r>
      <w:r>
        <w:t xml:space="preserve"> </w:t>
      </w:r>
      <w:r>
        <w:t xml:space="preserve">for grandparents or relatives.</w:t>
      </w:r>
    </w:p>
    <w:tbl>
      <w:tblPr>
        <w:tblStyle w:val="Table"/>
        <w:tblW w:type="pct" w:w="5000"/>
        <w:tblLayout w:type="fixed"/>
        <w:tblLook w:firstRow="0" w:lastRow="0" w:firstColumn="0" w:lastColumn="0" w:noHBand="0" w:noVBand="0" w:val="0000"/>
      </w:tblPr>
      <w:tblGrid>
        <w:gridCol w:w="7920"/>
      </w:tblGrid>
      <w:tr>
        <w:tc>
          <w:tcPr/>
          <w:bookmarkStart w:id="59" w:name="tbl-modulec-sample"/>
          <w:p>
            <w:pPr>
              <w:jc w:val="center"/>
            </w:pPr>
            <w:pPr>
              <w:jc w:val="left"/>
              <w:spacing w:before="200"/>
              <w:pStyle w:val="ImageCaption"/>
            </w:pPr>
            <w:r>
              <w:t xml:space="preserve">Table 3: LiTS IV child-module sample construction for Uzbekistan.</w:t>
            </w:r>
          </w:p>
          <w:tbl>
            <w:tblPr>
              <w:tblStyle w:val="Table"/>
              <w:tblW w:type="pct" w:w="5000"/>
              <w:tblLayout w:type="fixed"/>
              <w:tblLook w:firstRow="1" w:lastRow="0" w:firstColumn="0" w:lastColumn="0" w:noHBand="0" w:noVBand="0" w:val="0020"/>
            </w:tblPr>
            <w:tblGrid>
              <w:gridCol w:w="7362"/>
              <w:gridCol w:w="557"/>
            </w:tblGrid>
            <w:tr>
              <w:trPr>
                <w:tblHeader w:val="on"/>
              </w:trPr>
              <w:tc>
                <w:tcPr/>
                <w:p>
                  <w:pPr>
                    <w:pStyle w:val="Compact"/>
                    <w:jc w:val="left"/>
                    <w:jc w:val="center"/>
                  </w:pPr>
                  <w:r>
                    <w:t xml:space="preserve">Step</w:t>
                  </w:r>
                </w:p>
              </w:tc>
              <w:tc>
                <w:tcPr/>
                <w:p>
                  <w:pPr>
                    <w:pStyle w:val="Compact"/>
                    <w:jc w:val="right"/>
                    <w:jc w:val="center"/>
                  </w:pPr>
                  <w:r>
                    <w:t xml:space="preserve">N</w:t>
                  </w:r>
                </w:p>
              </w:tc>
            </w:tr>
            <w:tr>
              <w:tc>
                <w:tcPr/>
                <w:p>
                  <w:pPr>
                    <w:pStyle w:val="Compact"/>
                    <w:jc w:val="left"/>
                    <w:jc w:val="center"/>
                  </w:pPr>
                  <w:r>
                    <w:t xml:space="preserve">Uzbekistan LiTS IV respondents</w:t>
                  </w:r>
                </w:p>
              </w:tc>
              <w:tc>
                <w:tcPr/>
                <w:p>
                  <w:pPr>
                    <w:pStyle w:val="Compact"/>
                    <w:jc w:val="right"/>
                    <w:jc w:val="center"/>
                  </w:pPr>
                  <w:r>
                    <w:t xml:space="preserve">1006</w:t>
                  </w:r>
                </w:p>
              </w:tc>
            </w:tr>
            <w:tr>
              <w:tc>
                <w:tcPr/>
                <w:p>
                  <w:pPr>
                    <w:pStyle w:val="Compact"/>
                    <w:jc w:val="left"/>
                    <w:jc w:val="center"/>
                  </w:pPr>
                  <w:r>
                    <w:t xml:space="preserve">Respondents with child module eligibility info (q713 non-missing)</w:t>
                  </w:r>
                </w:p>
              </w:tc>
              <w:tc>
                <w:tcPr/>
                <w:p>
                  <w:pPr>
                    <w:pStyle w:val="Compact"/>
                    <w:jc w:val="right"/>
                    <w:jc w:val="center"/>
                  </w:pPr>
                  <w:r>
                    <w:t xml:space="preserve">650</w:t>
                  </w:r>
                </w:p>
              </w:tc>
            </w:tr>
            <w:tr>
              <w:tc>
                <w:tcPr/>
                <w:p>
                  <w:pPr>
                    <w:pStyle w:val="Compact"/>
                    <w:jc w:val="left"/>
                    <w:jc w:val="center"/>
                  </w:pPr>
                  <w:r>
                    <w:t xml:space="preserve">Respondents with child enrolled pre-COVID (q713 = yes)</w:t>
                  </w:r>
                </w:p>
              </w:tc>
              <w:tc>
                <w:tcPr/>
                <w:p>
                  <w:pPr>
                    <w:pStyle w:val="Compact"/>
                    <w:jc w:val="right"/>
                    <w:jc w:val="center"/>
                  </w:pPr>
                  <w:r>
                    <w:t xml:space="preserve">186</w:t>
                  </w:r>
                </w:p>
              </w:tc>
            </w:tr>
            <w:tr>
              <w:tc>
                <w:tcPr/>
                <w:p>
                  <w:pPr>
                    <w:pStyle w:val="Compact"/>
                    <w:jc w:val="left"/>
                    <w:jc w:val="center"/>
                  </w:pPr>
                  <w:r>
                    <w:t xml:space="preserve">Mechanism sample with non-missing parental schooling</w:t>
                  </w:r>
                </w:p>
              </w:tc>
              <w:tc>
                <w:tcPr/>
                <w:p>
                  <w:pPr>
                    <w:pStyle w:val="Compact"/>
                    <w:jc w:val="right"/>
                    <w:jc w:val="center"/>
                  </w:pPr>
                  <w:r>
                    <w:t xml:space="preserve">183</w:t>
                  </w:r>
                </w:p>
              </w:tc>
            </w:tr>
            <w:tr>
              <w:tc>
                <w:tcPr/>
                <w:p>
                  <w:pPr>
                    <w:pStyle w:val="Compact"/>
                    <w:jc w:val="left"/>
                    <w:jc w:val="center"/>
                  </w:pPr>
                  <w:r>
                    <w:t xml:space="preserve">Parental schooling median threshold (years)</w:t>
                  </w:r>
                </w:p>
              </w:tc>
              <w:tc>
                <w:tcPr/>
                <w:p>
                  <w:pPr>
                    <w:pStyle w:val="Compact"/>
                    <w:jc w:val="right"/>
                    <w:jc w:val="center"/>
                  </w:pPr>
                  <w:r>
                    <w:t xml:space="preserve">12</w:t>
                  </w:r>
                </w:p>
              </w:tc>
            </w:tr>
            <w:tr>
              <w:tc>
                <w:tcPr/>
                <w:p>
                  <w:pPr>
                    <w:pStyle w:val="Compact"/>
                    <w:jc w:val="left"/>
                    <w:jc w:val="center"/>
                  </w:pPr>
                  <w:r>
                    <w:t xml:space="preserve">Baseline low-parent-education group size</w:t>
                  </w:r>
                </w:p>
              </w:tc>
              <w:tc>
                <w:tcPr/>
                <w:p>
                  <w:pPr>
                    <w:pStyle w:val="Compact"/>
                    <w:jc w:val="right"/>
                    <w:jc w:val="center"/>
                  </w:pPr>
                  <w:r>
                    <w:t xml:space="preserve">99</w:t>
                  </w:r>
                </w:p>
              </w:tc>
            </w:tr>
            <w:tr>
              <w:tc>
                <w:tcPr/>
                <w:p>
                  <w:pPr>
                    <w:pStyle w:val="Compact"/>
                    <w:jc w:val="left"/>
                    <w:jc w:val="center"/>
                  </w:pPr>
                  <w:r>
                    <w:t xml:space="preserve">Baseline higher-parent-education group size</w:t>
                  </w:r>
                </w:p>
              </w:tc>
              <w:tc>
                <w:tcPr/>
                <w:p>
                  <w:pPr>
                    <w:pStyle w:val="Compact"/>
                    <w:jc w:val="right"/>
                    <w:jc w:val="center"/>
                  </w:pPr>
                  <w:r>
                    <w:t xml:space="preserve">87</w:t>
                  </w:r>
                </w:p>
              </w:tc>
            </w:tr>
          </w:tbl>
          <w:bookmarkEnd w:id="59"/>
          <w:p/>
        </w:tc>
      </w:tr>
    </w:tbl>
    <w:bookmarkEnd w:id="60"/>
    <w:bookmarkStart w:id="61" w:name="main-regression-takeaway"/>
    <w:p>
      <w:pPr>
        <w:pStyle w:val="Heading3"/>
      </w:pPr>
      <w:r>
        <w:t xml:space="preserve">7.2 Main regression takeaway</w:t>
      </w:r>
    </w:p>
    <w:p>
      <w:pPr>
        <w:pStyle w:val="FirstParagraph"/>
      </w:pPr>
      <w:r>
        <w:t xml:space="preserve">One regression result deserves emphasis. Low parental education is positively and significantly associated with the probability that a child’s education stopped during COVID. The corresponding coefficient is</w:t>
      </w:r>
      <w:r>
        <w:t xml:space="preserve"> </w:t>
      </w:r>
      <w:r>
        <w:rPr>
          <w:b/>
          <w:bCs/>
        </w:rPr>
        <w:t xml:space="preserve">1.040</w:t>
      </w:r>
      <w:r>
        <w:t xml:space="preserve"> </w:t>
      </w:r>
      <w:r>
        <w:t xml:space="preserve">with p = 0.003. That result is substantively consistent with the descriptive split: the stoppage rate is</w:t>
      </w:r>
      <w:r>
        <w:t xml:space="preserve"> </w:t>
      </w:r>
      <w:r>
        <w:rPr>
          <w:b/>
          <w:bCs/>
        </w:rPr>
        <w:t xml:space="preserve">81.5 percent</w:t>
      </w:r>
      <w:r>
        <w:t xml:space="preserve"> </w:t>
      </w:r>
      <w:r>
        <w:t xml:space="preserve">among children from lower-parent-education households versus</w:t>
      </w:r>
      <w:r>
        <w:t xml:space="preserve"> </w:t>
      </w:r>
      <w:r>
        <w:rPr>
          <w:b/>
          <w:bCs/>
        </w:rPr>
        <w:t xml:space="preserve">74.5 percent</w:t>
      </w:r>
      <w:r>
        <w:t xml:space="preserve"> </w:t>
      </w:r>
      <w:r>
        <w:t xml:space="preserve">among those from higher-parent-education households.</w:t>
      </w:r>
    </w:p>
    <w:p>
      <w:pPr>
        <w:pStyle w:val="BodyText"/>
      </w:pPr>
      <w:r>
        <w:t xml:space="preserve">Beyond this stoppage result, the remaining mechanism regressions are secondary, less precise, or both, and are therefore reported in the technical appendix rather than emphasized in the main text. The extension is useful for showing that household vulnerability mattered during disruption, but it remains suggestive rather than causal.</w:t>
      </w:r>
    </w:p>
    <w:bookmarkEnd w:id="61"/>
    <w:bookmarkEnd w:id="62"/>
    <w:bookmarkStart w:id="63" w:name="discussion-and-policy-implications"/>
    <w:p>
      <w:pPr>
        <w:pStyle w:val="Heading2"/>
      </w:pPr>
      <w:r>
        <w:t xml:space="preserve">8. Discussion and Policy Implications</w:t>
      </w:r>
    </w:p>
    <w:p>
      <w:pPr>
        <w:pStyle w:val="FirstParagraph"/>
      </w:pPr>
      <w:r>
        <w:t xml:space="preserve">Three broad conclusions emerge from the analysis.</w:t>
      </w:r>
    </w:p>
    <w:p>
      <w:pPr>
        <w:pStyle w:val="BodyText"/>
      </w:pPr>
      <w:r>
        <w:t xml:space="preserve">First, Uzbekistan exhibits substantial intergenerational educational persistence. Descriptive persistence measures rise across waves, but the pooled models do not estimate the change precisely, so the evidence is stronger on levels than on time trends.</w:t>
      </w:r>
    </w:p>
    <w:p>
      <w:pPr>
        <w:pStyle w:val="BodyText"/>
      </w:pPr>
      <w:r>
        <w:t xml:space="preserve">Second, parental education is the most consistent predictor in the pooled correlates models. The data provide less clear evidence that migration exposure or multigenerational household structure independently explain mobility once the core controls and fixed effects are added, although these factors may still matter through channels the present specifications do not capture well.</w:t>
      </w:r>
    </w:p>
    <w:p>
      <w:pPr>
        <w:pStyle w:val="BodyText"/>
      </w:pPr>
      <w:r>
        <w:t xml:space="preserve">Third, the pandemic mechanism evidence underscores the practical importance of household learning conditions. Device sharing, internet quality, and time- or cost-related constraints were common, and support was overwhelmingly provided by mothers. This suggests that inequality in education is shaped not only by formal access to schools but also by what households can do when schools are disrupted or when learning increasingly depends on home resources.</w:t>
      </w:r>
    </w:p>
    <w:p>
      <w:pPr>
        <w:pStyle w:val="BodyText"/>
      </w:pPr>
      <w:r>
        <w:t xml:space="preserve">These findings imply several policy priorities.</w:t>
      </w:r>
    </w:p>
    <w:p>
      <w:pPr>
        <w:pStyle w:val="Compact"/>
        <w:numPr>
          <w:ilvl w:val="0"/>
          <w:numId w:val="1003"/>
        </w:numPr>
      </w:pPr>
      <w:r>
        <w:t xml:space="preserve">Reduce the dependence of educational attainment on parental background. This requires support mechanisms that reach children before inequalities become locked in, including targeted remedial support, better transitions across schooling stages, and greater access to quality secondary and post-secondary pathways.</w:t>
      </w:r>
    </w:p>
    <w:p>
      <w:pPr>
        <w:pStyle w:val="Compact"/>
        <w:numPr>
          <w:ilvl w:val="0"/>
          <w:numId w:val="1003"/>
        </w:numPr>
      </w:pPr>
      <w:r>
        <w:t xml:space="preserve">Address spatial and household bottlenecks. Even when the pooled urban coefficient is imprecise, the broader evidence suggests that regional and household conditions matter. Policies should therefore focus on infrastructure, support services, and local inequalities rather than only on average national provision.</w:t>
      </w:r>
    </w:p>
    <w:p>
      <w:pPr>
        <w:pStyle w:val="Compact"/>
        <w:numPr>
          <w:ilvl w:val="0"/>
          <w:numId w:val="1003"/>
        </w:numPr>
      </w:pPr>
      <w:r>
        <w:t xml:space="preserve">Strengthen household support capacity in periods of disruption. The child module highlights that digital access is not only about whether a household has internet, but about quality, device availability, and the ability of adults to help children learn. Policies that support digital inclusion, device access, and flexible learning support can reduce the educational cost of future shocks.</w:t>
      </w:r>
    </w:p>
    <w:p>
      <w:pPr>
        <w:pStyle w:val="Compact"/>
        <w:numPr>
          <w:ilvl w:val="0"/>
          <w:numId w:val="1003"/>
        </w:numPr>
      </w:pPr>
      <w:r>
        <w:t xml:space="preserve">Treat mothers’ support burden as a real education policy issue. The mechanism evidence suggests that mothers carried most of the home-learning burden during the pandemic. Education policy and social policy should recognize this support role rather than assume that learning continuity is costless inside the household.</w:t>
      </w:r>
    </w:p>
    <w:bookmarkEnd w:id="63"/>
    <w:bookmarkStart w:id="64" w:name="limitations"/>
    <w:p>
      <w:pPr>
        <w:pStyle w:val="Heading2"/>
      </w:pPr>
      <w:r>
        <w:t xml:space="preserve">9. Limitations</w:t>
      </w:r>
    </w:p>
    <w:p>
      <w:pPr>
        <w:pStyle w:val="FirstParagraph"/>
      </w:pPr>
      <w:r>
        <w:t xml:space="preserve">This paper has four main limitations.</w:t>
      </w:r>
    </w:p>
    <w:p>
      <w:pPr>
        <w:pStyle w:val="BodyText"/>
      </w:pPr>
      <w:r>
        <w:t xml:space="preserve">First, the three LiTS waves are repeated cross-sections rather than a panel, so changes over time should be interpreted as changes in population-level patterns rather than changes within fixed families.</w:t>
      </w:r>
    </w:p>
    <w:p>
      <w:pPr>
        <w:pStyle w:val="BodyText"/>
      </w:pPr>
      <w:r>
        <w:t xml:space="preserve">Second, the comparability of some parental education information across waves is imperfect, which is why the rank-based measures are more reliable than some category-based comparisons.</w:t>
      </w:r>
    </w:p>
    <w:p>
      <w:pPr>
        <w:pStyle w:val="BodyText"/>
      </w:pPr>
      <w:r>
        <w:t xml:space="preserve">Third, the 2022-23 category-based mobility estimates rely on a much smaller valid denominator than the 2022 rank-based measure. This means the apparent spike in persistence in 2022-23 should be interpreted as suggestive rather than definitive.</w:t>
      </w:r>
    </w:p>
    <w:p>
      <w:pPr>
        <w:pStyle w:val="BodyText"/>
      </w:pPr>
      <w:r>
        <w:t xml:space="preserve">Fourth, the pandemic mechanism module is based on a limited child subsample and is not a causal design. It is useful for describing disruption and support patterns, but it should not be treated as evidence of the causal effect of parental education.</w:t>
      </w:r>
    </w:p>
    <w:p>
      <w:pPr>
        <w:pStyle w:val="BodyText"/>
      </w:pPr>
      <w:r>
        <w:t xml:space="preserve">These limitations do not undermine the central contribution of the paper, but they do shape the appropriate scope of the conclusions.</w:t>
      </w:r>
    </w:p>
    <w:bookmarkEnd w:id="64"/>
    <w:bookmarkStart w:id="65" w:name="conclusion"/>
    <w:p>
      <w:pPr>
        <w:pStyle w:val="Heading2"/>
      </w:pPr>
      <w:r>
        <w:t xml:space="preserve">10. Conclusion</w:t>
      </w:r>
    </w:p>
    <w:p>
      <w:pPr>
        <w:pStyle w:val="FirstParagraph"/>
      </w:pPr>
      <w:r>
        <w:t xml:space="preserve">This paper provides structured multi-wave evidence on intergenerational educational mobility in Uzbekistan using LiTS 2010, 2016, and 2022-23. The results indicate substantial educational persistence across generations. Descriptive persistence measures rise across waves, but the pooled models do not estimate that change precisely enough to support a firm trend claim. Parental education remains the clearest predictor of children’s educational attainment in the pooled correlates models.</w:t>
      </w:r>
    </w:p>
    <w:p>
      <w:pPr>
        <w:pStyle w:val="BodyText"/>
      </w:pPr>
      <w:r>
        <w:t xml:space="preserve">The extension based on the LiTS IV child module shows that pandemic-era learning disruption was widespread and that household support, especially maternal support, was central to learning continuity. Lower parental education appears to be associated with a higher risk that education stopped during COVID, but these patterns should be treated as suggestive due to sample limits.</w:t>
      </w:r>
    </w:p>
    <w:p>
      <w:pPr>
        <w:pStyle w:val="BodyText"/>
      </w:pPr>
      <w:r>
        <w:t xml:space="preserve">The broader message is that improving educational mobility in Uzbekistan will require more than expanding formal access. It will require reducing the degree to which family background governs educational trajectories, especially through the unequal household conditions under which children study, recover from shocks, and convert schooling opportunities into completed attainment.</w:t>
      </w:r>
    </w:p>
    <w:bookmarkEnd w:id="65"/>
    <w:bookmarkStart w:id="86" w:name="bibliography"/>
    <w:p>
      <w:pPr>
        <w:pStyle w:val="Heading1"/>
      </w:pPr>
      <w:r>
        <w:t xml:space="preserve">References</w:t>
      </w:r>
    </w:p>
    <w:bookmarkStart w:id="85" w:name="refs"/>
    <w:bookmarkStart w:id="66" w:name="ref-akarcay_polat_2017"/>
    <w:p>
      <w:pPr>
        <w:pStyle w:val="Bibliography"/>
      </w:pPr>
      <w:r>
        <w:t xml:space="preserve">Akarcay-Gurbuz, A., and S. Polat. 2017.</w:t>
      </w:r>
      <w:r>
        <w:t xml:space="preserve"> </w:t>
      </w:r>
      <w:r>
        <w:t xml:space="preserve">“Schooling Opportunities and Intergenerational Educational Mobility in Turkey.”</w:t>
      </w:r>
    </w:p>
    <w:bookmarkEnd w:id="66"/>
    <w:bookmarkStart w:id="67" w:name="ref-aydemir_yazici_2019"/>
    <w:p>
      <w:pPr>
        <w:pStyle w:val="Bibliography"/>
      </w:pPr>
      <w:r>
        <w:t xml:space="preserve">Aydemir, A. B., and H. Yazici. 2019.</w:t>
      </w:r>
      <w:r>
        <w:t xml:space="preserve"> </w:t>
      </w:r>
      <w:r>
        <w:t xml:space="preserve">“Intergenerational Education Mobility and the Level of Development: Evidence from Turkey.”</w:t>
      </w:r>
    </w:p>
    <w:bookmarkEnd w:id="67"/>
    <w:bookmarkStart w:id="68" w:name="ref-bruck_esenaliev_2018"/>
    <w:p>
      <w:pPr>
        <w:pStyle w:val="Bibliography"/>
      </w:pPr>
      <w:r>
        <w:t xml:space="preserve">Bruck, Tilman, and Damir Esenaliev. 2018.</w:t>
      </w:r>
      <w:r>
        <w:t xml:space="preserve"> </w:t>
      </w:r>
      <w:r>
        <w:t xml:space="preserve">“Post-Socialist Transition and Intergenerational Educational Mobility in Kyrgyzstan.”</w:t>
      </w:r>
    </w:p>
    <w:bookmarkEnd w:id="68"/>
    <w:bookmarkStart w:id="69" w:name="ref-causa_johansson_2010"/>
    <w:p>
      <w:pPr>
        <w:pStyle w:val="Bibliography"/>
      </w:pPr>
      <w:r>
        <w:t xml:space="preserve">Causa, Orsetta, and Asa Johansson. 2010.</w:t>
      </w:r>
      <w:r>
        <w:t xml:space="preserve"> </w:t>
      </w:r>
      <w:r>
        <w:t xml:space="preserve">“Intergenerational Social Mobility in OECD Countries.”</w:t>
      </w:r>
    </w:p>
    <w:bookmarkEnd w:id="69"/>
    <w:bookmarkStart w:id="70" w:name="ref-daniela_2021"/>
    <w:p>
      <w:pPr>
        <w:pStyle w:val="Bibliography"/>
      </w:pPr>
      <w:r>
        <w:t xml:space="preserve">Daniela, Linda et al. 2021.</w:t>
      </w:r>
      <w:r>
        <w:t xml:space="preserve"> </w:t>
      </w:r>
      <w:r>
        <w:t xml:space="preserve">“Parents’ Perspectives on Remote Learning in the Pandemic Context.”</w:t>
      </w:r>
    </w:p>
    <w:bookmarkEnd w:id="70"/>
    <w:bookmarkStart w:id="71" w:name="ref-hertz_2008"/>
    <w:p>
      <w:pPr>
        <w:pStyle w:val="Bibliography"/>
      </w:pPr>
      <w:r>
        <w:t xml:space="preserve">Hertz, Tom, Tamara Jayasundera, Patrizio Piraino, Sibel Selcuk, Nicole Smith, and Alina Verashchagina. 2008.</w:t>
      </w:r>
      <w:r>
        <w:t xml:space="preserve"> </w:t>
      </w:r>
      <w:r>
        <w:t xml:space="preserve">“The Inheritance of Educational Inequality: International Comparisons and Fifty-Year Trends.”</w:t>
      </w:r>
    </w:p>
    <w:bookmarkEnd w:id="71"/>
    <w:bookmarkStart w:id="72" w:name="ref-iqbal_patrinos_2025"/>
    <w:p>
      <w:pPr>
        <w:pStyle w:val="Bibliography"/>
      </w:pPr>
      <w:r>
        <w:t xml:space="preserve">Iqbal, Sarah A., Harry Anthony Patrinos, et al. 2025.</w:t>
      </w:r>
      <w:r>
        <w:t xml:space="preserve"> </w:t>
      </w:r>
      <w:r>
        <w:t xml:space="preserve">“Learning During the Pandemic: Evidence from Uzbekistan.”</w:t>
      </w:r>
    </w:p>
    <w:bookmarkEnd w:id="72"/>
    <w:bookmarkStart w:id="73" w:name="ref-knopik_2021"/>
    <w:p>
      <w:pPr>
        <w:pStyle w:val="Bibliography"/>
      </w:pPr>
      <w:r>
        <w:t xml:space="preserve">Knopik, Tomasz et al. 2021.</w:t>
      </w:r>
      <w:r>
        <w:t xml:space="preserve"> </w:t>
      </w:r>
      <w:r>
        <w:t xml:space="preserve">“Parental Involvement in Remote Learning During the COVID-19 Pandemic.”</w:t>
      </w:r>
    </w:p>
    <w:bookmarkEnd w:id="73"/>
    <w:bookmarkStart w:id="74" w:name="ref-wb_blog_2020"/>
    <w:p>
      <w:pPr>
        <w:pStyle w:val="Bibliography"/>
      </w:pPr>
      <w:r>
        <w:t xml:space="preserve">Meliboeva, Nilufar, Harry Anthony Patrinos, and Joao Teixeira. 2020.</w:t>
      </w:r>
      <w:r>
        <w:t xml:space="preserve"> </w:t>
      </w:r>
      <w:r>
        <w:t xml:space="preserve">“Uzbekistan: A Timely Response on Learning During School Closures.”</w:t>
      </w:r>
    </w:p>
    <w:bookmarkEnd w:id="74"/>
    <w:bookmarkStart w:id="75" w:name="ref-munoznajar_2021"/>
    <w:p>
      <w:pPr>
        <w:pStyle w:val="Bibliography"/>
      </w:pPr>
      <w:r>
        <w:t xml:space="preserve">Munoz-Najar, Alberto et al. 2021.</w:t>
      </w:r>
      <w:r>
        <w:t xml:space="preserve"> </w:t>
      </w:r>
      <w:r>
        <w:t xml:space="preserve">“Remote Learning During COVID-19: Lessons from Today, Principles for Tomorrow.”</w:t>
      </w:r>
    </w:p>
    <w:bookmarkEnd w:id="75"/>
    <w:bookmarkStart w:id="76" w:name="ref-stromberg_engzell_2025"/>
    <w:p>
      <w:pPr>
        <w:pStyle w:val="Bibliography"/>
      </w:pPr>
      <w:r>
        <w:t xml:space="preserve">Stromberg, E., and Per Engzell. 2025.</w:t>
      </w:r>
      <w:r>
        <w:t xml:space="preserve"> </w:t>
      </w:r>
      <w:r>
        <w:t xml:space="preserve">“How Robust Are Country Rankings in Educational Mobility?”</w:t>
      </w:r>
    </w:p>
    <w:bookmarkEnd w:id="76"/>
    <w:bookmarkStart w:id="77" w:name="ref-torche_2015"/>
    <w:p>
      <w:pPr>
        <w:pStyle w:val="Bibliography"/>
      </w:pPr>
      <w:r>
        <w:t xml:space="preserve">Torche, Florencia. 2015.</w:t>
      </w:r>
      <w:r>
        <w:t xml:space="preserve"> </w:t>
      </w:r>
      <w:r>
        <w:t xml:space="preserve">“Intergenerational Mobility and Equality of Opportunity.”</w:t>
      </w:r>
    </w:p>
    <w:bookmarkEnd w:id="77"/>
    <w:bookmarkStart w:id="78" w:name="ref-unicef_remote_2020"/>
    <w:p>
      <w:pPr>
        <w:pStyle w:val="Bibliography"/>
      </w:pPr>
      <w:r>
        <w:t xml:space="preserve">UNICEF. 2020.</w:t>
      </w:r>
      <w:r>
        <w:t xml:space="preserve"> </w:t>
      </w:r>
      <w:r>
        <w:t xml:space="preserve">“Putting the Learning Back in Remote Learning.”</w:t>
      </w:r>
    </w:p>
    <w:bookmarkEnd w:id="78"/>
    <w:bookmarkStart w:id="79" w:name="ref-unicef_uzb_2021"/>
    <w:p>
      <w:pPr>
        <w:pStyle w:val="Bibliography"/>
      </w:pPr>
      <w:r>
        <w:t xml:space="preserve">———. 2021.</w:t>
      </w:r>
      <w:r>
        <w:t xml:space="preserve"> </w:t>
      </w:r>
      <w:r>
        <w:t xml:space="preserve">“Uzbekistan Education Sector Analysis.”</w:t>
      </w:r>
    </w:p>
    <w:bookmarkEnd w:id="79"/>
    <w:bookmarkStart w:id="80" w:name="ref-unicef_sitan_2023"/>
    <w:p>
      <w:pPr>
        <w:pStyle w:val="Bibliography"/>
      </w:pPr>
      <w:r>
        <w:t xml:space="preserve">———. 2023.</w:t>
      </w:r>
      <w:r>
        <w:t xml:space="preserve"> </w:t>
      </w:r>
      <w:r>
        <w:t xml:space="preserve">“Situation Analysis of Children and Adolescents in Uzbekistan.”</w:t>
      </w:r>
    </w:p>
    <w:bookmarkEnd w:id="80"/>
    <w:bookmarkStart w:id="81" w:name="ref-verashchagina_2009"/>
    <w:p>
      <w:pPr>
        <w:pStyle w:val="Bibliography"/>
      </w:pPr>
      <w:r>
        <w:t xml:space="preserve">Verashchagina, Alina. 2009.</w:t>
      </w:r>
      <w:r>
        <w:t xml:space="preserve"> </w:t>
      </w:r>
      <w:r>
        <w:t xml:space="preserve">“Education and Socioeconomic Mobility in Post-Communist Countries.”</w:t>
      </w:r>
    </w:p>
    <w:bookmarkEnd w:id="81"/>
    <w:bookmarkStart w:id="82" w:name="ref-weide_etal_2024"/>
    <w:p>
      <w:pPr>
        <w:pStyle w:val="Bibliography"/>
      </w:pPr>
      <w:r>
        <w:t xml:space="preserve">Weide, Roy van der, Christoph Lakner, Daniel Gerszon Mahler, Ambar Narayan, and Rakesh Gupta. 2024.</w:t>
      </w:r>
      <w:r>
        <w:t xml:space="preserve"> </w:t>
      </w:r>
      <w:r>
        <w:t xml:space="preserve">“Intergenerational Mobility Around the World: A New Database.”</w:t>
      </w:r>
    </w:p>
    <w:bookmarkEnd w:id="82"/>
    <w:bookmarkStart w:id="83" w:name="ref-wb_uzb_2018"/>
    <w:p>
      <w:pPr>
        <w:pStyle w:val="Bibliography"/>
      </w:pPr>
      <w:r>
        <w:t xml:space="preserve">World Bank. 2018.</w:t>
      </w:r>
      <w:r>
        <w:t xml:space="preserve"> </w:t>
      </w:r>
      <w:r>
        <w:t xml:space="preserve">“Uzbekistan Education Sector Analysis.”</w:t>
      </w:r>
    </w:p>
    <w:bookmarkEnd w:id="83"/>
    <w:bookmarkStart w:id="84" w:name="ref-wb_gender_2024"/>
    <w:p>
      <w:pPr>
        <w:pStyle w:val="Bibliography"/>
      </w:pPr>
      <w:r>
        <w:t xml:space="preserve">———. 2024.</w:t>
      </w:r>
      <w:r>
        <w:t xml:space="preserve"> </w:t>
      </w:r>
      <w:r>
        <w:t xml:space="preserve">“Country Gender Assessment: Uzbekistan.”</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Intergenerational Educational Mobility in Uzbekistan</dc:title>
  <dc:creator>Research Team</dc:creator>
  <cp:keywords/>
  <dcterms:created xsi:type="dcterms:W3CDTF">2026-03-27T11:27:15Z</dcterms:created>
  <dcterms:modified xsi:type="dcterms:W3CDTF">2026-03-27T11:27:15Z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2026-03-27</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reference-section-title">
    <vt:lpwstr>References</vt:lpwstr>
  </property>
  <property fmtid="{D5CDD505-2E9C-101B-9397-08002B2CF9AE}" pid="15" name="toc-title">
    <vt:lpwstr>Table of contents</vt:lpwstr>
  </property>
</Properties>
</file>