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 Tables and Figures Shells</w:t>
      </w:r>
    </w:p>
    <w:p>
      <w:pPr>
        <w:pStyle w:val="Author"/>
      </w:pPr>
      <w:r>
        <w:t xml:space="preserve">Research Team</w:t>
      </w:r>
    </w:p>
    <w:p>
      <w:pPr>
        <w:pStyle w:val="Date"/>
      </w:pPr>
      <w:r>
        <w:t xml:space="preserve">2026-03-27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able-1.-data-sources-and-variables"/>
    <w:p>
      <w:pPr>
        <w:pStyle w:val="Heading2"/>
      </w:pPr>
      <w:r>
        <w:t xml:space="preserve">Table 1. Data Sources and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Outcome Variables</w:t>
            </w:r>
          </w:p>
        </w:tc>
        <w:tc>
          <w:tcPr/>
          <w:p>
            <w:pPr>
              <w:pStyle w:val="Compact"/>
            </w:pPr>
            <w:r>
              <w:t xml:space="preserve">Parent Variables</w:t>
            </w:r>
          </w:p>
        </w:tc>
        <w:tc>
          <w:tcPr/>
          <w:p>
            <w:pPr>
              <w:pStyle w:val="Compact"/>
            </w:pPr>
            <w:r>
              <w:t xml:space="preserve">Household Variables</w:t>
            </w:r>
          </w:p>
        </w:tc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LiTS II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Respondent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LiTS III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Respondent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LiTS IV</w:t>
            </w:r>
          </w:p>
        </w:tc>
        <w:tc>
          <w:tcPr/>
          <w:p>
            <w:pPr>
              <w:pStyle w:val="Compact"/>
            </w:pPr>
            <w:r>
              <w:t xml:space="preserve">2022-23</w:t>
            </w:r>
          </w:p>
        </w:tc>
        <w:tc>
          <w:tcPr/>
          <w:p>
            <w:pPr>
              <w:pStyle w:val="Compact"/>
            </w:pPr>
            <w:r>
              <w:t xml:space="preserve">Respondent/Child module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HBS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Region-year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</w:tbl>
    <w:bookmarkEnd w:id="20"/>
    <w:bookmarkStart w:id="21" w:name="table-2.-mobility-measures-by-wave"/>
    <w:p>
      <w:pPr>
        <w:pStyle w:val="Heading2"/>
      </w:pPr>
      <w:r>
        <w:t xml:space="preserve">Table 2. Mobility Measures by Wave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 2010 to 2022-23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Rank-rank 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Upward mobility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Downward mobility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 probability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</w:tbl>
    <w:bookmarkEnd w:id="21"/>
    <w:bookmarkStart w:id="22" w:name="table-3.-mobility-by-subgroup"/>
    <w:p>
      <w:pPr>
        <w:pStyle w:val="Heading2"/>
      </w:pPr>
      <w:r>
        <w:t xml:space="preserve">Table 3. Mobility by Subgroup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Subgroup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 (latest minus earliest)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Urban/rural</w:t>
            </w:r>
          </w:p>
        </w:tc>
        <w:tc>
          <w:tcPr/>
          <w:p>
            <w:pPr>
              <w:pStyle w:val="Compact"/>
            </w:pPr>
            <w:r>
              <w:t xml:space="preserve">Urban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Urban/rural</w:t>
            </w:r>
          </w:p>
        </w:tc>
        <w:tc>
          <w:tcPr/>
          <w:p>
            <w:pPr>
              <w:pStyle w:val="Compac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25-34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35-44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45-54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55-64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</w:tr>
    </w:tbl>
    <w:bookmarkEnd w:id="22"/>
    <w:bookmarkStart w:id="23" w:name="table-4.-correlates-of-mobility"/>
    <w:p>
      <w:pPr>
        <w:pStyle w:val="Heading2"/>
      </w:pPr>
      <w:r>
        <w:t xml:space="preserve">Table 4. Correlates of Mobility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OLS on Years of Schooling (coef)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OLS p-value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Logit Upward Mobility (coef)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Logit p-value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proxy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Multigenerational household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</w:tbl>
    <w:bookmarkEnd w:id="23"/>
    <w:bookmarkStart w:id="24" w:name="X1b2ac9b5e41da94728a6b24c9c3aec193594b65"/>
    <w:p>
      <w:pPr>
        <w:pStyle w:val="Heading2"/>
      </w:pPr>
      <w:r>
        <w:t xml:space="preserve">Table 5. Pandemic Mechanism Results (LiTS IV)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Overall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Lower Parent 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Higher Parent Education</w:t>
            </w:r>
          </w:p>
        </w:tc>
        <w:tc>
          <w:tcPr/>
          <w:p>
            <w:pPr>
              <w:pStyle w:val="Compact"/>
            </w:pPr>
            <w:r>
              <w:t xml:space="preserve">Baseline Weighted Model (parent term)</w:t>
            </w:r>
          </w:p>
        </w:tc>
        <w:tc>
          <w:tcPr/>
          <w:p>
            <w:pPr>
              <w:pStyle w:val="Compact"/>
            </w:pPr>
            <w:r>
              <w:t xml:space="preserve">Robustness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Switched to online learning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closed without online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 stopped due to COVID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remote-learning challenge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device 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  <w:tc>
          <w:tcPr/>
          <w:p>
            <w:pPr>
              <w:pStyle w:val="Compact"/>
            </w:pPr>
            <w:r>
              <w:t xml:space="preserve">[fill]</w:t>
            </w:r>
          </w:p>
        </w:tc>
      </w:tr>
    </w:tbl>
    <w:bookmarkEnd w:id="24"/>
    <w:bookmarkStart w:id="25" w:name="figure-1.-transition-matrix"/>
    <w:p>
      <w:pPr>
        <w:pStyle w:val="Heading2"/>
      </w:pPr>
      <w:r>
        <w:t xml:space="preserve">Figure 1. Transition Matrix</w:t>
      </w:r>
    </w:p>
    <w:p>
      <w:pPr>
        <w:pStyle w:val="Compact"/>
        <w:numPr>
          <w:ilvl w:val="0"/>
          <w:numId w:val="1001"/>
        </w:numPr>
      </w:pPr>
      <w:r>
        <w:t xml:space="preserve">Placeholder: parent education by child education heatmap.</w:t>
      </w:r>
    </w:p>
    <w:p>
      <w:pPr>
        <w:pStyle w:val="Compact"/>
        <w:numPr>
          <w:ilvl w:val="0"/>
          <w:numId w:val="1001"/>
        </w:numPr>
      </w:pPr>
      <w:r>
        <w:t xml:space="preserve">Final file:</w:t>
      </w:r>
      <w:r>
        <w:t xml:space="preserve"> </w:t>
      </w:r>
      <w:r>
        <w:rPr>
          <w:rStyle w:val="VerbatimChar"/>
        </w:rPr>
        <w:t xml:space="preserve">outputs/figures/[fill_transition_matrix].png</w:t>
      </w:r>
    </w:p>
    <w:bookmarkEnd w:id="25"/>
    <w:bookmarkStart w:id="26" w:name="figure-2.-rank-rank-slope-by-wave"/>
    <w:p>
      <w:pPr>
        <w:pStyle w:val="Heading2"/>
      </w:pPr>
      <w:r>
        <w:t xml:space="preserve">Figure 2. Rank-Rank Slope by Wave</w:t>
      </w:r>
    </w:p>
    <w:p>
      <w:pPr>
        <w:pStyle w:val="Compact"/>
        <w:numPr>
          <w:ilvl w:val="0"/>
          <w:numId w:val="1002"/>
        </w:numPr>
      </w:pPr>
      <w:r>
        <w:t xml:space="preserve">Placeholder: line plot across 2010, 2016, 2022-23.</w:t>
      </w:r>
    </w:p>
    <w:p>
      <w:pPr>
        <w:pStyle w:val="Compact"/>
        <w:numPr>
          <w:ilvl w:val="0"/>
          <w:numId w:val="1002"/>
        </w:numPr>
      </w:pPr>
      <w:r>
        <w:t xml:space="preserve">Final file:</w:t>
      </w:r>
      <w:r>
        <w:t xml:space="preserve"> </w:t>
      </w:r>
      <w:r>
        <w:rPr>
          <w:rStyle w:val="VerbatimChar"/>
        </w:rPr>
        <w:t xml:space="preserve">outputs/figures/tier_a_rank_rank_by_wave.png</w:t>
      </w:r>
    </w:p>
    <w:bookmarkEnd w:id="26"/>
    <w:bookmarkStart w:id="27" w:name="figure-3.-regional-mobility-map"/>
    <w:p>
      <w:pPr>
        <w:pStyle w:val="Heading2"/>
      </w:pPr>
      <w:r>
        <w:t xml:space="preserve">Figure 3. Regional Mobility Map</w:t>
      </w:r>
    </w:p>
    <w:p>
      <w:pPr>
        <w:pStyle w:val="Compact"/>
        <w:numPr>
          <w:ilvl w:val="0"/>
          <w:numId w:val="1003"/>
        </w:numPr>
      </w:pPr>
      <w:r>
        <w:t xml:space="preserve">Placeholder: choropleth of mobility metric by region.</w:t>
      </w:r>
    </w:p>
    <w:p>
      <w:pPr>
        <w:pStyle w:val="Compact"/>
        <w:numPr>
          <w:ilvl w:val="0"/>
          <w:numId w:val="1003"/>
        </w:numPr>
      </w:pPr>
      <w:r>
        <w:t xml:space="preserve">Final file:</w:t>
      </w:r>
      <w:r>
        <w:t xml:space="preserve"> </w:t>
      </w:r>
      <w:r>
        <w:rPr>
          <w:rStyle w:val="VerbatimChar"/>
        </w:rPr>
        <w:t xml:space="preserve">outputs/figures/[fill_regional_map].png</w:t>
      </w:r>
    </w:p>
    <w:bookmarkEnd w:id="27"/>
    <w:bookmarkStart w:id="28" w:name="Xe3641701fbd6e431f59f49f66aa99c1f17c2f53"/>
    <w:p>
      <w:pPr>
        <w:pStyle w:val="Heading2"/>
      </w:pPr>
      <w:r>
        <w:t xml:space="preserve">Figure 4. Heterogeneity by Urban/Rural and Gender</w:t>
      </w:r>
    </w:p>
    <w:p>
      <w:pPr>
        <w:pStyle w:val="Compact"/>
        <w:numPr>
          <w:ilvl w:val="0"/>
          <w:numId w:val="1004"/>
        </w:numPr>
      </w:pPr>
      <w:r>
        <w:t xml:space="preserve">Placeholder: grouped lines or bars for subgroup differences over time.</w:t>
      </w:r>
    </w:p>
    <w:p>
      <w:pPr>
        <w:pStyle w:val="Compact"/>
        <w:numPr>
          <w:ilvl w:val="0"/>
          <w:numId w:val="1004"/>
        </w:numPr>
      </w:pPr>
      <w:r>
        <w:t xml:space="preserve">Final file:</w:t>
      </w:r>
      <w:r>
        <w:t xml:space="preserve"> </w:t>
      </w:r>
      <w:r>
        <w:rPr>
          <w:rStyle w:val="VerbatimChar"/>
        </w:rPr>
        <w:t xml:space="preserve">outputs/figures/[fill_heterogeneity_plot].png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Tables and Figures Shells</dc:title>
  <dc:creator>Research Team</dc:creator>
  <cp:keywords/>
  <dcterms:created xsi:type="dcterms:W3CDTF">2026-03-27T04:34:25Z</dcterms:created>
  <dcterms:modified xsi:type="dcterms:W3CDTF">2026-03-27T04:34:25Z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2026-03-27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