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E7A" w:rsidRPr="002C256F" w:rsidRDefault="00BC4E7A" w:rsidP="002C256F">
      <w:pPr>
        <w:jc w:val="center"/>
        <w:rPr>
          <w:rFonts w:ascii="CMU Serif" w:hAnsi="CMU Serif" w:cs="CMU Serif"/>
          <w:sz w:val="24"/>
          <w:szCs w:val="24"/>
          <w:lang w:val="en-US"/>
        </w:rPr>
      </w:pPr>
      <w:r w:rsidRPr="002C256F">
        <w:rPr>
          <w:rFonts w:ascii="CMU Serif" w:hAnsi="CMU Serif" w:cs="CMU Serif"/>
          <w:sz w:val="24"/>
          <w:szCs w:val="24"/>
        </w:rPr>
        <w:t xml:space="preserve">Tarea </w:t>
      </w:r>
      <w:r w:rsidR="002C256F" w:rsidRPr="002C256F">
        <w:rPr>
          <w:rFonts w:ascii="CMU Serif" w:hAnsi="CMU Serif" w:cs="CMU Serif"/>
          <w:sz w:val="24"/>
          <w:szCs w:val="24"/>
          <w:lang w:val="en-US"/>
        </w:rPr>
        <w:t>#12</w:t>
      </w:r>
    </w:p>
    <w:p w:rsidR="00C41324" w:rsidRDefault="00BC4E7A">
      <w:r>
        <w:rPr>
          <w:noProof/>
          <w:lang w:eastAsia="es-ES"/>
        </w:rPr>
        <w:drawing>
          <wp:inline distT="0" distB="0" distL="0" distR="0" wp14:anchorId="233DA1AF" wp14:editId="43F1D76E">
            <wp:extent cx="5400040" cy="9925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992505"/>
                    </a:xfrm>
                    <a:prstGeom prst="rect">
                      <a:avLst/>
                    </a:prstGeom>
                  </pic:spPr>
                </pic:pic>
              </a:graphicData>
            </a:graphic>
          </wp:inline>
        </w:drawing>
      </w:r>
    </w:p>
    <w:p w:rsidR="002C256F" w:rsidRDefault="002C256F">
      <w:pPr>
        <w:rPr>
          <w:rFonts w:ascii="CMU Serif" w:hAnsi="CMU Serif" w:cs="CMU Serif"/>
          <w:color w:val="FF0000"/>
        </w:rPr>
      </w:pPr>
      <w:r w:rsidRPr="002C256F">
        <w:rPr>
          <w:rFonts w:ascii="CMU Serif" w:hAnsi="CMU Serif" w:cs="CMU Serif"/>
          <w:color w:val="FF0000"/>
        </w:rPr>
        <w:t>¿Cómo se llama el Contrato en MPLS?</w:t>
      </w:r>
      <w:r w:rsidRPr="002C256F">
        <w:rPr>
          <w:rFonts w:ascii="CMU Serif" w:hAnsi="CMU Serif" w:cs="CMU Serif"/>
          <w:color w:val="FF0000"/>
        </w:rPr>
        <w:br/>
        <w:t>¿Hay TTL en MPLS?</w:t>
      </w:r>
      <w:r w:rsidRPr="002C256F">
        <w:rPr>
          <w:rFonts w:ascii="CMU Serif" w:hAnsi="CMU Serif" w:cs="CMU Serif"/>
          <w:color w:val="FF0000"/>
        </w:rPr>
        <w:br/>
        <w:t>Relación con TTL IP.</w:t>
      </w:r>
    </w:p>
    <w:p w:rsidR="003E08F0" w:rsidRPr="0003024C" w:rsidRDefault="003E08F0" w:rsidP="003E08F0">
      <w:pPr>
        <w:spacing w:before="100" w:beforeAutospacing="1" w:after="100" w:afterAutospacing="1" w:line="240" w:lineRule="auto"/>
        <w:outlineLvl w:val="1"/>
        <w:rPr>
          <w:rFonts w:ascii="CMU Serif" w:eastAsia="Times New Roman" w:hAnsi="CMU Serif" w:cs="CMU Serif"/>
          <w:b/>
          <w:bCs/>
          <w:sz w:val="24"/>
          <w:szCs w:val="24"/>
          <w:lang w:eastAsia="es-ES"/>
        </w:rPr>
      </w:pPr>
      <w:proofErr w:type="spellStart"/>
      <w:r w:rsidRPr="003E08F0">
        <w:rPr>
          <w:rFonts w:ascii="CMU Serif" w:eastAsia="Times New Roman" w:hAnsi="CMU Serif" w:cs="CMU Serif"/>
          <w:b/>
          <w:bCs/>
          <w:sz w:val="24"/>
          <w:szCs w:val="24"/>
          <w:lang w:eastAsia="es-ES"/>
        </w:rPr>
        <w:t>Service-level</w:t>
      </w:r>
      <w:proofErr w:type="spellEnd"/>
      <w:r w:rsidRPr="003E08F0">
        <w:rPr>
          <w:rFonts w:ascii="CMU Serif" w:eastAsia="Times New Roman" w:hAnsi="CMU Serif" w:cs="CMU Serif"/>
          <w:b/>
          <w:bCs/>
          <w:sz w:val="24"/>
          <w:szCs w:val="24"/>
          <w:lang w:eastAsia="es-ES"/>
        </w:rPr>
        <w:t xml:space="preserve"> </w:t>
      </w:r>
      <w:proofErr w:type="spellStart"/>
      <w:r w:rsidRPr="003E08F0">
        <w:rPr>
          <w:rFonts w:ascii="CMU Serif" w:eastAsia="Times New Roman" w:hAnsi="CMU Serif" w:cs="CMU Serif"/>
          <w:b/>
          <w:bCs/>
          <w:sz w:val="24"/>
          <w:szCs w:val="24"/>
          <w:lang w:eastAsia="es-ES"/>
        </w:rPr>
        <w:t>agreement</w:t>
      </w:r>
      <w:proofErr w:type="spellEnd"/>
      <w:r w:rsidR="00811A41" w:rsidRPr="0003024C">
        <w:rPr>
          <w:rFonts w:ascii="CMU Serif" w:eastAsia="Times New Roman" w:hAnsi="CMU Serif" w:cs="CMU Serif"/>
          <w:b/>
          <w:bCs/>
          <w:sz w:val="24"/>
          <w:szCs w:val="24"/>
          <w:lang w:eastAsia="es-ES"/>
        </w:rPr>
        <w:t xml:space="preserve"> (SLA)</w:t>
      </w:r>
    </w:p>
    <w:p w:rsidR="003E08F0" w:rsidRDefault="000636F2" w:rsidP="003E08F0">
      <w:pPr>
        <w:spacing w:before="100" w:beforeAutospacing="1" w:after="100" w:afterAutospacing="1" w:line="240" w:lineRule="auto"/>
        <w:outlineLvl w:val="1"/>
        <w:rPr>
          <w:rFonts w:ascii="CMU Serif" w:eastAsia="Times New Roman" w:hAnsi="CMU Serif" w:cs="CMU Serif"/>
          <w:bCs/>
          <w:lang w:eastAsia="es-ES"/>
        </w:rPr>
      </w:pPr>
      <w:r w:rsidRPr="000636F2">
        <w:rPr>
          <w:rFonts w:ascii="CMU Serif" w:eastAsia="Times New Roman" w:hAnsi="CMU Serif" w:cs="CMU Serif"/>
          <w:bCs/>
          <w:lang w:eastAsia="es-ES"/>
        </w:rPr>
        <w:t>Un acuerdo de nivel de servicio (SLA) define el nivel de servicio esperado por un cliente de un proveedor, estableciendo las métricas con las que se mide ese servicio y las soluciones o sanciones, si las hubiera, en caso de que no se cumplan los niveles de servicio acordados logrado.</w:t>
      </w:r>
    </w:p>
    <w:p w:rsidR="008E6B31" w:rsidRPr="0003024C" w:rsidRDefault="008E6B31" w:rsidP="003E08F0">
      <w:pPr>
        <w:spacing w:before="100" w:beforeAutospacing="1" w:after="100" w:afterAutospacing="1" w:line="240" w:lineRule="auto"/>
        <w:outlineLvl w:val="1"/>
        <w:rPr>
          <w:rFonts w:ascii="CMU Serif" w:eastAsia="Times New Roman" w:hAnsi="CMU Serif" w:cs="CMU Serif"/>
          <w:b/>
          <w:bCs/>
          <w:sz w:val="24"/>
          <w:szCs w:val="24"/>
          <w:lang w:val="en-US" w:eastAsia="es-ES"/>
        </w:rPr>
      </w:pPr>
      <w:r w:rsidRPr="0003024C">
        <w:rPr>
          <w:rFonts w:ascii="CMU Serif" w:eastAsia="Times New Roman" w:hAnsi="CMU Serif" w:cs="CMU Serif"/>
          <w:b/>
          <w:bCs/>
          <w:sz w:val="24"/>
          <w:szCs w:val="24"/>
          <w:lang w:val="en-US" w:eastAsia="es-ES"/>
        </w:rPr>
        <w:t>TTL en MPLS</w:t>
      </w:r>
    </w:p>
    <w:p w:rsidR="002A761B" w:rsidRDefault="002A761B" w:rsidP="003E08F0">
      <w:pPr>
        <w:spacing w:before="100" w:beforeAutospacing="1" w:after="100" w:afterAutospacing="1" w:line="240" w:lineRule="auto"/>
        <w:outlineLvl w:val="1"/>
        <w:rPr>
          <w:rFonts w:ascii="CMU Serif" w:eastAsia="Times New Roman" w:hAnsi="CMU Serif" w:cs="CMU Serif"/>
          <w:bCs/>
          <w:lang w:eastAsia="es-ES"/>
        </w:rPr>
      </w:pPr>
      <w:r w:rsidRPr="002A761B">
        <w:rPr>
          <w:rFonts w:ascii="CMU Serif" w:eastAsia="Times New Roman" w:hAnsi="CMU Serif" w:cs="CMU Serif"/>
          <w:bCs/>
          <w:lang w:eastAsia="es-ES"/>
        </w:rPr>
        <w:t>En MPLS, el uso del campo TTL en la etiqueta es el mismo que el TTL en el encabezado IP.</w:t>
      </w:r>
    </w:p>
    <w:p w:rsidR="002A761B" w:rsidRDefault="002A761B" w:rsidP="002A761B">
      <w:pPr>
        <w:spacing w:before="100" w:beforeAutospacing="1" w:after="100" w:afterAutospacing="1" w:line="240" w:lineRule="auto"/>
        <w:jc w:val="center"/>
        <w:outlineLvl w:val="1"/>
        <w:rPr>
          <w:rFonts w:ascii="CMU Serif" w:eastAsia="Times New Roman" w:hAnsi="CMU Serif" w:cs="CMU Serif"/>
          <w:bCs/>
          <w:lang w:eastAsia="es-ES"/>
        </w:rPr>
      </w:pPr>
      <w:r>
        <w:rPr>
          <w:noProof/>
          <w:lang w:eastAsia="es-ES"/>
        </w:rPr>
        <w:drawing>
          <wp:inline distT="0" distB="0" distL="0" distR="0">
            <wp:extent cx="3089563" cy="1078653"/>
            <wp:effectExtent l="0" t="0" r="0" b="7620"/>
            <wp:docPr id="2" name="Imagen 2" descr="Segments in MPLS header: Label, EXP, S, and TT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gments in MPLS header: Label, EXP, S, and TTL.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71" cy="1082776"/>
                    </a:xfrm>
                    <a:prstGeom prst="rect">
                      <a:avLst/>
                    </a:prstGeom>
                    <a:noFill/>
                    <a:ln>
                      <a:noFill/>
                    </a:ln>
                  </pic:spPr>
                </pic:pic>
              </a:graphicData>
            </a:graphic>
          </wp:inline>
        </w:drawing>
      </w:r>
    </w:p>
    <w:p w:rsidR="00621B1A" w:rsidRDefault="00621B1A" w:rsidP="00621B1A">
      <w:pPr>
        <w:spacing w:before="100" w:beforeAutospacing="1" w:after="100" w:afterAutospacing="1" w:line="240" w:lineRule="auto"/>
        <w:outlineLvl w:val="1"/>
        <w:rPr>
          <w:rStyle w:val="tlid-translation"/>
          <w:rFonts w:ascii="CMU Serif" w:hAnsi="CMU Serif" w:cs="CMU Serif"/>
        </w:rPr>
      </w:pPr>
      <w:proofErr w:type="spellStart"/>
      <w:r w:rsidRPr="00621B1A">
        <w:rPr>
          <w:rStyle w:val="tlid-translation"/>
          <w:rFonts w:ascii="Courier New" w:hAnsi="Courier New" w:cs="Courier New"/>
          <w:b/>
        </w:rPr>
        <w:t>Label</w:t>
      </w:r>
      <w:proofErr w:type="spellEnd"/>
      <w:r w:rsidRPr="00621B1A">
        <w:rPr>
          <w:rStyle w:val="tlid-translation"/>
          <w:rFonts w:ascii="Courier New" w:hAnsi="Courier New" w:cs="Courier New"/>
          <w:b/>
        </w:rPr>
        <w:t>:</w:t>
      </w:r>
      <w:r w:rsidRPr="00621B1A">
        <w:rPr>
          <w:rStyle w:val="tlid-translation"/>
          <w:rFonts w:ascii="CMU Serif" w:hAnsi="CMU Serif" w:cs="CMU Serif"/>
        </w:rPr>
        <w:t xml:space="preserve"> valor de etiqueta de 20 bits.</w:t>
      </w:r>
      <w:r w:rsidRPr="00621B1A">
        <w:rPr>
          <w:rFonts w:ascii="CMU Serif" w:hAnsi="CMU Serif" w:cs="CMU Serif"/>
        </w:rPr>
        <w:br/>
      </w:r>
      <w:r w:rsidRPr="00621B1A">
        <w:rPr>
          <w:rFonts w:ascii="CMU Serif" w:hAnsi="CMU Serif" w:cs="CMU Serif"/>
        </w:rPr>
        <w:br/>
      </w:r>
      <w:r w:rsidRPr="00621B1A">
        <w:rPr>
          <w:rStyle w:val="tlid-translation"/>
          <w:rFonts w:ascii="Courier New" w:hAnsi="Courier New" w:cs="Courier New"/>
          <w:b/>
        </w:rPr>
        <w:t>EXP</w:t>
      </w:r>
      <w:r w:rsidRPr="00621B1A">
        <w:rPr>
          <w:rStyle w:val="tlid-translation"/>
          <w:rFonts w:ascii="Courier New" w:hAnsi="Courier New" w:cs="Courier New"/>
          <w:b/>
        </w:rPr>
        <w:t>:</w:t>
      </w:r>
      <w:r w:rsidRPr="00621B1A">
        <w:rPr>
          <w:rStyle w:val="tlid-translation"/>
          <w:rFonts w:ascii="CMU Serif" w:hAnsi="CMU Serif" w:cs="CMU Serif"/>
        </w:rPr>
        <w:t xml:space="preserve"> 3 bits, utilizado como valor de extensión. Generalmente, este campo se utiliza como campo de clase de servicio (</w:t>
      </w:r>
      <w:proofErr w:type="spellStart"/>
      <w:r w:rsidRPr="00621B1A">
        <w:rPr>
          <w:rStyle w:val="tlid-translation"/>
          <w:rFonts w:ascii="CMU Serif" w:hAnsi="CMU Serif" w:cs="CMU Serif"/>
        </w:rPr>
        <w:t>CoS</w:t>
      </w:r>
      <w:proofErr w:type="spellEnd"/>
      <w:r w:rsidRPr="00621B1A">
        <w:rPr>
          <w:rStyle w:val="tlid-translation"/>
          <w:rFonts w:ascii="CMU Serif" w:hAnsi="CMU Serif" w:cs="CMU Serif"/>
        </w:rPr>
        <w:t>). Cuando ocurre una congestión, los dispositivos dan prioridad a los paquetes que tienen un valor mayor en este campo.</w:t>
      </w:r>
      <w:r w:rsidRPr="00621B1A">
        <w:rPr>
          <w:rFonts w:ascii="CMU Serif" w:hAnsi="CMU Serif" w:cs="CMU Serif"/>
        </w:rPr>
        <w:br/>
      </w:r>
      <w:r w:rsidRPr="00621B1A">
        <w:rPr>
          <w:rFonts w:ascii="CMU Serif" w:hAnsi="CMU Serif" w:cs="CMU Serif"/>
        </w:rPr>
        <w:br/>
      </w:r>
      <w:r w:rsidRPr="00621B1A">
        <w:rPr>
          <w:rStyle w:val="tlid-translation"/>
          <w:rFonts w:ascii="Courier New" w:hAnsi="Courier New" w:cs="Courier New"/>
          <w:b/>
        </w:rPr>
        <w:t>S:</w:t>
      </w:r>
      <w:r w:rsidRPr="00621B1A">
        <w:rPr>
          <w:rStyle w:val="tlid-translation"/>
          <w:rFonts w:ascii="CMU Serif" w:hAnsi="CMU Serif" w:cs="CMU Serif"/>
        </w:rPr>
        <w:t xml:space="preserve"> valor de 1 bit que indica la parte inferior de una pila de etiquetas. MPLS admite el anidamiento de varias etiquetas. Cuando el campo S es 1, la etiqueta está en la parte inferior de la pila de etiquetas.</w:t>
      </w:r>
      <w:r w:rsidRPr="00621B1A">
        <w:rPr>
          <w:rFonts w:ascii="CMU Serif" w:hAnsi="CMU Serif" w:cs="CMU Serif"/>
        </w:rPr>
        <w:br/>
      </w:r>
      <w:r w:rsidRPr="00621B1A">
        <w:rPr>
          <w:rFonts w:ascii="CMU Serif" w:hAnsi="CMU Serif" w:cs="CMU Serif"/>
        </w:rPr>
        <w:br/>
      </w:r>
      <w:r w:rsidRPr="00621B1A">
        <w:rPr>
          <w:rStyle w:val="tlid-translation"/>
          <w:rFonts w:ascii="Courier New" w:hAnsi="Courier New" w:cs="Courier New"/>
          <w:b/>
        </w:rPr>
        <w:t>TTL:</w:t>
      </w:r>
      <w:r w:rsidRPr="00621B1A">
        <w:rPr>
          <w:rStyle w:val="tlid-translation"/>
          <w:rFonts w:ascii="CMU Serif" w:hAnsi="CMU Serif" w:cs="CMU Serif"/>
        </w:rPr>
        <w:t xml:space="preserve"> tiempo de vivir. Este campo de 8 bits es el mismo que el campo TTL en los paquetes IP.</w:t>
      </w:r>
    </w:p>
    <w:p w:rsidR="000A6FE7" w:rsidRDefault="000A6FE7" w:rsidP="00621B1A">
      <w:pPr>
        <w:spacing w:before="100" w:beforeAutospacing="1" w:after="100" w:afterAutospacing="1" w:line="240" w:lineRule="auto"/>
        <w:outlineLvl w:val="1"/>
        <w:rPr>
          <w:rStyle w:val="tlid-translation"/>
          <w:rFonts w:ascii="CMU Serif" w:hAnsi="CMU Serif" w:cs="CMU Serif"/>
        </w:rPr>
      </w:pPr>
    </w:p>
    <w:p w:rsidR="000A6FE7" w:rsidRPr="00621B1A" w:rsidRDefault="000A6FE7" w:rsidP="00621B1A">
      <w:pPr>
        <w:spacing w:before="100" w:beforeAutospacing="1" w:after="100" w:afterAutospacing="1" w:line="240" w:lineRule="auto"/>
        <w:outlineLvl w:val="1"/>
        <w:rPr>
          <w:rFonts w:ascii="CMU Serif" w:eastAsia="Times New Roman" w:hAnsi="CMU Serif" w:cs="CMU Serif"/>
          <w:bCs/>
          <w:lang w:eastAsia="es-ES"/>
        </w:rPr>
      </w:pPr>
    </w:p>
    <w:p w:rsidR="008E6B31" w:rsidRPr="00722E6F" w:rsidRDefault="008E6B31" w:rsidP="003E08F0">
      <w:pPr>
        <w:spacing w:before="100" w:beforeAutospacing="1" w:after="100" w:afterAutospacing="1" w:line="240" w:lineRule="auto"/>
        <w:outlineLvl w:val="1"/>
        <w:rPr>
          <w:rFonts w:ascii="CMU Serif" w:eastAsia="Times New Roman" w:hAnsi="CMU Serif" w:cs="CMU Serif"/>
          <w:b/>
          <w:bCs/>
          <w:sz w:val="24"/>
          <w:szCs w:val="24"/>
          <w:lang w:eastAsia="es-ES"/>
        </w:rPr>
      </w:pPr>
      <w:r w:rsidRPr="00722E6F">
        <w:rPr>
          <w:rFonts w:ascii="CMU Serif" w:eastAsia="Times New Roman" w:hAnsi="CMU Serif" w:cs="CMU Serif"/>
          <w:b/>
          <w:bCs/>
          <w:sz w:val="24"/>
          <w:szCs w:val="24"/>
          <w:lang w:eastAsia="es-ES"/>
        </w:rPr>
        <w:lastRenderedPageBreak/>
        <w:t>TTL con IP</w:t>
      </w:r>
    </w:p>
    <w:p w:rsidR="008E6B31" w:rsidRDefault="008E6B31" w:rsidP="003E08F0">
      <w:pPr>
        <w:spacing w:before="100" w:beforeAutospacing="1" w:after="100" w:afterAutospacing="1" w:line="240" w:lineRule="auto"/>
        <w:outlineLvl w:val="1"/>
        <w:rPr>
          <w:rFonts w:ascii="CMU Serif" w:eastAsia="Times New Roman" w:hAnsi="CMU Serif" w:cs="CMU Serif"/>
          <w:bCs/>
          <w:lang w:eastAsia="es-ES"/>
        </w:rPr>
      </w:pPr>
      <w:r w:rsidRPr="008E6B31">
        <w:rPr>
          <w:rFonts w:ascii="CMU Serif" w:eastAsia="Times New Roman" w:hAnsi="CMU Serif" w:cs="CMU Serif"/>
          <w:bCs/>
          <w:lang w:eastAsia="es-ES"/>
        </w:rPr>
        <w:t>Con la introducción de MPLS, se agregan etiquetas a los paquetes IP. Esto requiere un mecanismo en el que el TTL se propague desde el encabezado IP a la pila de etiquetas y viceversa. Esto asegura que los paquetes no vivan para siempre al entrar y salir de la nube MPLS, si hay un bucle de enrutamiento.</w:t>
      </w:r>
    </w:p>
    <w:p w:rsidR="00F4641D" w:rsidRPr="00CF137F" w:rsidRDefault="00F4641D" w:rsidP="00F4641D">
      <w:pPr>
        <w:spacing w:before="100" w:beforeAutospacing="1" w:after="100" w:afterAutospacing="1" w:line="240" w:lineRule="auto"/>
        <w:outlineLvl w:val="1"/>
        <w:rPr>
          <w:rFonts w:ascii="CMU Serif" w:eastAsia="Times New Roman" w:hAnsi="CMU Serif" w:cs="CMU Serif"/>
          <w:b/>
          <w:bCs/>
          <w:sz w:val="24"/>
          <w:szCs w:val="24"/>
          <w:lang w:eastAsia="es-ES"/>
        </w:rPr>
      </w:pPr>
      <w:r w:rsidRPr="00CF137F">
        <w:rPr>
          <w:rFonts w:ascii="CMU Serif" w:eastAsia="Times New Roman" w:hAnsi="CMU Serif" w:cs="CMU Serif"/>
          <w:b/>
          <w:bCs/>
          <w:sz w:val="24"/>
          <w:szCs w:val="24"/>
          <w:lang w:eastAsia="es-ES"/>
        </w:rPr>
        <w:t xml:space="preserve">Comportamiento </w:t>
      </w:r>
      <w:r w:rsidR="00722E6F">
        <w:rPr>
          <w:rFonts w:ascii="CMU Serif" w:eastAsia="Times New Roman" w:hAnsi="CMU Serif" w:cs="CMU Serif"/>
          <w:b/>
          <w:bCs/>
          <w:sz w:val="24"/>
          <w:szCs w:val="24"/>
          <w:lang w:eastAsia="es-ES"/>
        </w:rPr>
        <w:t>TTL</w:t>
      </w:r>
    </w:p>
    <w:p w:rsidR="00F4641D" w:rsidRDefault="00F4641D" w:rsidP="00F4641D">
      <w:pPr>
        <w:spacing w:before="100" w:beforeAutospacing="1" w:after="100" w:afterAutospacing="1" w:line="240" w:lineRule="auto"/>
        <w:outlineLvl w:val="1"/>
        <w:rPr>
          <w:rFonts w:ascii="CMU Serif" w:eastAsia="Times New Roman" w:hAnsi="CMU Serif" w:cs="CMU Serif"/>
          <w:bCs/>
          <w:lang w:eastAsia="es-ES"/>
        </w:rPr>
      </w:pPr>
      <w:r w:rsidRPr="00F4641D">
        <w:rPr>
          <w:rFonts w:ascii="CMU Serif" w:eastAsia="Times New Roman" w:hAnsi="CMU Serif" w:cs="CMU Serif"/>
          <w:bCs/>
          <w:lang w:eastAsia="es-ES"/>
        </w:rPr>
        <w:t>En MPLS, el uso del campo TTL en la etiqueta es el mismo que el TTL en el encabezado IP. Cuando un paquete IP ingresa a la nube MPLS, el valor de IP TTL se copia (después de disminuirlo en 1) al MPLS</w:t>
      </w:r>
      <w:r>
        <w:rPr>
          <w:rFonts w:ascii="CMU Serif" w:eastAsia="Times New Roman" w:hAnsi="CMU Serif" w:cs="CMU Serif"/>
          <w:bCs/>
          <w:lang w:eastAsia="es-ES"/>
        </w:rPr>
        <w:t xml:space="preserve">. </w:t>
      </w:r>
      <w:r w:rsidRPr="00F4641D">
        <w:rPr>
          <w:rFonts w:ascii="CMU Serif" w:eastAsia="Times New Roman" w:hAnsi="CMU Serif" w:cs="CMU Serif"/>
          <w:bCs/>
          <w:lang w:eastAsia="es-ES"/>
        </w:rPr>
        <w:t>En la salida, se quita la etiqueta y el encabezado IP se expone nuevamente. El valor de IP TTL se copia del valor de MPLS TTL en la etiqueta superior recibida después de disminuirlo en 1.</w:t>
      </w:r>
    </w:p>
    <w:p w:rsidR="00C32A9C" w:rsidRPr="003E08F0" w:rsidRDefault="00C32A9C" w:rsidP="00C32A9C">
      <w:pPr>
        <w:spacing w:before="100" w:beforeAutospacing="1" w:after="100" w:afterAutospacing="1" w:line="240" w:lineRule="auto"/>
        <w:jc w:val="center"/>
        <w:outlineLvl w:val="1"/>
        <w:rPr>
          <w:rFonts w:ascii="CMU Serif" w:eastAsia="Times New Roman" w:hAnsi="CMU Serif" w:cs="CMU Serif"/>
          <w:bCs/>
          <w:lang w:eastAsia="es-ES"/>
        </w:rPr>
      </w:pPr>
      <w:r>
        <w:rPr>
          <w:noProof/>
          <w:lang w:eastAsia="es-ES"/>
        </w:rPr>
        <w:drawing>
          <wp:inline distT="0" distB="0" distL="0" distR="0" wp14:anchorId="0F6E8B9D" wp14:editId="1EEEAD86">
            <wp:extent cx="3588765" cy="2033155"/>
            <wp:effectExtent l="0" t="0" r="0" b="5715"/>
            <wp:docPr id="5" name="Imagen 5" descr="https://ptgmedia.pearsoncmg.com/images/chap3_9781587051975/elementLinks/mp3203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tgmedia.pearsoncmg.com/images/chap3_9781587051975/elementLinks/mp32030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839" cy="2036596"/>
                    </a:xfrm>
                    <a:prstGeom prst="rect">
                      <a:avLst/>
                    </a:prstGeom>
                    <a:noFill/>
                    <a:ln>
                      <a:noFill/>
                    </a:ln>
                  </pic:spPr>
                </pic:pic>
              </a:graphicData>
            </a:graphic>
          </wp:inline>
        </w:drawing>
      </w:r>
    </w:p>
    <w:p w:rsidR="002C256F" w:rsidRPr="008E6B31" w:rsidRDefault="002C256F">
      <w:pPr>
        <w:rPr>
          <w:rFonts w:ascii="CMU Serif" w:hAnsi="CMU Serif" w:cs="CMU Serif"/>
          <w:color w:val="FF0000"/>
        </w:rPr>
      </w:pPr>
    </w:p>
    <w:p w:rsidR="00F6505A" w:rsidRPr="00F6505A" w:rsidRDefault="00F6505A" w:rsidP="00F6505A">
      <w:pPr>
        <w:rPr>
          <w:rFonts w:ascii="CMU Serif" w:hAnsi="CMU Serif" w:cs="CMU Serif"/>
          <w:b/>
          <w:sz w:val="24"/>
          <w:szCs w:val="24"/>
        </w:rPr>
      </w:pPr>
      <w:r>
        <w:rPr>
          <w:rFonts w:ascii="CMU Serif" w:hAnsi="CMU Serif" w:cs="CMU Serif"/>
          <w:b/>
          <w:sz w:val="24"/>
          <w:szCs w:val="24"/>
        </w:rPr>
        <w:t>Caducidad TTL</w:t>
      </w:r>
    </w:p>
    <w:p w:rsidR="00041C31" w:rsidRDefault="00F6505A" w:rsidP="00F6505A">
      <w:pPr>
        <w:rPr>
          <w:rFonts w:ascii="CMU Serif" w:hAnsi="CMU Serif" w:cs="CMU Serif"/>
        </w:rPr>
      </w:pPr>
      <w:r w:rsidRPr="00F6505A">
        <w:rPr>
          <w:rFonts w:ascii="CMU Serif" w:hAnsi="CMU Serif" w:cs="CMU Serif"/>
        </w:rPr>
        <w:t>Cuando se recibe un paquete etiquetado con un TTL de 1, el receptor descarta el paquete y envía un mensaje ICMP "tiempo excedido" al originador del paquete IP. Este es el mismo comportamiento que exhibiría un enrutador con un paquete IP que tenía un TTL vencido.</w:t>
      </w:r>
      <w:r w:rsidR="00041C31">
        <w:rPr>
          <w:rFonts w:ascii="CMU Serif" w:hAnsi="CMU Serif" w:cs="CMU Serif"/>
        </w:rPr>
        <w:t xml:space="preserve"> </w:t>
      </w:r>
      <w:r w:rsidR="00041C31" w:rsidRPr="00041C31">
        <w:rPr>
          <w:rFonts w:ascii="CMU Serif" w:hAnsi="CMU Serif" w:cs="CMU Serif"/>
        </w:rPr>
        <w:t>Sin embargo, el mensaje ICMP no se envía inmediatamente al originador del paquete porque es posible que no tenga una ruta IP hacia el origen del paquete. El mensaje ICMP se reenvía junto con el paquete original que estaba siguiendo.</w:t>
      </w:r>
    </w:p>
    <w:p w:rsidR="00722E6F" w:rsidRPr="00F6505A" w:rsidRDefault="00722E6F" w:rsidP="00F6505A">
      <w:pPr>
        <w:rPr>
          <w:rFonts w:ascii="CMU Serif" w:hAnsi="CMU Serif" w:cs="CMU Serif"/>
        </w:rPr>
      </w:pPr>
    </w:p>
    <w:p w:rsidR="00F213B7" w:rsidRPr="008E6B31" w:rsidRDefault="00F213B7"/>
    <w:p w:rsidR="00F213B7" w:rsidRPr="008E6B31" w:rsidRDefault="00F213B7"/>
    <w:p w:rsidR="00F213B7" w:rsidRPr="008E6B31" w:rsidRDefault="00F213B7"/>
    <w:p w:rsidR="00F213B7" w:rsidRPr="008E6B31" w:rsidRDefault="00F213B7"/>
    <w:p w:rsidR="00F213B7" w:rsidRPr="008E6B31" w:rsidRDefault="00F213B7"/>
    <w:p w:rsidR="00F213B7" w:rsidRPr="008E6B31" w:rsidRDefault="00722E6F">
      <w:r>
        <w:rPr>
          <w:noProof/>
          <w:lang w:eastAsia="es-ES"/>
        </w:rPr>
        <w:lastRenderedPageBreak/>
        <w:drawing>
          <wp:anchor distT="0" distB="0" distL="114300" distR="114300" simplePos="0" relativeHeight="251658240" behindDoc="0" locked="0" layoutInCell="1" allowOverlap="1" wp14:anchorId="50BC37E0" wp14:editId="5FB86324">
            <wp:simplePos x="0" y="0"/>
            <wp:positionH relativeFrom="margin">
              <wp:align>center</wp:align>
            </wp:positionH>
            <wp:positionV relativeFrom="paragraph">
              <wp:posOffset>107258</wp:posOffset>
            </wp:positionV>
            <wp:extent cx="3140192" cy="1765935"/>
            <wp:effectExtent l="0" t="0" r="3175" b="5715"/>
            <wp:wrapNone/>
            <wp:docPr id="6" name="Imagen 6" descr="https://ptgmedia.pearsoncmg.com/images/chap3_9781587051975/elementLinks/mp3203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tgmedia.pearsoncmg.com/images/chap3_9781587051975/elementLinks/mp32030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192" cy="1765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213B7" w:rsidRPr="00F4641D" w:rsidRDefault="00F213B7"/>
    <w:p w:rsidR="00F213B7" w:rsidRPr="00F4641D" w:rsidRDefault="00F213B7"/>
    <w:p w:rsidR="00F213B7" w:rsidRPr="00F4641D" w:rsidRDefault="00F213B7"/>
    <w:p w:rsidR="00F213B7" w:rsidRPr="00F4641D" w:rsidRDefault="00F213B7"/>
    <w:p w:rsidR="00722E6F" w:rsidRDefault="00722E6F">
      <w:pPr>
        <w:rPr>
          <w:rFonts w:ascii="CMU Serif" w:hAnsi="CMU Serif" w:cs="CMU Serif"/>
          <w:b/>
          <w:sz w:val="28"/>
          <w:szCs w:val="28"/>
          <w:lang w:val="en-US"/>
        </w:rPr>
      </w:pPr>
    </w:p>
    <w:p w:rsidR="00722E6F" w:rsidRDefault="00722E6F">
      <w:pPr>
        <w:rPr>
          <w:rFonts w:ascii="CMU Serif" w:hAnsi="CMU Serif" w:cs="CMU Serif"/>
          <w:b/>
          <w:sz w:val="28"/>
          <w:szCs w:val="28"/>
          <w:lang w:val="en-US"/>
        </w:rPr>
      </w:pPr>
    </w:p>
    <w:p w:rsidR="00722E6F" w:rsidRDefault="009C3E23">
      <w:pPr>
        <w:rPr>
          <w:rFonts w:ascii="CMU Serif" w:hAnsi="CMU Serif" w:cs="CMU Serif"/>
          <w:b/>
          <w:sz w:val="28"/>
          <w:szCs w:val="28"/>
          <w:lang w:val="en-US"/>
        </w:rPr>
      </w:pPr>
      <w:r w:rsidRPr="009C3E23">
        <w:rPr>
          <w:rFonts w:ascii="CMU Serif" w:hAnsi="CMU Serif" w:cs="CMU Serif"/>
          <w:b/>
          <w:noProof/>
          <w:sz w:val="28"/>
          <w:szCs w:val="28"/>
          <w:lang w:val="en-US"/>
        </w:rPr>
        <mc:AlternateContent>
          <mc:Choice Requires="wps">
            <w:drawing>
              <wp:anchor distT="45720" distB="45720" distL="114300" distR="114300" simplePos="0" relativeHeight="251661312" behindDoc="0" locked="0" layoutInCell="1" allowOverlap="1" wp14:anchorId="53182F0E" wp14:editId="61D20267">
                <wp:simplePos x="0" y="0"/>
                <wp:positionH relativeFrom="margin">
                  <wp:align>center</wp:align>
                </wp:positionH>
                <wp:positionV relativeFrom="paragraph">
                  <wp:posOffset>21763</wp:posOffset>
                </wp:positionV>
                <wp:extent cx="4402282" cy="287482"/>
                <wp:effectExtent l="0" t="0" r="17780" b="177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282" cy="287482"/>
                        </a:xfrm>
                        <a:prstGeom prst="rect">
                          <a:avLst/>
                        </a:prstGeom>
                        <a:solidFill>
                          <a:srgbClr val="FFFFFF"/>
                        </a:solidFill>
                        <a:ln w="9525">
                          <a:solidFill>
                            <a:srgbClr val="000000"/>
                          </a:solidFill>
                          <a:miter lim="800000"/>
                          <a:headEnd/>
                          <a:tailEnd/>
                        </a:ln>
                      </wps:spPr>
                      <wps:txbx>
                        <w:txbxContent>
                          <w:p w:rsidR="009C3E23" w:rsidRPr="009C3E23" w:rsidRDefault="009C3E23">
                            <w:pPr>
                              <w:rPr>
                                <w:rFonts w:ascii="CMU Serif" w:hAnsi="CMU Serif" w:cs="CMU Serif"/>
                              </w:rPr>
                            </w:pPr>
                            <w:r w:rsidRPr="009C3E23">
                              <w:rPr>
                                <w:rStyle w:val="tlid-translation"/>
                                <w:rFonts w:ascii="CMU Serif" w:hAnsi="CMU Serif" w:cs="CMU Serif"/>
                              </w:rPr>
                              <w:t>"tiempo excedido" al originador del paquete en el caso de una red 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182F0E" id="_x0000_t202" coordsize="21600,21600" o:spt="202" path="m,l,21600r21600,l21600,xe">
                <v:stroke joinstyle="miter"/>
                <v:path gradientshapeok="t" o:connecttype="rect"/>
              </v:shapetype>
              <v:shape id="Cuadro de texto 2" o:spid="_x0000_s1026" type="#_x0000_t202" style="position:absolute;margin-left:0;margin-top:1.7pt;width:346.65pt;height:22.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">
                <v:textbox>
                  <w:txbxContent>
                    <w:p w:rsidR="009C3E23" w:rsidRPr="009C3E23" w:rsidRDefault="009C3E23">
                      <w:pPr>
                        <w:rPr>
                          <w:rFonts w:ascii="CMU Serif" w:hAnsi="CMU Serif" w:cs="CMU Serif"/>
                        </w:rPr>
                      </w:pPr>
                      <w:r w:rsidRPr="009C3E23">
                        <w:rPr>
                          <w:rStyle w:val="tlid-translation"/>
                          <w:rFonts w:ascii="CMU Serif" w:hAnsi="CMU Serif" w:cs="CMU Serif"/>
                        </w:rPr>
                        <w:t>"tiempo excedido" al originador del paquete en el caso de una red IP.</w:t>
                      </w:r>
                    </w:p>
                  </w:txbxContent>
                </v:textbox>
                <w10:wrap anchorx="margin"/>
              </v:shape>
            </w:pict>
          </mc:Fallback>
        </mc:AlternateContent>
      </w:r>
    </w:p>
    <w:p w:rsidR="00722E6F" w:rsidRDefault="00722E6F">
      <w:pPr>
        <w:rPr>
          <w:rFonts w:ascii="CMU Serif" w:hAnsi="CMU Serif" w:cs="CMU Serif"/>
          <w:b/>
          <w:sz w:val="28"/>
          <w:szCs w:val="28"/>
          <w:lang w:val="en-US"/>
        </w:rPr>
      </w:pPr>
      <w:r>
        <w:rPr>
          <w:noProof/>
          <w:lang w:eastAsia="es-ES"/>
        </w:rPr>
        <w:drawing>
          <wp:anchor distT="0" distB="0" distL="114300" distR="114300" simplePos="0" relativeHeight="251659264" behindDoc="0" locked="0" layoutInCell="1" allowOverlap="1" wp14:anchorId="53384D68" wp14:editId="31FE6374">
            <wp:simplePos x="0" y="0"/>
            <wp:positionH relativeFrom="margin">
              <wp:align>center</wp:align>
            </wp:positionH>
            <wp:positionV relativeFrom="paragraph">
              <wp:posOffset>144376</wp:posOffset>
            </wp:positionV>
            <wp:extent cx="3066096" cy="2667000"/>
            <wp:effectExtent l="0" t="0" r="1270" b="0"/>
            <wp:wrapNone/>
            <wp:docPr id="7" name="Imagen 7" descr="https://ptgmedia.pearsoncmg.com/images/chap3_9781587051975/elementLinks/mp3203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tgmedia.pearsoncmg.com/images/chap3_9781587051975/elementLinks/mp32030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096"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E6F" w:rsidRDefault="00722E6F">
      <w:pPr>
        <w:rPr>
          <w:rFonts w:ascii="CMU Serif" w:hAnsi="CMU Serif" w:cs="CMU Serif"/>
          <w:b/>
          <w:sz w:val="28"/>
          <w:szCs w:val="28"/>
          <w:lang w:val="en-US"/>
        </w:rPr>
      </w:pPr>
    </w:p>
    <w:p w:rsidR="00722E6F" w:rsidRDefault="00722E6F" w:rsidP="00AB65E5">
      <w:pPr>
        <w:ind w:left="708" w:hanging="708"/>
        <w:rPr>
          <w:rFonts w:ascii="CMU Serif" w:hAnsi="CMU Serif" w:cs="CMU Serif"/>
          <w:b/>
          <w:sz w:val="28"/>
          <w:szCs w:val="28"/>
          <w:lang w:val="en-US"/>
        </w:rPr>
      </w:pPr>
    </w:p>
    <w:p w:rsidR="00722E6F" w:rsidRDefault="00722E6F">
      <w:pPr>
        <w:rPr>
          <w:rFonts w:ascii="CMU Serif" w:hAnsi="CMU Serif" w:cs="CMU Serif"/>
          <w:b/>
          <w:sz w:val="28"/>
          <w:szCs w:val="28"/>
          <w:lang w:val="en-US"/>
        </w:rPr>
      </w:pPr>
    </w:p>
    <w:p w:rsidR="00722E6F" w:rsidRDefault="00722E6F">
      <w:pPr>
        <w:rPr>
          <w:rFonts w:ascii="CMU Serif" w:hAnsi="CMU Serif" w:cs="CMU Serif"/>
          <w:b/>
          <w:sz w:val="28"/>
          <w:szCs w:val="28"/>
          <w:lang w:val="en-US"/>
        </w:rPr>
      </w:pPr>
    </w:p>
    <w:p w:rsidR="00722E6F" w:rsidRDefault="00722E6F">
      <w:pPr>
        <w:rPr>
          <w:rFonts w:ascii="CMU Serif" w:hAnsi="CMU Serif" w:cs="CMU Serif"/>
          <w:b/>
          <w:sz w:val="28"/>
          <w:szCs w:val="28"/>
          <w:lang w:val="en-US"/>
        </w:rPr>
      </w:pPr>
    </w:p>
    <w:p w:rsidR="00722E6F" w:rsidRDefault="00722E6F">
      <w:pPr>
        <w:rPr>
          <w:rFonts w:ascii="CMU Serif" w:hAnsi="CMU Serif" w:cs="CMU Serif"/>
          <w:b/>
          <w:sz w:val="28"/>
          <w:szCs w:val="28"/>
          <w:lang w:val="en-US"/>
        </w:rPr>
      </w:pPr>
    </w:p>
    <w:p w:rsidR="00722E6F" w:rsidRDefault="00722E6F">
      <w:pPr>
        <w:rPr>
          <w:rFonts w:ascii="CMU Serif" w:hAnsi="CMU Serif" w:cs="CMU Serif"/>
          <w:b/>
          <w:sz w:val="28"/>
          <w:szCs w:val="28"/>
          <w:lang w:val="en-US"/>
        </w:rPr>
      </w:pPr>
    </w:p>
    <w:p w:rsidR="00722E6F" w:rsidRDefault="00AB65E5">
      <w:pPr>
        <w:rPr>
          <w:rFonts w:ascii="CMU Serif" w:hAnsi="CMU Serif" w:cs="CMU Serif"/>
          <w:b/>
          <w:sz w:val="28"/>
          <w:szCs w:val="28"/>
          <w:lang w:val="en-US"/>
        </w:rPr>
      </w:pPr>
      <w:r w:rsidRPr="009C3E23">
        <w:rPr>
          <w:rFonts w:ascii="CMU Serif" w:hAnsi="CMU Serif" w:cs="CMU Serif"/>
          <w:b/>
          <w:noProof/>
          <w:sz w:val="28"/>
          <w:szCs w:val="28"/>
          <w:lang w:val="en-US"/>
        </w:rPr>
        <mc:AlternateContent>
          <mc:Choice Requires="wps">
            <w:drawing>
              <wp:anchor distT="45720" distB="45720" distL="114300" distR="114300" simplePos="0" relativeHeight="251663360" behindDoc="0" locked="0" layoutInCell="1" allowOverlap="1" wp14:anchorId="4330EBB0" wp14:editId="46CE93FB">
                <wp:simplePos x="0" y="0"/>
                <wp:positionH relativeFrom="margin">
                  <wp:align>center</wp:align>
                </wp:positionH>
                <wp:positionV relativeFrom="paragraph">
                  <wp:posOffset>181148</wp:posOffset>
                </wp:positionV>
                <wp:extent cx="4402282" cy="464128"/>
                <wp:effectExtent l="0" t="0" r="17780" b="1270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282" cy="464128"/>
                        </a:xfrm>
                        <a:prstGeom prst="rect">
                          <a:avLst/>
                        </a:prstGeom>
                        <a:solidFill>
                          <a:srgbClr val="FFFFFF"/>
                        </a:solidFill>
                        <a:ln w="9525">
                          <a:solidFill>
                            <a:srgbClr val="000000"/>
                          </a:solidFill>
                          <a:miter lim="800000"/>
                          <a:headEnd/>
                          <a:tailEnd/>
                        </a:ln>
                      </wps:spPr>
                      <wps:txbx>
                        <w:txbxContent>
                          <w:p w:rsidR="00AB65E5" w:rsidRPr="003C2E3C" w:rsidRDefault="003C2E3C" w:rsidP="00AB65E5">
                            <w:pPr>
                              <w:rPr>
                                <w:rFonts w:ascii="CMU Serif" w:hAnsi="CMU Serif" w:cs="CMU Serif"/>
                              </w:rPr>
                            </w:pPr>
                            <w:r w:rsidRPr="003C2E3C">
                              <w:rPr>
                                <w:rStyle w:val="tlid-translation"/>
                                <w:rFonts w:ascii="CMU Serif" w:hAnsi="CMU Serif" w:cs="CMU Serif"/>
                              </w:rPr>
                              <w:t>U</w:t>
                            </w:r>
                            <w:r w:rsidRPr="003C2E3C">
                              <w:rPr>
                                <w:rStyle w:val="tlid-translation"/>
                                <w:rFonts w:ascii="CMU Serif" w:hAnsi="CMU Serif" w:cs="CMU Serif"/>
                              </w:rPr>
                              <w:t>n enrutador que envía el mensaje ICMP "tiempo excedido" al originador del paquete en el caso de una red IP.</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0EBB0" id="_x0000_s1027" type="#_x0000_t202" style="position:absolute;margin-left:0;margin-top:14.25pt;width:346.65pt;height:36.5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">
                <v:textbox>
                  <w:txbxContent>
                    <w:p w:rsidR="00AB65E5" w:rsidRPr="003C2E3C" w:rsidRDefault="003C2E3C" w:rsidP="00AB65E5">
                      <w:pPr>
                        <w:rPr>
                          <w:rFonts w:ascii="CMU Serif" w:hAnsi="CMU Serif" w:cs="CMU Serif"/>
                        </w:rPr>
                      </w:pPr>
                      <w:r w:rsidRPr="003C2E3C">
                        <w:rPr>
                          <w:rStyle w:val="tlid-translation"/>
                          <w:rFonts w:ascii="CMU Serif" w:hAnsi="CMU Serif" w:cs="CMU Serif"/>
                        </w:rPr>
                        <w:t>U</w:t>
                      </w:r>
                      <w:r w:rsidRPr="003C2E3C">
                        <w:rPr>
                          <w:rStyle w:val="tlid-translation"/>
                          <w:rFonts w:ascii="CMU Serif" w:hAnsi="CMU Serif" w:cs="CMU Serif"/>
                        </w:rPr>
                        <w:t>n enrutador que envía el mensaje ICMP "tiempo excedido" al originador del paquete en el caso de una red IP.</w:t>
                      </w:r>
                      <w:bookmarkStart w:id="1" w:name="_GoBack"/>
                      <w:bookmarkEnd w:id="1"/>
                    </w:p>
                  </w:txbxContent>
                </v:textbox>
                <w10:wrap anchorx="margin"/>
              </v:shape>
            </w:pict>
          </mc:Fallback>
        </mc:AlternateContent>
      </w:r>
    </w:p>
    <w:p w:rsidR="00AB65E5" w:rsidRDefault="00AB65E5">
      <w:pPr>
        <w:rPr>
          <w:rFonts w:ascii="CMU Serif" w:hAnsi="CMU Serif" w:cs="CMU Serif"/>
          <w:b/>
          <w:sz w:val="28"/>
          <w:szCs w:val="28"/>
          <w:lang w:val="en-US"/>
        </w:rPr>
      </w:pPr>
    </w:p>
    <w:p w:rsidR="00F213B7" w:rsidRPr="00DE6512" w:rsidRDefault="00F213B7">
      <w:pPr>
        <w:rPr>
          <w:rFonts w:ascii="CMU Serif" w:hAnsi="CMU Serif" w:cs="CMU Serif"/>
          <w:b/>
          <w:sz w:val="28"/>
          <w:szCs w:val="28"/>
          <w:lang w:val="en-US"/>
        </w:rPr>
      </w:pPr>
      <w:proofErr w:type="spellStart"/>
      <w:r w:rsidRPr="00DE6512">
        <w:rPr>
          <w:rFonts w:ascii="CMU Serif" w:hAnsi="CMU Serif" w:cs="CMU Serif"/>
          <w:b/>
          <w:sz w:val="28"/>
          <w:szCs w:val="28"/>
          <w:lang w:val="en-US"/>
        </w:rPr>
        <w:t>Referencias</w:t>
      </w:r>
      <w:proofErr w:type="spellEnd"/>
    </w:p>
    <w:p w:rsidR="00F213B7" w:rsidRDefault="00F213B7" w:rsidP="00F213B7">
      <w:pPr>
        <w:pStyle w:val="Ttulo1"/>
        <w:rPr>
          <w:rFonts w:ascii="CMU Serif" w:hAnsi="CMU Serif" w:cs="CMU Serif"/>
          <w:color w:val="0070C0"/>
          <w:sz w:val="22"/>
          <w:szCs w:val="22"/>
          <w:lang w:val="en-US"/>
        </w:rPr>
      </w:pPr>
      <w:r w:rsidRPr="008509C8">
        <w:rPr>
          <w:rFonts w:ascii="CMU Serif" w:hAnsi="CMU Serif" w:cs="CMU Serif"/>
          <w:b/>
          <w:color w:val="000000" w:themeColor="text1"/>
          <w:sz w:val="22"/>
          <w:szCs w:val="22"/>
          <w:lang w:val="en-US"/>
        </w:rPr>
        <w:t>[1]</w:t>
      </w:r>
      <w:r w:rsidRPr="00F213B7">
        <w:rPr>
          <w:rFonts w:ascii="CMU Serif" w:hAnsi="CMU Serif" w:cs="CMU Serif"/>
          <w:color w:val="000000" w:themeColor="text1"/>
          <w:sz w:val="22"/>
          <w:szCs w:val="22"/>
          <w:lang w:val="en-US"/>
        </w:rPr>
        <w:t xml:space="preserve"> </w:t>
      </w:r>
      <w:r w:rsidRPr="00F213B7">
        <w:rPr>
          <w:rFonts w:ascii="CMU Serif" w:hAnsi="CMU Serif" w:cs="CMU Serif"/>
          <w:color w:val="000000" w:themeColor="text1"/>
          <w:sz w:val="22"/>
          <w:szCs w:val="22"/>
          <w:lang w:val="en-US"/>
        </w:rPr>
        <w:t>What is an SLA? Best practices for service-level agreements</w:t>
      </w:r>
      <w:r w:rsidRPr="00F213B7">
        <w:rPr>
          <w:rFonts w:ascii="CMU Serif" w:hAnsi="CMU Serif" w:cs="CMU Serif"/>
          <w:color w:val="000000" w:themeColor="text1"/>
          <w:sz w:val="22"/>
          <w:szCs w:val="22"/>
          <w:lang w:val="en-US"/>
        </w:rPr>
        <w:t xml:space="preserve">, </w:t>
      </w:r>
      <w:hyperlink r:id="rId10" w:history="1">
        <w:r w:rsidRPr="00F213B7">
          <w:rPr>
            <w:rStyle w:val="Hipervnculo"/>
            <w:rFonts w:ascii="CMU Serif" w:hAnsi="CMU Serif" w:cs="CMU Serif"/>
            <w:color w:val="0070C0"/>
            <w:sz w:val="22"/>
            <w:szCs w:val="22"/>
            <w:lang w:val="en-US"/>
          </w:rPr>
          <w:t>https://www.cio.com/article/2438284/outsourcing-sla-definitions-and-solutions.html</w:t>
        </w:r>
      </w:hyperlink>
    </w:p>
    <w:p w:rsidR="008509C8" w:rsidRPr="00D63FB1" w:rsidRDefault="008509C8" w:rsidP="008509C8">
      <w:pPr>
        <w:pStyle w:val="Ttulo3"/>
        <w:rPr>
          <w:rFonts w:ascii="CMU Serif" w:hAnsi="CMU Serif" w:cs="CMU Serif"/>
          <w:sz w:val="22"/>
          <w:szCs w:val="22"/>
          <w:lang w:val="en-US"/>
        </w:rPr>
      </w:pPr>
      <w:r w:rsidRPr="008509C8">
        <w:rPr>
          <w:rFonts w:ascii="CMU Serif" w:hAnsi="CMU Serif" w:cs="CMU Serif"/>
          <w:b/>
          <w:sz w:val="22"/>
          <w:szCs w:val="22"/>
          <w:lang w:val="en-US"/>
        </w:rPr>
        <w:t>[2]</w:t>
      </w:r>
      <w:r w:rsidRPr="008509C8">
        <w:rPr>
          <w:rFonts w:ascii="CMU Serif" w:hAnsi="CMU Serif" w:cs="CMU Serif"/>
          <w:sz w:val="22"/>
          <w:szCs w:val="22"/>
          <w:lang w:val="en-US"/>
        </w:rPr>
        <w:t xml:space="preserve"> </w:t>
      </w:r>
      <w:r w:rsidRPr="00D63FB1">
        <w:rPr>
          <w:rFonts w:ascii="CMU Serif" w:hAnsi="CMU Serif" w:cs="CMU Serif"/>
          <w:sz w:val="22"/>
          <w:szCs w:val="22"/>
          <w:lang w:val="en-US"/>
        </w:rPr>
        <w:t>MPLS Label</w:t>
      </w:r>
      <w:r w:rsidRPr="00D63FB1">
        <w:rPr>
          <w:rFonts w:ascii="CMU Serif" w:hAnsi="CMU Serif" w:cs="CMU Serif"/>
          <w:sz w:val="22"/>
          <w:szCs w:val="22"/>
          <w:lang w:val="en-US"/>
        </w:rPr>
        <w:t xml:space="preserve">, </w:t>
      </w:r>
      <w:hyperlink r:id="rId11" w:history="1">
        <w:r w:rsidRPr="00D63FB1">
          <w:rPr>
            <w:rStyle w:val="Hipervnculo"/>
            <w:rFonts w:ascii="CMU Serif" w:hAnsi="CMU Serif" w:cs="CMU Serif"/>
            <w:sz w:val="22"/>
            <w:szCs w:val="22"/>
            <w:lang w:val="en-US"/>
          </w:rPr>
          <w:t>https://support.huawei.com/enterprise/en/doc/EDOC1100077136/b5b946d/mpls-label</w:t>
        </w:r>
      </w:hyperlink>
    </w:p>
    <w:p w:rsidR="00D63FB1" w:rsidRPr="00D63FB1" w:rsidRDefault="00D63FB1" w:rsidP="00D63FB1">
      <w:pPr>
        <w:pStyle w:val="Ttulo1"/>
        <w:rPr>
          <w:rFonts w:ascii="CMU Serif" w:hAnsi="CMU Serif" w:cs="CMU Serif"/>
          <w:color w:val="000000" w:themeColor="text1"/>
          <w:sz w:val="22"/>
          <w:szCs w:val="22"/>
          <w:lang w:val="en-US"/>
        </w:rPr>
      </w:pPr>
      <w:r w:rsidRPr="00D63FB1">
        <w:rPr>
          <w:rFonts w:ascii="CMU Serif" w:hAnsi="CMU Serif" w:cs="CMU Serif"/>
          <w:color w:val="000000" w:themeColor="text1"/>
          <w:sz w:val="22"/>
          <w:szCs w:val="22"/>
          <w:lang w:val="en-US"/>
        </w:rPr>
        <w:t xml:space="preserve">[3] </w:t>
      </w:r>
      <w:hyperlink r:id="rId12" w:history="1">
        <w:r w:rsidRPr="00D63FB1">
          <w:rPr>
            <w:rStyle w:val="Hipervnculo"/>
            <w:rFonts w:ascii="CMU Serif" w:hAnsi="CMU Serif" w:cs="CMU Serif"/>
            <w:color w:val="000000" w:themeColor="text1"/>
            <w:sz w:val="22"/>
            <w:szCs w:val="22"/>
            <w:lang w:val="en-US"/>
          </w:rPr>
          <w:t>MPLS Fundamentals: Forwarding Labeled Packets</w:t>
        </w:r>
      </w:hyperlink>
    </w:p>
    <w:p w:rsidR="008509C8" w:rsidRPr="00D63FB1" w:rsidRDefault="00D63FB1" w:rsidP="008509C8">
      <w:pPr>
        <w:rPr>
          <w:rFonts w:ascii="CMU Serif" w:hAnsi="CMU Serif" w:cs="CMU Serif"/>
          <w:lang w:val="en-US"/>
        </w:rPr>
      </w:pPr>
      <w:r w:rsidRPr="00D63FB1">
        <w:rPr>
          <w:rFonts w:ascii="CMU Serif" w:hAnsi="CMU Serif" w:cs="CMU Serif"/>
          <w:lang w:val="en-US"/>
        </w:rPr>
        <w:t xml:space="preserve">, </w:t>
      </w:r>
      <w:hyperlink r:id="rId13" w:history="1">
        <w:r w:rsidRPr="00D63FB1">
          <w:rPr>
            <w:rStyle w:val="Hipervnculo"/>
            <w:rFonts w:ascii="CMU Serif" w:hAnsi="CMU Serif" w:cs="CMU Serif"/>
            <w:lang w:val="en-US"/>
          </w:rPr>
          <w:t>https://www.ciscopress.com/articles/article.asp?p=680824&amp;seqNum=4</w:t>
        </w:r>
      </w:hyperlink>
    </w:p>
    <w:p w:rsidR="00D63FB1" w:rsidRPr="00D63FB1" w:rsidRDefault="00D63FB1" w:rsidP="008509C8">
      <w:pPr>
        <w:rPr>
          <w:lang w:val="en-US"/>
        </w:rPr>
      </w:pPr>
    </w:p>
    <w:p w:rsidR="00F213B7" w:rsidRPr="00D63FB1" w:rsidRDefault="00F213B7" w:rsidP="00F213B7">
      <w:pPr>
        <w:rPr>
          <w:lang w:val="en-US"/>
        </w:rPr>
      </w:pPr>
    </w:p>
    <w:p w:rsidR="00F213B7" w:rsidRPr="00D63FB1" w:rsidRDefault="00F213B7">
      <w:pPr>
        <w:rPr>
          <w:lang w:val="en-US"/>
        </w:rPr>
      </w:pPr>
    </w:p>
    <w:sectPr w:rsidR="00F213B7" w:rsidRPr="00D63F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800F4"/>
    <w:multiLevelType w:val="hybridMultilevel"/>
    <w:tmpl w:val="135AE978"/>
    <w:lvl w:ilvl="0" w:tplc="40DA711E">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E7A"/>
    <w:rsid w:val="0003024C"/>
    <w:rsid w:val="00041C31"/>
    <w:rsid w:val="000636F2"/>
    <w:rsid w:val="000A6FE7"/>
    <w:rsid w:val="002A761B"/>
    <w:rsid w:val="002C256F"/>
    <w:rsid w:val="003C2E3C"/>
    <w:rsid w:val="003E08F0"/>
    <w:rsid w:val="00621B1A"/>
    <w:rsid w:val="00722E6F"/>
    <w:rsid w:val="00811A41"/>
    <w:rsid w:val="008509C8"/>
    <w:rsid w:val="008E6B31"/>
    <w:rsid w:val="009C3E23"/>
    <w:rsid w:val="00AB65E5"/>
    <w:rsid w:val="00BC4E7A"/>
    <w:rsid w:val="00C32A9C"/>
    <w:rsid w:val="00C41324"/>
    <w:rsid w:val="00CF137F"/>
    <w:rsid w:val="00D63FB1"/>
    <w:rsid w:val="00DE6512"/>
    <w:rsid w:val="00F213B7"/>
    <w:rsid w:val="00F4641D"/>
    <w:rsid w:val="00F650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74598-4CFA-480D-BDE7-8B4551A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13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3E08F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8509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E08F0"/>
    <w:rPr>
      <w:rFonts w:ascii="Times New Roman" w:eastAsia="Times New Roman" w:hAnsi="Times New Roman" w:cs="Times New Roman"/>
      <w:b/>
      <w:bCs/>
      <w:sz w:val="36"/>
      <w:szCs w:val="36"/>
      <w:lang w:eastAsia="es-ES"/>
    </w:rPr>
  </w:style>
  <w:style w:type="character" w:customStyle="1" w:styleId="Ttulo1Car">
    <w:name w:val="Título 1 Car"/>
    <w:basedOn w:val="Fuentedeprrafopredeter"/>
    <w:link w:val="Ttulo1"/>
    <w:uiPriority w:val="9"/>
    <w:rsid w:val="00F213B7"/>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F213B7"/>
    <w:rPr>
      <w:color w:val="0563C1" w:themeColor="hyperlink"/>
      <w:u w:val="single"/>
    </w:rPr>
  </w:style>
  <w:style w:type="character" w:customStyle="1" w:styleId="tlid-translation">
    <w:name w:val="tlid-translation"/>
    <w:basedOn w:val="Fuentedeprrafopredeter"/>
    <w:rsid w:val="00621B1A"/>
  </w:style>
  <w:style w:type="character" w:customStyle="1" w:styleId="Ttulo3Car">
    <w:name w:val="Título 3 Car"/>
    <w:basedOn w:val="Fuentedeprrafopredeter"/>
    <w:link w:val="Ttulo3"/>
    <w:uiPriority w:val="9"/>
    <w:rsid w:val="008509C8"/>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F46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1515">
      <w:bodyDiv w:val="1"/>
      <w:marLeft w:val="0"/>
      <w:marRight w:val="0"/>
      <w:marTop w:val="0"/>
      <w:marBottom w:val="0"/>
      <w:divBdr>
        <w:top w:val="none" w:sz="0" w:space="0" w:color="auto"/>
        <w:left w:val="none" w:sz="0" w:space="0" w:color="auto"/>
        <w:bottom w:val="none" w:sz="0" w:space="0" w:color="auto"/>
        <w:right w:val="none" w:sz="0" w:space="0" w:color="auto"/>
      </w:divBdr>
    </w:div>
    <w:div w:id="1041632708">
      <w:bodyDiv w:val="1"/>
      <w:marLeft w:val="0"/>
      <w:marRight w:val="0"/>
      <w:marTop w:val="0"/>
      <w:marBottom w:val="0"/>
      <w:divBdr>
        <w:top w:val="none" w:sz="0" w:space="0" w:color="auto"/>
        <w:left w:val="none" w:sz="0" w:space="0" w:color="auto"/>
        <w:bottom w:val="none" w:sz="0" w:space="0" w:color="auto"/>
        <w:right w:val="none" w:sz="0" w:space="0" w:color="auto"/>
      </w:divBdr>
    </w:div>
    <w:div w:id="1392732860">
      <w:bodyDiv w:val="1"/>
      <w:marLeft w:val="0"/>
      <w:marRight w:val="0"/>
      <w:marTop w:val="0"/>
      <w:marBottom w:val="0"/>
      <w:divBdr>
        <w:top w:val="none" w:sz="0" w:space="0" w:color="auto"/>
        <w:left w:val="none" w:sz="0" w:space="0" w:color="auto"/>
        <w:bottom w:val="none" w:sz="0" w:space="0" w:color="auto"/>
        <w:right w:val="none" w:sz="0" w:space="0" w:color="auto"/>
      </w:divBdr>
    </w:div>
    <w:div w:id="187284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www.ciscopress.com/articles/article.asp?p=680824&amp;seqNum=4"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ciscopress.com/articles/article.asp?p=6808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support.huawei.com/enterprise/en/doc/EDOC1100077136/b5b946d/mpls-labe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io.com/article/2438284/outsourcing-sla-definitions-and-solutions.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473</Words>
  <Characters>2603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21</cp:revision>
  <dcterms:created xsi:type="dcterms:W3CDTF">2020-10-15T10:34:00Z</dcterms:created>
  <dcterms:modified xsi:type="dcterms:W3CDTF">2020-10-15T11:32:00Z</dcterms:modified>
</cp:coreProperties>
</file>