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Recipe Management System</w:t>
      </w:r>
    </w:p>
    <w:p>
      <w:pPr>
        <w:spacing w:after="60"/>
      </w:pPr>
      <w:r>
        <w:rPr>
          <w:color w:val="555555"/>
          <w:sz w:val="24"/>
          <w:szCs w:val="24"/>
        </w:rPr>
        <w:t xml:space="preserve">Web Development Coursework Report — 4SEWD</w:t>
      </w:r>
    </w:p>
    <w:p>
      <w:pPr>
        <w:spacing w:after="400"/>
      </w:pPr>
      <w:r>
        <w:rPr>
          <w:color w:val="777777"/>
          <w:sz w:val="22"/>
          <w:szCs w:val="22"/>
        </w:rPr>
        <w:t xml:space="preserve">Prayushna Awale · Herald College · University of Wolverhampton</w:t>
      </w:r>
    </w:p>
    <w:p>
      <w:pPr>
        <w:pStyle w:val="Heading1"/>
        <w:spacing w:after="160" w:before="320"/>
      </w:pPr>
      <w:r>
        <w:t xml:space="preserve">Section 1: Executive Summary &amp; Project Overview</w:t>
      </w:r>
    </w:p>
    <w:p>
      <w:pPr>
        <w:pStyle w:val="Heading2"/>
        <w:spacing w:after="120" w:before="240"/>
      </w:pPr>
      <w:r>
        <w:t xml:space="preserve">Purpose &amp; Problem Statement</w:t>
      </w:r>
    </w:p>
    <w:p>
      <w:pPr>
        <w:spacing w:after="120"/>
      </w:pPr>
      <w:r>
        <w:t xml:space="preserve">The Recipe Management System is a full-stack CRUD web application that lets a logged-in user maintain a digital catalogue of recipes and the ingredients used in them. Rather than keeping recipes scattered across notes, screenshots, or memory, the application gives a home cook or small food business a single, searchable place to record a recipe's name, category, difficulty, description, step-by-step instructions, a photo of the finished dish, and the exact ingredients and quantities it needs.</w:t>
      </w:r>
    </w:p>
    <w:p>
      <w:pPr>
        <w:spacing w:after="120"/>
      </w:pPr>
      <w:r>
        <w:t xml:space="preserve">The target audience is an individual or small team who wants a lightweight, self-hosted alternative to a paper recipe book: someone who cooks regularly, wants to standardise quantities across dishes that share ingredients (e.g. flour, salt), and wants that information protected behind a login rather than open to the public.</w:t>
      </w:r>
    </w:p>
    <w:p>
      <w:pPr>
        <w:pStyle w:val="Heading2"/>
        <w:spacing w:after="120" w:before="240"/>
      </w:pPr>
      <w:r>
        <w:t xml:space="preserve">Tech Stack Overview</w:t>
      </w:r>
    </w:p>
    <w:p>
      <w:pPr>
        <w:pStyle w:val="ListParagraph"/>
        <w:numPr>
          <w:ilvl w:val="0"/>
          <w:numId w:val="2"/>
        </w:numPr>
        <w:spacing w:after="60"/>
      </w:pPr>
      <w:r>
        <w:t xml:space="preserve">Frontend: React 19, built with Vite, routed with react-router-dom, HTTP calls via Axios</w:t>
      </w:r>
    </w:p>
    <w:p>
      <w:pPr>
        <w:pStyle w:val="ListParagraph"/>
        <w:numPr>
          <w:ilvl w:val="0"/>
          <w:numId w:val="2"/>
        </w:numPr>
        <w:spacing w:after="60"/>
      </w:pPr>
      <w:r>
        <w:t xml:space="preserve">Backend: Node.js with Express 5, structured as a REST API</w:t>
      </w:r>
    </w:p>
    <w:p>
      <w:pPr>
        <w:pStyle w:val="ListParagraph"/>
        <w:numPr>
          <w:ilvl w:val="0"/>
          <w:numId w:val="2"/>
        </w:numPr>
        <w:spacing w:after="60"/>
      </w:pPr>
      <w:r>
        <w:t xml:space="preserve">Database: MySQL, accessed via the mysql2 driver using parameterised queries</w:t>
      </w:r>
    </w:p>
    <w:p>
      <w:pPr>
        <w:pStyle w:val="ListParagraph"/>
        <w:numPr>
          <w:ilvl w:val="0"/>
          <w:numId w:val="2"/>
        </w:numPr>
        <w:spacing w:after="60"/>
      </w:pPr>
      <w:r>
        <w:t xml:space="preserve">Authentication: JWT-based login, passwords hashed with bcryptjs, protected routes via custom Express middleware and a React ProtectedRoute wrapper</w:t>
      </w:r>
    </w:p>
    <w:p>
      <w:pPr>
        <w:pStyle w:val="ListParagraph"/>
        <w:numPr>
          <w:ilvl w:val="0"/>
          <w:numId w:val="2"/>
        </w:numPr>
        <w:spacing w:after="60"/>
      </w:pPr>
      <w:r>
        <w:t xml:space="preserve">File upload: Multer, storing recipe images to disk and serving them statically</w:t>
      </w:r>
    </w:p>
    <w:p>
      <w:pPr>
        <w:spacing w:after="120"/>
      </w:pPr>
      <w:r>
        <w:t xml:space="preserve"/>
      </w:r>
    </w:p>
    <w:p>
      <w:pPr>
        <w:spacing w:after="160"/>
      </w:pPr>
      <w:r>
        <w:rPr>
          <w:i/>
          <w:iCs/>
          <w:color w:val="666666"/>
          <w:sz w:val="20"/>
          <w:szCs w:val="20"/>
        </w:rPr>
        <w:t xml:space="preserve">Note: The coursework brief lists SQLite via Sequelize as the reference database option; this project uses MySQL with parameterised raw SQL instead, which still satisfies the "parameterised raw SQL" alternative permitted in the brief. State this explicitly to your tutor/marker if MySQL vs SQLite needs justifying.</w:t>
      </w:r>
    </w:p>
    <w:p>
      <w:pPr>
        <w:pStyle w:val="Heading2"/>
        <w:spacing w:after="120" w:before="240"/>
      </w:pPr>
      <w:r>
        <w:t xml:space="preserve">High-Level System Architecture</w:t>
      </w:r>
    </w:p>
    <w:p>
      <w:pPr>
        <w:spacing w:after="120"/>
      </w:pPr>
      <w:r>
        <w:t xml:space="preserve">The system follows a standard three-tier architecture:</w:t>
      </w:r>
    </w:p>
    <w:p>
      <w:pPr>
        <w:pStyle w:val="ListParagraph"/>
        <w:numPr>
          <w:ilvl w:val="0"/>
          <w:numId w:val="2"/>
        </w:numPr>
        <w:spacing w:after="60"/>
      </w:pPr>
      <w:r>
        <w:t xml:space="preserve">Client (React, port 5173) — renders pages, holds the JWT in localStorage, and calls the API with the token attached as an Authorization header.</w:t>
      </w:r>
    </w:p>
    <w:p>
      <w:pPr>
        <w:pStyle w:val="ListParagraph"/>
        <w:numPr>
          <w:ilvl w:val="0"/>
          <w:numId w:val="2"/>
        </w:numPr>
        <w:spacing w:after="60"/>
      </w:pPr>
      <w:r>
        <w:t xml:space="preserve">API server (Express, port 5050) — exposes REST endpoints under /login, /register, /recipes, /ingredients; verifies the JWT on every protected route before touching the database.</w:t>
      </w:r>
    </w:p>
    <w:p>
      <w:pPr>
        <w:pStyle w:val="ListParagraph"/>
        <w:numPr>
          <w:ilvl w:val="0"/>
          <w:numId w:val="2"/>
        </w:numPr>
        <w:spacing w:after="60"/>
      </w:pPr>
      <w:r>
        <w:t xml:space="preserve">Database (MySQL) — stores users, recipes, ingredients, and the recipe_ingredients join table that links the two with a quantity.</w:t>
      </w:r>
    </w:p>
    <w:p>
      <w:pPr>
        <w:spacing w:after="160"/>
      </w:pPr>
      <w:r>
        <w:rPr>
          <w:i/>
          <w:iCs/>
          <w:color w:val="C0392B"/>
        </w:rPr>
        <w:t xml:space="preserve">[ Insert a simple architecture diagram here (Client → API → Database, with the JWT flow annotated) — a hand-drawn box diagram or a tool like draw.io is fine ]</w:t>
      </w:r>
    </w:p>
    <w:p>
      <w:pPr>
        <w:pStyle w:val="Heading1"/>
        <w:spacing w:after="160" w:before="320"/>
      </w:pPr>
      <w:r>
        <w:t xml:space="preserve">Section 2: Database Design &amp; Entities</w:t>
      </w:r>
    </w:p>
    <w:p>
      <w:pPr>
        <w:spacing w:after="120"/>
      </w:pPr>
      <w:r>
        <w:t xml:space="preserve">The schema follows a code-first relational design with four tables. recipes and ingredients are the two core CRUD entities required by the brief; recipe_ingredients is the join table that expresses their many-to-many relationship (a recipe uses many ingredients, an ingredient appears in many recipes) along with a quantity specific to that pairing. users is the dedicated authentication entity, kept separate from the business data as required.</w:t>
      </w:r>
    </w:p>
    <w:p>
      <w:pPr>
        <w:pStyle w:val="Heading2"/>
        <w:spacing w:after="120" w:before="240"/>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1A1A1A" w:val="clear"/>
          </w:tcPr>
          <w:p>
            <w:r>
              <w:rPr>
                <w:b/>
                <w:bCs/>
                <w:color w:val="FFFFFF"/>
                <w:sz w:val="20"/>
                <w:szCs w:val="20"/>
              </w:rPr>
              <w:t xml:space="preserve">Field</w:t>
            </w:r>
          </w:p>
        </w:tc>
        <w:tc>
          <w:tcPr>
            <w:tcW w:type="dxa" w:w="2800"/>
            <w:shd w:fill="1A1A1A" w:val="clear"/>
          </w:tcPr>
          <w:p>
            <w:r>
              <w:rPr>
                <w:b/>
                <w:bCs/>
                <w:color w:val="FFFFFF"/>
                <w:sz w:val="20"/>
                <w:szCs w:val="20"/>
              </w:rPr>
              <w:t xml:space="preserve">Type</w:t>
            </w:r>
          </w:p>
        </w:tc>
        <w:tc>
          <w:tcPr>
            <w:tcW w:type="dxa" w:w="4760"/>
            <w:shd w:fill="1A1A1A" w:val="clear"/>
          </w:tcPr>
          <w:p>
            <w:r>
              <w:rPr>
                <w:b/>
                <w:bCs/>
                <w:color w:val="FFFFFF"/>
                <w:sz w:val="20"/>
                <w:szCs w:val="20"/>
              </w:rPr>
              <w:t xml:space="preserve">Constraints</w:t>
            </w:r>
          </w:p>
        </w:tc>
      </w:tr>
      <w:tr>
        <w:tc>
          <w:tcPr>
            <w:tcW w:type="dxa" w:w="1800"/>
          </w:tcPr>
          <w:p>
            <w:r>
              <w:rPr>
                <w:sz w:val="20"/>
                <w:szCs w:val="20"/>
              </w:rPr>
              <w:t xml:space="preserve">id</w:t>
            </w:r>
          </w:p>
        </w:tc>
        <w:tc>
          <w:tcPr>
            <w:tcW w:type="dxa" w:w="2800"/>
          </w:tcPr>
          <w:p>
            <w:r>
              <w:rPr>
                <w:sz w:val="20"/>
                <w:szCs w:val="20"/>
              </w:rPr>
              <w:t xml:space="preserve">INT</w:t>
            </w:r>
          </w:p>
        </w:tc>
        <w:tc>
          <w:tcPr>
            <w:tcW w:type="dxa" w:w="4760"/>
          </w:tcPr>
          <w:p>
            <w:r>
              <w:rPr>
                <w:sz w:val="20"/>
                <w:szCs w:val="20"/>
              </w:rPr>
              <w:t xml:space="preserve">PRIMARY KEY, AUTO_INCREMENT</w:t>
            </w:r>
          </w:p>
        </w:tc>
      </w:tr>
      <w:tr>
        <w:tc>
          <w:tcPr>
            <w:tcW w:type="dxa" w:w="1800"/>
          </w:tcPr>
          <w:p>
            <w:r>
              <w:rPr>
                <w:sz w:val="20"/>
                <w:szCs w:val="20"/>
              </w:rPr>
              <w:t xml:space="preserve">username</w:t>
            </w:r>
          </w:p>
        </w:tc>
        <w:tc>
          <w:tcPr>
            <w:tcW w:type="dxa" w:w="2800"/>
          </w:tcPr>
          <w:p>
            <w:r>
              <w:rPr>
                <w:sz w:val="20"/>
                <w:szCs w:val="20"/>
              </w:rPr>
              <w:t xml:space="preserve">VARCHAR(100)</w:t>
            </w:r>
          </w:p>
        </w:tc>
        <w:tc>
          <w:tcPr>
            <w:tcW w:type="dxa" w:w="4760"/>
          </w:tcPr>
          <w:p>
            <w:r>
              <w:rPr>
                <w:sz w:val="20"/>
                <w:szCs w:val="20"/>
              </w:rPr>
              <w:t xml:space="preserve">NOT NULL, UNIQUE</w:t>
            </w:r>
          </w:p>
        </w:tc>
      </w:tr>
      <w:tr>
        <w:tc>
          <w:tcPr>
            <w:tcW w:type="dxa" w:w="1800"/>
          </w:tcPr>
          <w:p>
            <w:r>
              <w:rPr>
                <w:sz w:val="20"/>
                <w:szCs w:val="20"/>
              </w:rPr>
              <w:t xml:space="preserve">password</w:t>
            </w:r>
          </w:p>
        </w:tc>
        <w:tc>
          <w:tcPr>
            <w:tcW w:type="dxa" w:w="2800"/>
          </w:tcPr>
          <w:p>
            <w:r>
              <w:rPr>
                <w:sz w:val="20"/>
                <w:szCs w:val="20"/>
              </w:rPr>
              <w:t xml:space="preserve">VARCHAR(255)</w:t>
            </w:r>
          </w:p>
        </w:tc>
        <w:tc>
          <w:tcPr>
            <w:tcW w:type="dxa" w:w="4760"/>
          </w:tcPr>
          <w:p>
            <w:r>
              <w:rPr>
                <w:sz w:val="20"/>
                <w:szCs w:val="20"/>
              </w:rPr>
              <w:t xml:space="preserve">NOT NULL — bcrypt hash, never plain text</w:t>
            </w:r>
          </w:p>
        </w:tc>
      </w:tr>
      <w:tr>
        <w:tc>
          <w:tcPr>
            <w:tcW w:type="dxa" w:w="1800"/>
          </w:tcPr>
          <w:p>
            <w:r>
              <w:rPr>
                <w:sz w:val="20"/>
                <w:szCs w:val="20"/>
              </w:rPr>
              <w:t xml:space="preserve">role</w:t>
            </w:r>
          </w:p>
        </w:tc>
        <w:tc>
          <w:tcPr>
            <w:tcW w:type="dxa" w:w="2800"/>
          </w:tcPr>
          <w:p>
            <w:r>
              <w:rPr>
                <w:sz w:val="20"/>
                <w:szCs w:val="20"/>
              </w:rPr>
              <w:t xml:space="preserve">ENUM('admin','user')</w:t>
            </w:r>
          </w:p>
        </w:tc>
        <w:tc>
          <w:tcPr>
            <w:tcW w:type="dxa" w:w="4760"/>
          </w:tcPr>
          <w:p>
            <w:r>
              <w:rPr>
                <w:sz w:val="20"/>
                <w:szCs w:val="20"/>
              </w:rPr>
              <w:t xml:space="preserve">NOT NULL, DEFAULT 'user'</w:t>
            </w:r>
          </w:p>
        </w:tc>
      </w:tr>
    </w:tbl>
    <w:p>
      <w:pPr>
        <w:spacing w:after="120"/>
      </w:pPr>
      <w:r>
        <w:t xml:space="preserve"/>
      </w:r>
    </w:p>
    <w:p>
      <w:pPr>
        <w:pStyle w:val="Heading2"/>
        <w:spacing w:after="120" w:before="240"/>
      </w:pPr>
      <w:r>
        <w:t xml:space="preserve">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1A1A1A" w:val="clear"/>
          </w:tcPr>
          <w:p>
            <w:r>
              <w:rPr>
                <w:b/>
                <w:bCs/>
                <w:color w:val="FFFFFF"/>
                <w:sz w:val="20"/>
                <w:szCs w:val="20"/>
              </w:rPr>
              <w:t xml:space="preserve">Field</w:t>
            </w:r>
          </w:p>
        </w:tc>
        <w:tc>
          <w:tcPr>
            <w:tcW w:type="dxa" w:w="2800"/>
            <w:shd w:fill="1A1A1A" w:val="clear"/>
          </w:tcPr>
          <w:p>
            <w:r>
              <w:rPr>
                <w:b/>
                <w:bCs/>
                <w:color w:val="FFFFFF"/>
                <w:sz w:val="20"/>
                <w:szCs w:val="20"/>
              </w:rPr>
              <w:t xml:space="preserve">Type</w:t>
            </w:r>
          </w:p>
        </w:tc>
        <w:tc>
          <w:tcPr>
            <w:tcW w:type="dxa" w:w="4760"/>
            <w:shd w:fill="1A1A1A" w:val="clear"/>
          </w:tcPr>
          <w:p>
            <w:r>
              <w:rPr>
                <w:b/>
                <w:bCs/>
                <w:color w:val="FFFFFF"/>
                <w:sz w:val="20"/>
                <w:szCs w:val="20"/>
              </w:rPr>
              <w:t xml:space="preserve">Constraints</w:t>
            </w:r>
          </w:p>
        </w:tc>
      </w:tr>
      <w:tr>
        <w:tc>
          <w:tcPr>
            <w:tcW w:type="dxa" w:w="1800"/>
          </w:tcPr>
          <w:p>
            <w:r>
              <w:rPr>
                <w:sz w:val="20"/>
                <w:szCs w:val="20"/>
              </w:rPr>
              <w:t xml:space="preserve">id</w:t>
            </w:r>
          </w:p>
        </w:tc>
        <w:tc>
          <w:tcPr>
            <w:tcW w:type="dxa" w:w="2800"/>
          </w:tcPr>
          <w:p>
            <w:r>
              <w:rPr>
                <w:sz w:val="20"/>
                <w:szCs w:val="20"/>
              </w:rPr>
              <w:t xml:space="preserve">INT</w:t>
            </w:r>
          </w:p>
        </w:tc>
        <w:tc>
          <w:tcPr>
            <w:tcW w:type="dxa" w:w="4760"/>
          </w:tcPr>
          <w:p>
            <w:r>
              <w:rPr>
                <w:sz w:val="20"/>
                <w:szCs w:val="20"/>
              </w:rPr>
              <w:t xml:space="preserve">PRIMARY KEY, AUTO_INCREMENT</w:t>
            </w:r>
          </w:p>
        </w:tc>
      </w:tr>
      <w:tr>
        <w:tc>
          <w:tcPr>
            <w:tcW w:type="dxa" w:w="1800"/>
          </w:tcPr>
          <w:p>
            <w:r>
              <w:rPr>
                <w:sz w:val="20"/>
                <w:szCs w:val="20"/>
              </w:rPr>
              <w:t xml:space="preserve">name</w:t>
            </w:r>
          </w:p>
        </w:tc>
        <w:tc>
          <w:tcPr>
            <w:tcW w:type="dxa" w:w="2800"/>
          </w:tcPr>
          <w:p>
            <w:r>
              <w:rPr>
                <w:sz w:val="20"/>
                <w:szCs w:val="20"/>
              </w:rPr>
              <w:t xml:space="preserve">VARCHAR(100)</w:t>
            </w:r>
          </w:p>
        </w:tc>
        <w:tc>
          <w:tcPr>
            <w:tcW w:type="dxa" w:w="4760"/>
          </w:tcPr>
          <w:p>
            <w:r>
              <w:rPr>
                <w:sz w:val="20"/>
                <w:szCs w:val="20"/>
              </w:rPr>
              <w:t xml:space="preserve">NOT NULL</w:t>
            </w:r>
          </w:p>
        </w:tc>
      </w:tr>
      <w:tr>
        <w:tc>
          <w:tcPr>
            <w:tcW w:type="dxa" w:w="1800"/>
          </w:tcPr>
          <w:p>
            <w:r>
              <w:rPr>
                <w:sz w:val="20"/>
                <w:szCs w:val="20"/>
              </w:rPr>
              <w:t xml:space="preserve">category</w:t>
            </w:r>
          </w:p>
        </w:tc>
        <w:tc>
          <w:tcPr>
            <w:tcW w:type="dxa" w:w="2800"/>
          </w:tcPr>
          <w:p>
            <w:r>
              <w:rPr>
                <w:sz w:val="20"/>
                <w:szCs w:val="20"/>
              </w:rPr>
              <w:t xml:space="preserve">VARCHAR(100)</w:t>
            </w:r>
          </w:p>
        </w:tc>
        <w:tc>
          <w:tcPr>
            <w:tcW w:type="dxa" w:w="4760"/>
          </w:tcPr>
          <w:p>
            <w:r>
              <w:rPr>
                <w:sz w:val="20"/>
                <w:szCs w:val="20"/>
              </w:rPr>
              <w:t xml:space="preserve">e.g. Nepali, Italian</w:t>
            </w:r>
          </w:p>
        </w:tc>
      </w:tr>
      <w:tr>
        <w:tc>
          <w:tcPr>
            <w:tcW w:type="dxa" w:w="1800"/>
          </w:tcPr>
          <w:p>
            <w:r>
              <w:rPr>
                <w:sz w:val="20"/>
                <w:szCs w:val="20"/>
              </w:rPr>
              <w:t xml:space="preserve">difficulty</w:t>
            </w:r>
          </w:p>
        </w:tc>
        <w:tc>
          <w:tcPr>
            <w:tcW w:type="dxa" w:w="2800"/>
          </w:tcPr>
          <w:p>
            <w:r>
              <w:rPr>
                <w:sz w:val="20"/>
                <w:szCs w:val="20"/>
              </w:rPr>
              <w:t xml:space="preserve">VARCHAR(50)</w:t>
            </w:r>
          </w:p>
        </w:tc>
        <w:tc>
          <w:tcPr>
            <w:tcW w:type="dxa" w:w="4760"/>
          </w:tcPr>
          <w:p>
            <w:r>
              <w:rPr>
                <w:sz w:val="20"/>
                <w:szCs w:val="20"/>
              </w:rPr>
              <w:t xml:space="preserve">Easy / Medium / Hard</w:t>
            </w:r>
          </w:p>
        </w:tc>
      </w:tr>
      <w:tr>
        <w:tc>
          <w:tcPr>
            <w:tcW w:type="dxa" w:w="1800"/>
          </w:tcPr>
          <w:p>
            <w:r>
              <w:rPr>
                <w:sz w:val="20"/>
                <w:szCs w:val="20"/>
              </w:rPr>
              <w:t xml:space="preserve">description</w:t>
            </w:r>
          </w:p>
        </w:tc>
        <w:tc>
          <w:tcPr>
            <w:tcW w:type="dxa" w:w="2800"/>
          </w:tcPr>
          <w:p>
            <w:r>
              <w:rPr>
                <w:sz w:val="20"/>
                <w:szCs w:val="20"/>
              </w:rPr>
              <w:t xml:space="preserve">TEXT</w:t>
            </w:r>
          </w:p>
        </w:tc>
        <w:tc>
          <w:tcPr>
            <w:tcW w:type="dxa" w:w="4760"/>
          </w:tcPr>
          <w:p>
            <w:r>
              <w:rPr>
                <w:sz w:val="20"/>
                <w:szCs w:val="20"/>
              </w:rPr>
              <w:t xml:space="preserve">NOT NULL</w:t>
            </w:r>
          </w:p>
        </w:tc>
      </w:tr>
      <w:tr>
        <w:tc>
          <w:tcPr>
            <w:tcW w:type="dxa" w:w="1800"/>
          </w:tcPr>
          <w:p>
            <w:r>
              <w:rPr>
                <w:sz w:val="20"/>
                <w:szCs w:val="20"/>
              </w:rPr>
              <w:t xml:space="preserve">instructions</w:t>
            </w:r>
          </w:p>
        </w:tc>
        <w:tc>
          <w:tcPr>
            <w:tcW w:type="dxa" w:w="2800"/>
          </w:tcPr>
          <w:p>
            <w:r>
              <w:rPr>
                <w:sz w:val="20"/>
                <w:szCs w:val="20"/>
              </w:rPr>
              <w:t xml:space="preserve">TEXT</w:t>
            </w:r>
          </w:p>
        </w:tc>
        <w:tc>
          <w:tcPr>
            <w:tcW w:type="dxa" w:w="4760"/>
          </w:tcPr>
          <w:p>
            <w:r>
              <w:rPr>
                <w:sz w:val="20"/>
                <w:szCs w:val="20"/>
              </w:rPr>
              <w:t xml:space="preserve">NOT NULL</w:t>
            </w:r>
          </w:p>
        </w:tc>
      </w:tr>
      <w:tr>
        <w:tc>
          <w:tcPr>
            <w:tcW w:type="dxa" w:w="1800"/>
          </w:tcPr>
          <w:p>
            <w:r>
              <w:rPr>
                <w:sz w:val="20"/>
                <w:szCs w:val="20"/>
              </w:rPr>
              <w:t xml:space="preserve">image</w:t>
            </w:r>
          </w:p>
        </w:tc>
        <w:tc>
          <w:tcPr>
            <w:tcW w:type="dxa" w:w="2800"/>
          </w:tcPr>
          <w:p>
            <w:r>
              <w:rPr>
                <w:sz w:val="20"/>
                <w:szCs w:val="20"/>
              </w:rPr>
              <w:t xml:space="preserve">VARCHAR(255)</w:t>
            </w:r>
          </w:p>
        </w:tc>
        <w:tc>
          <w:tcPr>
            <w:tcW w:type="dxa" w:w="4760"/>
          </w:tcPr>
          <w:p>
            <w:r>
              <w:rPr>
                <w:sz w:val="20"/>
                <w:szCs w:val="20"/>
              </w:rPr>
              <w:t xml:space="preserve">stored filename of the uploaded photo</w:t>
            </w:r>
          </w:p>
        </w:tc>
      </w:tr>
    </w:tbl>
    <w:p>
      <w:pPr>
        <w:spacing w:after="120"/>
      </w:pPr>
      <w:r>
        <w:t xml:space="preserve"/>
      </w:r>
    </w:p>
    <w:p>
      <w:pPr>
        <w:pStyle w:val="Heading2"/>
        <w:spacing w:after="120" w:before="240"/>
      </w:pPr>
      <w: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1A1A1A" w:val="clear"/>
          </w:tcPr>
          <w:p>
            <w:r>
              <w:rPr>
                <w:b/>
                <w:bCs/>
                <w:color w:val="FFFFFF"/>
                <w:sz w:val="20"/>
                <w:szCs w:val="20"/>
              </w:rPr>
              <w:t xml:space="preserve">Field</w:t>
            </w:r>
          </w:p>
        </w:tc>
        <w:tc>
          <w:tcPr>
            <w:tcW w:type="dxa" w:w="2800"/>
            <w:shd w:fill="1A1A1A" w:val="clear"/>
          </w:tcPr>
          <w:p>
            <w:r>
              <w:rPr>
                <w:b/>
                <w:bCs/>
                <w:color w:val="FFFFFF"/>
                <w:sz w:val="20"/>
                <w:szCs w:val="20"/>
              </w:rPr>
              <w:t xml:space="preserve">Type</w:t>
            </w:r>
          </w:p>
        </w:tc>
        <w:tc>
          <w:tcPr>
            <w:tcW w:type="dxa" w:w="4760"/>
            <w:shd w:fill="1A1A1A" w:val="clear"/>
          </w:tcPr>
          <w:p>
            <w:r>
              <w:rPr>
                <w:b/>
                <w:bCs/>
                <w:color w:val="FFFFFF"/>
                <w:sz w:val="20"/>
                <w:szCs w:val="20"/>
              </w:rPr>
              <w:t xml:space="preserve">Constraints</w:t>
            </w:r>
          </w:p>
        </w:tc>
      </w:tr>
      <w:tr>
        <w:tc>
          <w:tcPr>
            <w:tcW w:type="dxa" w:w="1800"/>
          </w:tcPr>
          <w:p>
            <w:r>
              <w:rPr>
                <w:sz w:val="20"/>
                <w:szCs w:val="20"/>
              </w:rPr>
              <w:t xml:space="preserve">id</w:t>
            </w:r>
          </w:p>
        </w:tc>
        <w:tc>
          <w:tcPr>
            <w:tcW w:type="dxa" w:w="2800"/>
          </w:tcPr>
          <w:p>
            <w:r>
              <w:rPr>
                <w:sz w:val="20"/>
                <w:szCs w:val="20"/>
              </w:rPr>
              <w:t xml:space="preserve">INT</w:t>
            </w:r>
          </w:p>
        </w:tc>
        <w:tc>
          <w:tcPr>
            <w:tcW w:type="dxa" w:w="4760"/>
          </w:tcPr>
          <w:p>
            <w:r>
              <w:rPr>
                <w:sz w:val="20"/>
                <w:szCs w:val="20"/>
              </w:rPr>
              <w:t xml:space="preserve">PRIMARY KEY, AUTO_INCREMENT</w:t>
            </w:r>
          </w:p>
        </w:tc>
      </w:tr>
      <w:tr>
        <w:tc>
          <w:tcPr>
            <w:tcW w:type="dxa" w:w="1800"/>
          </w:tcPr>
          <w:p>
            <w:r>
              <w:rPr>
                <w:sz w:val="20"/>
                <w:szCs w:val="20"/>
              </w:rPr>
              <w:t xml:space="preserve">name</w:t>
            </w:r>
          </w:p>
        </w:tc>
        <w:tc>
          <w:tcPr>
            <w:tcW w:type="dxa" w:w="2800"/>
          </w:tcPr>
          <w:p>
            <w:r>
              <w:rPr>
                <w:sz w:val="20"/>
                <w:szCs w:val="20"/>
              </w:rPr>
              <w:t xml:space="preserve">VARCHAR(100)</w:t>
            </w:r>
          </w:p>
        </w:tc>
        <w:tc>
          <w:tcPr>
            <w:tcW w:type="dxa" w:w="4760"/>
          </w:tcPr>
          <w:p>
            <w:r>
              <w:rPr>
                <w:sz w:val="20"/>
                <w:szCs w:val="20"/>
              </w:rPr>
              <w:t xml:space="preserve">NOT NULL</w:t>
            </w:r>
          </w:p>
        </w:tc>
      </w:tr>
      <w:tr>
        <w:tc>
          <w:tcPr>
            <w:tcW w:type="dxa" w:w="1800"/>
          </w:tcPr>
          <w:p>
            <w:r>
              <w:rPr>
                <w:sz w:val="20"/>
                <w:szCs w:val="20"/>
              </w:rPr>
              <w:t xml:space="preserve">unit</w:t>
            </w:r>
          </w:p>
        </w:tc>
        <w:tc>
          <w:tcPr>
            <w:tcW w:type="dxa" w:w="2800"/>
          </w:tcPr>
          <w:p>
            <w:r>
              <w:rPr>
                <w:sz w:val="20"/>
                <w:szCs w:val="20"/>
              </w:rPr>
              <w:t xml:space="preserve">VARCHAR(50)</w:t>
            </w:r>
          </w:p>
        </w:tc>
        <w:tc>
          <w:tcPr>
            <w:tcW w:type="dxa" w:w="4760"/>
          </w:tcPr>
          <w:p>
            <w:r>
              <w:rPr>
                <w:sz w:val="20"/>
                <w:szCs w:val="20"/>
              </w:rPr>
              <w:t xml:space="preserve">unit of measurement, e.g. grams, ml</w:t>
            </w:r>
          </w:p>
        </w:tc>
      </w:tr>
    </w:tbl>
    <w:p>
      <w:pPr>
        <w:spacing w:after="120"/>
      </w:pPr>
      <w:r>
        <w:t xml:space="preserve"/>
      </w:r>
    </w:p>
    <w:p>
      <w:pPr>
        <w:pStyle w:val="Heading2"/>
        <w:spacing w:after="120" w:before="240"/>
      </w:pPr>
      <w:r>
        <w:t xml:space="preserve">recipe_ingredients (join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shd w:fill="1A1A1A" w:val="clear"/>
          </w:tcPr>
          <w:p>
            <w:r>
              <w:rPr>
                <w:b/>
                <w:bCs/>
                <w:color w:val="FFFFFF"/>
                <w:sz w:val="20"/>
                <w:szCs w:val="20"/>
              </w:rPr>
              <w:t xml:space="preserve">Field</w:t>
            </w:r>
          </w:p>
        </w:tc>
        <w:tc>
          <w:tcPr>
            <w:tcW w:type="dxa" w:w="2800"/>
            <w:shd w:fill="1A1A1A" w:val="clear"/>
          </w:tcPr>
          <w:p>
            <w:r>
              <w:rPr>
                <w:b/>
                <w:bCs/>
                <w:color w:val="FFFFFF"/>
                <w:sz w:val="20"/>
                <w:szCs w:val="20"/>
              </w:rPr>
              <w:t xml:space="preserve">Type</w:t>
            </w:r>
          </w:p>
        </w:tc>
        <w:tc>
          <w:tcPr>
            <w:tcW w:type="dxa" w:w="4760"/>
            <w:shd w:fill="1A1A1A" w:val="clear"/>
          </w:tcPr>
          <w:p>
            <w:r>
              <w:rPr>
                <w:b/>
                <w:bCs/>
                <w:color w:val="FFFFFF"/>
                <w:sz w:val="20"/>
                <w:szCs w:val="20"/>
              </w:rPr>
              <w:t xml:space="preserve">Constraints</w:t>
            </w:r>
          </w:p>
        </w:tc>
      </w:tr>
      <w:tr>
        <w:tc>
          <w:tcPr>
            <w:tcW w:type="dxa" w:w="1800"/>
          </w:tcPr>
          <w:p>
            <w:r>
              <w:rPr>
                <w:sz w:val="20"/>
                <w:szCs w:val="20"/>
              </w:rPr>
              <w:t xml:space="preserve">id</w:t>
            </w:r>
          </w:p>
        </w:tc>
        <w:tc>
          <w:tcPr>
            <w:tcW w:type="dxa" w:w="2800"/>
          </w:tcPr>
          <w:p>
            <w:r>
              <w:rPr>
                <w:sz w:val="20"/>
                <w:szCs w:val="20"/>
              </w:rPr>
              <w:t xml:space="preserve">INT</w:t>
            </w:r>
          </w:p>
        </w:tc>
        <w:tc>
          <w:tcPr>
            <w:tcW w:type="dxa" w:w="4760"/>
          </w:tcPr>
          <w:p>
            <w:r>
              <w:rPr>
                <w:sz w:val="20"/>
                <w:szCs w:val="20"/>
              </w:rPr>
              <w:t xml:space="preserve">PRIMARY KEY, AUTO_INCREMENT</w:t>
            </w:r>
          </w:p>
        </w:tc>
      </w:tr>
      <w:tr>
        <w:tc>
          <w:tcPr>
            <w:tcW w:type="dxa" w:w="1800"/>
          </w:tcPr>
          <w:p>
            <w:r>
              <w:rPr>
                <w:sz w:val="20"/>
                <w:szCs w:val="20"/>
              </w:rPr>
              <w:t xml:space="preserve">recipe_id</w:t>
            </w:r>
          </w:p>
        </w:tc>
        <w:tc>
          <w:tcPr>
            <w:tcW w:type="dxa" w:w="2800"/>
          </w:tcPr>
          <w:p>
            <w:r>
              <w:rPr>
                <w:sz w:val="20"/>
                <w:szCs w:val="20"/>
              </w:rPr>
              <w:t xml:space="preserve">INT</w:t>
            </w:r>
          </w:p>
        </w:tc>
        <w:tc>
          <w:tcPr>
            <w:tcW w:type="dxa" w:w="4760"/>
          </w:tcPr>
          <w:p>
            <w:r>
              <w:rPr>
                <w:sz w:val="20"/>
                <w:szCs w:val="20"/>
              </w:rPr>
              <w:t xml:space="preserve">FOREIGN KEY → recipes(id)</w:t>
            </w:r>
          </w:p>
        </w:tc>
      </w:tr>
      <w:tr>
        <w:tc>
          <w:tcPr>
            <w:tcW w:type="dxa" w:w="1800"/>
          </w:tcPr>
          <w:p>
            <w:r>
              <w:rPr>
                <w:sz w:val="20"/>
                <w:szCs w:val="20"/>
              </w:rPr>
              <w:t xml:space="preserve">ingredient_id</w:t>
            </w:r>
          </w:p>
        </w:tc>
        <w:tc>
          <w:tcPr>
            <w:tcW w:type="dxa" w:w="2800"/>
          </w:tcPr>
          <w:p>
            <w:r>
              <w:rPr>
                <w:sz w:val="20"/>
                <w:szCs w:val="20"/>
              </w:rPr>
              <w:t xml:space="preserve">INT</w:t>
            </w:r>
          </w:p>
        </w:tc>
        <w:tc>
          <w:tcPr>
            <w:tcW w:type="dxa" w:w="4760"/>
          </w:tcPr>
          <w:p>
            <w:r>
              <w:rPr>
                <w:sz w:val="20"/>
                <w:szCs w:val="20"/>
              </w:rPr>
              <w:t xml:space="preserve">FOREIGN KEY → ingredients(id)</w:t>
            </w:r>
          </w:p>
        </w:tc>
      </w:tr>
      <w:tr>
        <w:tc>
          <w:tcPr>
            <w:tcW w:type="dxa" w:w="1800"/>
          </w:tcPr>
          <w:p>
            <w:r>
              <w:rPr>
                <w:sz w:val="20"/>
                <w:szCs w:val="20"/>
              </w:rPr>
              <w:t xml:space="preserve">quantity</w:t>
            </w:r>
          </w:p>
        </w:tc>
        <w:tc>
          <w:tcPr>
            <w:tcW w:type="dxa" w:w="2800"/>
          </w:tcPr>
          <w:p>
            <w:r>
              <w:rPr>
                <w:sz w:val="20"/>
                <w:szCs w:val="20"/>
              </w:rPr>
              <w:t xml:space="preserve">VARCHAR(50)</w:t>
            </w:r>
          </w:p>
        </w:tc>
        <w:tc>
          <w:tcPr>
            <w:tcW w:type="dxa" w:w="4760"/>
          </w:tcPr>
          <w:p>
            <w:r>
              <w:rPr>
                <w:sz w:val="20"/>
                <w:szCs w:val="20"/>
              </w:rPr>
              <w:t xml:space="preserve">quantity of that ingredient for this recipe</w:t>
            </w:r>
          </w:p>
        </w:tc>
      </w:tr>
    </w:tbl>
    <w:p>
      <w:pPr>
        <w:spacing w:after="120"/>
      </w:pPr>
      <w:r>
        <w:t xml:space="preserve"/>
      </w:r>
    </w:p>
    <w:p>
      <w:pPr>
        <w:spacing w:after="160"/>
      </w:pPr>
      <w:r>
        <w:rPr>
          <w:i/>
          <w:iCs/>
          <w:color w:val="666666"/>
          <w:sz w:val="20"/>
          <w:szCs w:val="20"/>
        </w:rPr>
        <w:t xml:space="preserve">Note: Deleting a recipe or ingredient that is still referenced in recipe_ingredients is blocked by the foreign key constraint unless cascade behaviour is added. Document here what cascade rule you actually used (RESTRICT, or ON DELETE CASCADE if you added it) — check your live schema, since this affects marks under Database Design.</w:t>
      </w:r>
    </w:p>
    <w:p>
      <w:pPr>
        <w:pStyle w:val="Heading1"/>
        <w:spacing w:after="160" w:before="320"/>
      </w:pPr>
      <w:r>
        <w:t xml:space="preserve">Section 3: Codebase Structure &amp; Architecture</w:t>
      </w:r>
    </w:p>
    <w:p>
      <w:pPr>
        <w:pStyle w:val="Heading2"/>
        <w:spacing w:after="120" w:before="240"/>
      </w:pPr>
      <w:r>
        <w:t xml:space="preserve">Structure of Repository</w:t>
      </w:r>
    </w:p>
    <w:p>
      <w:pPr>
        <w:spacing w:after="120"/>
      </w:pPr>
      <w:r>
        <w:t xml:space="preserve">The project uses a monorepo layout with two top-level folders in a single Git repository:</w:t>
      </w:r>
    </w:p>
    <w:p>
      <w:pPr>
        <w:pStyle w:val="ListParagraph"/>
        <w:numPr>
          <w:ilvl w:val="0"/>
          <w:numId w:val="2"/>
        </w:numPr>
        <w:spacing w:after="60"/>
      </w:pPr>
      <w:r>
        <w:t xml:space="preserve">client/ — the React/Vite frontend</w:t>
      </w:r>
    </w:p>
    <w:p>
      <w:pPr>
        <w:pStyle w:val="ListParagraph"/>
        <w:numPr>
          <w:ilvl w:val="0"/>
          <w:numId w:val="2"/>
        </w:numPr>
        <w:spacing w:after="60"/>
      </w:pPr>
      <w:r>
        <w:t xml:space="preserve">server/ — the Express/MySQL backend</w:t>
      </w:r>
    </w:p>
    <w:p>
      <w:pPr>
        <w:spacing w:after="120"/>
      </w:pPr>
      <w:r>
        <w:t xml:space="preserve">Each has its own package.json and its own node_modules, so the two apps are developed and run independently (client on port 5173, server on port 5050) while sharing one Git history.</w:t>
      </w:r>
    </w:p>
    <w:p>
      <w:pPr>
        <w:pStyle w:val="Heading2"/>
        <w:spacing w:after="120" w:before="240"/>
      </w:pPr>
      <w:r>
        <w:t xml:space="preserve">Key Modules &amp;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A1A1A" w:val="clear"/>
          </w:tcPr>
          <w:p>
            <w:r>
              <w:rPr>
                <w:b/>
                <w:bCs/>
                <w:color w:val="FFFFFF"/>
                <w:sz w:val="20"/>
                <w:szCs w:val="20"/>
              </w:rPr>
              <w:t xml:space="preserve">Path</w:t>
            </w:r>
          </w:p>
        </w:tc>
        <w:tc>
          <w:tcPr>
            <w:tcW w:type="dxa" w:w="6360"/>
            <w:shd w:fill="1A1A1A" w:val="clear"/>
          </w:tcPr>
          <w:p>
            <w:r>
              <w:rPr>
                <w:b/>
                <w:bCs/>
                <w:color w:val="FFFFFF"/>
                <w:sz w:val="20"/>
                <w:szCs w:val="20"/>
              </w:rPr>
              <w:t xml:space="preserve">Purpose</w:t>
            </w:r>
          </w:p>
        </w:tc>
      </w:tr>
      <w:tr>
        <w:tc>
          <w:tcPr>
            <w:tcW w:type="dxa" w:w="3000"/>
          </w:tcPr>
          <w:p>
            <w:r>
              <w:rPr>
                <w:sz w:val="20"/>
                <w:szCs w:val="20"/>
              </w:rPr>
              <w:t xml:space="preserve">server/index.js</w:t>
            </w:r>
          </w:p>
        </w:tc>
        <w:tc>
          <w:tcPr>
            <w:tcW w:type="dxa" w:w="6360"/>
          </w:tcPr>
          <w:p>
            <w:r>
              <w:rPr>
                <w:sz w:val="20"/>
                <w:szCs w:val="20"/>
              </w:rPr>
              <w:t xml:space="preserve">App entry point — Express setup, CORS, JSON body parsing, mounts all route modules, starts the server</w:t>
            </w:r>
          </w:p>
        </w:tc>
      </w:tr>
      <w:tr>
        <w:tc>
          <w:tcPr>
            <w:tcW w:type="dxa" w:w="3000"/>
          </w:tcPr>
          <w:p>
            <w:r>
              <w:rPr>
                <w:sz w:val="20"/>
                <w:szCs w:val="20"/>
              </w:rPr>
              <w:t xml:space="preserve">server/db.js</w:t>
            </w:r>
          </w:p>
        </w:tc>
        <w:tc>
          <w:tcPr>
            <w:tcW w:type="dxa" w:w="6360"/>
          </w:tcPr>
          <w:p>
            <w:r>
              <w:rPr>
                <w:sz w:val="20"/>
                <w:szCs w:val="20"/>
              </w:rPr>
              <w:t xml:space="preserve">MySQL connection using credentials from .env</w:t>
            </w:r>
          </w:p>
        </w:tc>
      </w:tr>
      <w:tr>
        <w:tc>
          <w:tcPr>
            <w:tcW w:type="dxa" w:w="3000"/>
          </w:tcPr>
          <w:p>
            <w:r>
              <w:rPr>
                <w:sz w:val="20"/>
                <w:szCs w:val="20"/>
              </w:rPr>
              <w:t xml:space="preserve">server/middleware/auth.js</w:t>
            </w:r>
          </w:p>
        </w:tc>
        <w:tc>
          <w:tcPr>
            <w:tcW w:type="dxa" w:w="6360"/>
          </w:tcPr>
          <w:p>
            <w:r>
              <w:rPr>
                <w:sz w:val="20"/>
                <w:szCs w:val="20"/>
              </w:rPr>
              <w:t xml:space="preserve">verifyToken — decodes and validates the JWT on every protected request</w:t>
            </w:r>
          </w:p>
        </w:tc>
      </w:tr>
      <w:tr>
        <w:tc>
          <w:tcPr>
            <w:tcW w:type="dxa" w:w="3000"/>
          </w:tcPr>
          <w:p>
            <w:r>
              <w:rPr>
                <w:sz w:val="20"/>
                <w:szCs w:val="20"/>
              </w:rPr>
              <w:t xml:space="preserve">server/routes/auth.js</w:t>
            </w:r>
          </w:p>
        </w:tc>
        <w:tc>
          <w:tcPr>
            <w:tcW w:type="dxa" w:w="6360"/>
          </w:tcPr>
          <w:p>
            <w:r>
              <w:rPr>
                <w:sz w:val="20"/>
                <w:szCs w:val="20"/>
              </w:rPr>
              <w:t xml:space="preserve">POST /register and POST /login — hashing, credential checks, JWT issuing</w:t>
            </w:r>
          </w:p>
        </w:tc>
      </w:tr>
      <w:tr>
        <w:tc>
          <w:tcPr>
            <w:tcW w:type="dxa" w:w="3000"/>
          </w:tcPr>
          <w:p>
            <w:r>
              <w:rPr>
                <w:sz w:val="20"/>
                <w:szCs w:val="20"/>
              </w:rPr>
              <w:t xml:space="preserve">server/routes/recipes.js</w:t>
            </w:r>
          </w:p>
        </w:tc>
        <w:tc>
          <w:tcPr>
            <w:tcW w:type="dxa" w:w="6360"/>
          </w:tcPr>
          <w:p>
            <w:r>
              <w:rPr>
                <w:sz w:val="20"/>
                <w:szCs w:val="20"/>
              </w:rPr>
              <w:t xml:space="preserve">Full CRUD for recipes, including Multer image upload and the ingredient join-table writes</w:t>
            </w:r>
          </w:p>
        </w:tc>
      </w:tr>
      <w:tr>
        <w:tc>
          <w:tcPr>
            <w:tcW w:type="dxa" w:w="3000"/>
          </w:tcPr>
          <w:p>
            <w:r>
              <w:rPr>
                <w:sz w:val="20"/>
                <w:szCs w:val="20"/>
              </w:rPr>
              <w:t xml:space="preserve">server/routes/ingredients.js</w:t>
            </w:r>
          </w:p>
        </w:tc>
        <w:tc>
          <w:tcPr>
            <w:tcW w:type="dxa" w:w="6360"/>
          </w:tcPr>
          <w:p>
            <w:r>
              <w:rPr>
                <w:sz w:val="20"/>
                <w:szCs w:val="20"/>
              </w:rPr>
              <w:t xml:space="preserve">Full CRUD for ingredients</w:t>
            </w:r>
          </w:p>
        </w:tc>
      </w:tr>
      <w:tr>
        <w:tc>
          <w:tcPr>
            <w:tcW w:type="dxa" w:w="3000"/>
          </w:tcPr>
          <w:p>
            <w:r>
              <w:rPr>
                <w:sz w:val="20"/>
                <w:szCs w:val="20"/>
              </w:rPr>
              <w:t xml:space="preserve">client/src/pages/</w:t>
            </w:r>
          </w:p>
        </w:tc>
        <w:tc>
          <w:tcPr>
            <w:tcW w:type="dxa" w:w="6360"/>
          </w:tcPr>
          <w:p>
            <w:r>
              <w:rPr>
                <w:sz w:val="20"/>
                <w:szCs w:val="20"/>
              </w:rPr>
              <w:t xml:space="preserve">One component per route — Login, Register, Home, RecipeList, ViewRecipe, AddEditRecipe, IngredientList, AddEditIngredient, plus read-only user views</w:t>
            </w:r>
          </w:p>
        </w:tc>
      </w:tr>
      <w:tr>
        <w:tc>
          <w:tcPr>
            <w:tcW w:type="dxa" w:w="3000"/>
          </w:tcPr>
          <w:p>
            <w:r>
              <w:rPr>
                <w:sz w:val="20"/>
                <w:szCs w:val="20"/>
              </w:rPr>
              <w:t xml:space="preserve">client/src/components/ProtectedRoute.jsx</w:t>
            </w:r>
          </w:p>
        </w:tc>
        <w:tc>
          <w:tcPr>
            <w:tcW w:type="dxa" w:w="6360"/>
          </w:tcPr>
          <w:p>
            <w:r>
              <w:rPr>
                <w:sz w:val="20"/>
                <w:szCs w:val="20"/>
              </w:rPr>
              <w:t xml:space="preserve">Wraps a route element and redirects to /login when no token is present</w:t>
            </w:r>
          </w:p>
        </w:tc>
      </w:tr>
      <w:tr>
        <w:tc>
          <w:tcPr>
            <w:tcW w:type="dxa" w:w="3000"/>
          </w:tcPr>
          <w:p>
            <w:r>
              <w:rPr>
                <w:sz w:val="20"/>
                <w:szCs w:val="20"/>
              </w:rPr>
              <w:t xml:space="preserve">client/src/components/Navbar.jsx</w:t>
            </w:r>
          </w:p>
        </w:tc>
        <w:tc>
          <w:tcPr>
            <w:tcW w:type="dxa" w:w="6360"/>
          </w:tcPr>
          <w:p>
            <w:r>
              <w:rPr>
                <w:sz w:val="20"/>
                <w:szCs w:val="20"/>
              </w:rPr>
              <w:t xml:space="preserve">Persistent top navigation</w:t>
            </w:r>
          </w:p>
        </w:tc>
      </w:tr>
    </w:tbl>
    <w:p>
      <w:pPr>
        <w:spacing w:after="120"/>
      </w:pPr>
      <w:r>
        <w:t xml:space="preserve"/>
      </w:r>
    </w:p>
    <w:p>
      <w:pPr>
        <w:pStyle w:val="Heading2"/>
        <w:spacing w:after="120" w:before="240"/>
      </w:pPr>
      <w:r>
        <w:t xml:space="preserve">REST Architecture Used</w:t>
      </w:r>
    </w:p>
    <w:p>
      <w:pPr>
        <w:spacing w:after="120"/>
      </w:pPr>
      <w:r>
        <w:t xml:space="preserve">The API is organised around resources rather than actions, using HTTP verbs to express intent:</w:t>
      </w:r>
    </w:p>
    <w:p>
      <w:pPr>
        <w:pStyle w:val="ListParagraph"/>
        <w:numPr>
          <w:ilvl w:val="0"/>
          <w:numId w:val="2"/>
        </w:numPr>
        <w:spacing w:after="60"/>
      </w:pPr>
      <w:r>
        <w:t xml:space="preserve">GET /recipes, GET /recipes/:id — read a collection / a single resource</w:t>
      </w:r>
    </w:p>
    <w:p>
      <w:pPr>
        <w:pStyle w:val="ListParagraph"/>
        <w:numPr>
          <w:ilvl w:val="0"/>
          <w:numId w:val="2"/>
        </w:numPr>
        <w:spacing w:after="60"/>
      </w:pPr>
      <w:r>
        <w:t xml:space="preserve">POST /recipes — create</w:t>
      </w:r>
    </w:p>
    <w:p>
      <w:pPr>
        <w:pStyle w:val="ListParagraph"/>
        <w:numPr>
          <w:ilvl w:val="0"/>
          <w:numId w:val="2"/>
        </w:numPr>
        <w:spacing w:after="60"/>
      </w:pPr>
      <w:r>
        <w:t xml:space="preserve">PUT /recipes/:id — update</w:t>
      </w:r>
    </w:p>
    <w:p>
      <w:pPr>
        <w:pStyle w:val="ListParagraph"/>
        <w:numPr>
          <w:ilvl w:val="0"/>
          <w:numId w:val="2"/>
        </w:numPr>
        <w:spacing w:after="60"/>
      </w:pPr>
      <w:r>
        <w:t xml:space="preserve">DELETE /recipes/:id — delete</w:t>
      </w:r>
    </w:p>
    <w:p>
      <w:pPr>
        <w:pStyle w:val="ListParagraph"/>
        <w:numPr>
          <w:ilvl w:val="0"/>
          <w:numId w:val="2"/>
        </w:numPr>
        <w:spacing w:after="60"/>
      </w:pPr>
      <w:r>
        <w:t xml:space="preserve">The same pattern is repeated for /ingredients</w:t>
      </w:r>
    </w:p>
    <w:p>
      <w:pPr>
        <w:pStyle w:val="ListParagraph"/>
        <w:numPr>
          <w:ilvl w:val="0"/>
          <w:numId w:val="2"/>
        </w:numPr>
        <w:spacing w:after="60"/>
      </w:pPr>
      <w:r>
        <w:t xml:space="preserve">POST /register and POST /login sit outside the resource pattern, as authentication actions rather than a CRUD resource</w:t>
      </w:r>
    </w:p>
    <w:p>
      <w:pPr>
        <w:spacing w:after="120"/>
      </w:pPr>
      <w:r>
        <w:t xml:space="preserve">Every protected route runs the verifyToken middleware before its handler, returning 401 when no token is supplied and 403 when the token is invalid or expired — following conventional REST status-code usage rather than a single generic error.</w:t>
      </w:r>
    </w:p>
    <w:p>
      <w:pPr>
        <w:pStyle w:val="Heading2"/>
        <w:spacing w:after="120" w:before="240"/>
      </w:pPr>
      <w:r>
        <w:t xml:space="preserve">Decision Reasons</w:t>
      </w:r>
    </w:p>
    <w:p>
      <w:pPr>
        <w:spacing w:after="120"/>
      </w:pPr>
      <w:r>
        <w:t xml:space="preserve">A monorepo with two independent apps was chosen over a single combined server for a clear separation between the UI and the API, matching how the two would realistically be deployed and scaled independently. Express was chosen for its minimal, unopinionated routing, which keeps each route file focused on one resource. JWT authentication (rather than server-side sessions) was chosen because it keeps the API stateless — no session store is needed, and the same token mechanism works cleanly for both the browser client and, if extended later, a mobile client.</w:t>
      </w:r>
    </w:p>
    <w:p>
      <w:pPr>
        <w:pStyle w:val="Heading1"/>
        <w:spacing w:after="160" w:before="320"/>
      </w:pPr>
      <w:r>
        <w:t xml:space="preserve">Section 4: Feature Showcase</w:t>
      </w:r>
    </w:p>
    <w:p>
      <w:pPr>
        <w:spacing w:after="160"/>
      </w:pPr>
      <w:r>
        <w:rPr>
          <w:i/>
          <w:iCs/>
          <w:color w:val="666666"/>
          <w:sz w:val="20"/>
          <w:szCs w:val="20"/>
        </w:rPr>
        <w:t xml:space="preserve">Note: Each feature below needs a screenshot from your running app pasted in underneath it — the descriptions and user flows are filled in; the visual proof is the part only you can add.</w:t>
      </w:r>
    </w:p>
    <w:p>
      <w:pPr>
        <w:pStyle w:val="Heading2"/>
        <w:spacing w:after="120" w:before="240"/>
      </w:pPr>
      <w:r>
        <w:t xml:space="preserve">Feature: Login &amp; Registration</w:t>
      </w:r>
    </w:p>
    <w:p>
      <w:pPr>
        <w:spacing w:after="120"/>
      </w:pPr>
      <w:r>
        <w:t xml:space="preserve">Purpose: authenticates a user against the users table and issues a JWT; self-registration creates a standard 'user' role account with a bcrypt-hashed password.</w:t>
      </w:r>
    </w:p>
    <w:p>
      <w:pPr>
        <w:spacing w:after="120"/>
      </w:pPr>
      <w:r>
        <w:t xml:space="preserve">User flow: user opens the app → enters username/password on the Login page → on success, the token and role are saved to localStorage and the user is redirected to /home. A 'Create an account' link leads to the Register form for new users.</w:t>
      </w:r>
    </w:p>
    <w:p>
      <w:pPr>
        <w:spacing w:after="160"/>
      </w:pPr>
      <w:r>
        <w:rPr>
          <w:i/>
          <w:iCs/>
          <w:color w:val="C0392B"/>
        </w:rPr>
        <w:t xml:space="preserve">[ Screenshot: Login page and Register page ]</w:t>
      </w:r>
    </w:p>
    <w:p>
      <w:pPr>
        <w:pStyle w:val="Heading2"/>
        <w:spacing w:after="120" w:before="240"/>
      </w:pPr>
      <w:r>
        <w:t xml:space="preserve">Feature: Route Protection</w:t>
      </w:r>
    </w:p>
    <w:p>
      <w:pPr>
        <w:spacing w:after="120"/>
      </w:pPr>
      <w:r>
        <w:t xml:space="preserve">Purpose: prevents unauthenticated users from viewing or modifying any recipe or ingredient data.</w:t>
      </w:r>
    </w:p>
    <w:p>
      <w:pPr>
        <w:spacing w:after="120"/>
      </w:pPr>
      <w:r>
        <w:t xml:space="preserve">User flow: a user who is not logged in and tries to visit a protected URL directly (e.g. /recipes) is redirected back to the login page by the ProtectedRoute component, which checks for a token in localStorage before rendering the wrapped page.</w:t>
      </w:r>
    </w:p>
    <w:p>
      <w:pPr>
        <w:spacing w:after="160"/>
      </w:pPr>
      <w:r>
        <w:rPr>
          <w:i/>
          <w:iCs/>
          <w:color w:val="C0392B"/>
        </w:rPr>
        <w:t xml:space="preserve">[ Screenshot: browser being redirected to /login when visiting a protected route while logged out ]</w:t>
      </w:r>
    </w:p>
    <w:p>
      <w:pPr>
        <w:pStyle w:val="Heading2"/>
        <w:spacing w:after="120" w:before="240"/>
      </w:pPr>
      <w:r>
        <w:t xml:space="preserve">Feature: Recipe List, Search &amp; View</w:t>
      </w:r>
    </w:p>
    <w:p>
      <w:pPr>
        <w:spacing w:after="120"/>
      </w:pPr>
      <w:r>
        <w:t xml:space="preserve">Purpose: displays every saved recipe as a card grid with its photo, category and difficulty, and allows the user to search by name or difficulty before opening a full recipe view.</w:t>
      </w:r>
    </w:p>
    <w:p>
      <w:pPr>
        <w:spacing w:after="120"/>
      </w:pPr>
      <w:r>
        <w:t xml:space="preserve">User flow: user lands on /recipes → types in the search bar to filter the visible cards → clicks 'View Recipe' → sees the full description, the joined ingredient list with quantities, and the instructions.</w:t>
      </w:r>
    </w:p>
    <w:p>
      <w:pPr>
        <w:spacing w:after="160"/>
      </w:pPr>
      <w:r>
        <w:rPr>
          <w:i/>
          <w:iCs/>
          <w:color w:val="C0392B"/>
        </w:rPr>
        <w:t xml:space="preserve">[ Screenshot: Recipe List with a search term typed in, and the View Recipe detail page ]</w:t>
      </w:r>
    </w:p>
    <w:p>
      <w:pPr>
        <w:pStyle w:val="Heading2"/>
        <w:spacing w:after="120" w:before="240"/>
      </w:pPr>
      <w:r>
        <w:t xml:space="preserve">Feature: Add / Edit Recipe with Ingredient Selection &amp; Image Upload</w:t>
      </w:r>
    </w:p>
    <w:p>
      <w:pPr>
        <w:spacing w:after="120"/>
      </w:pPr>
      <w:r>
        <w:t xml:space="preserve">Purpose: lets the user create or update a recipe, attach real ingredients with specific quantities from a dropdown backed by the ingredients table, and upload an actual image file rather than a URL.</w:t>
      </w:r>
    </w:p>
    <w:p>
      <w:pPr>
        <w:spacing w:after="120"/>
      </w:pPr>
      <w:r>
        <w:t xml:space="preserve">User flow: user fills in the recipe fields → clicks 'Add Ingredient' to add one or more ingredient/quantity rows, picking from the existing ingredients list → optionally chooses an image file from their device → submits, which sends a multipart form to the API; editing pre-fills the same form from the existing recipe and replaces the ingredient rows on save.</w:t>
      </w:r>
    </w:p>
    <w:p>
      <w:pPr>
        <w:spacing w:after="160"/>
      </w:pPr>
      <w:r>
        <w:rPr>
          <w:i/>
          <w:iCs/>
          <w:color w:val="C0392B"/>
        </w:rPr>
        <w:t xml:space="preserve">[ Screenshot: Add/Edit Recipe form with at least one ingredient row filled in and an image selected ]</w:t>
      </w:r>
    </w:p>
    <w:p>
      <w:pPr>
        <w:pStyle w:val="Heading2"/>
        <w:spacing w:after="120" w:before="240"/>
      </w:pPr>
      <w:r>
        <w:t xml:space="preserve">Feature: Ingredient Management</w:t>
      </w:r>
    </w:p>
    <w:p>
      <w:pPr>
        <w:spacing w:after="120"/>
      </w:pPr>
      <w:r>
        <w:t xml:space="preserve">Purpose: full CRUD over the shared ingredient catalogue that recipes draw from.</w:t>
      </w:r>
    </w:p>
    <w:p>
      <w:pPr>
        <w:spacing w:after="120"/>
      </w:pPr>
      <w:r>
        <w:t xml:space="preserve">User flow: user opens /ingredients → sees a table of all ingredients with name and unit → can add a new one, edit an existing row, or delete one (blocked by the database if that ingredient is still linked to a recipe).</w:t>
      </w:r>
    </w:p>
    <w:p>
      <w:pPr>
        <w:spacing w:after="160"/>
      </w:pPr>
      <w:r>
        <w:rPr>
          <w:i/>
          <w:iCs/>
          <w:color w:val="C0392B"/>
        </w:rPr>
        <w:t xml:space="preserve">[ Screenshot: Ingredient List table, and the Add/Edit Ingredient form ]</w:t>
      </w:r>
    </w:p>
    <w:p>
      <w:pPr>
        <w:pStyle w:val="Heading1"/>
        <w:spacing w:after="160" w:before="320"/>
      </w:pPr>
      <w:r>
        <w:t xml:space="preserve">Section 5: Validation Strategy (Client-side vs. Server-side)</w:t>
      </w:r>
    </w:p>
    <w:p>
      <w:pPr>
        <w:pStyle w:val="Heading2"/>
        <w:spacing w:after="120" w:before="240"/>
      </w:pPr>
      <w:r>
        <w:t xml:space="preserve">Client-side Validation</w:t>
      </w:r>
    </w:p>
    <w:p>
      <w:pPr>
        <w:spacing w:after="120"/>
      </w:pPr>
      <w:r>
        <w:t xml:space="preserve">Client-side validation is implemented with plain HTML5 input attributes and manual React checks rather than a schema library, since the forms are small and the fields are simple:</w:t>
      </w:r>
    </w:p>
    <w:p>
      <w:pPr>
        <w:pStyle w:val="ListParagraph"/>
        <w:numPr>
          <w:ilvl w:val="0"/>
          <w:numId w:val="2"/>
        </w:numPr>
        <w:spacing w:after="60"/>
      </w:pPr>
      <w:r>
        <w:t xml:space="preserve">Required fields (recipe name, description, instructions; ingredient name and unit) are checked in the form's submit handler before any network request is made, with an alert shown immediately if a field is empty.</w:t>
      </w:r>
    </w:p>
    <w:p>
      <w:pPr>
        <w:pStyle w:val="ListParagraph"/>
        <w:numPr>
          <w:ilvl w:val="0"/>
          <w:numId w:val="2"/>
        </w:numPr>
        <w:spacing w:after="60"/>
      </w:pPr>
      <w:r>
        <w:t xml:space="preserve">Ingredient quantity inputs use type="number" with min="0", and the submit handler additionally rejects the form if any quantity is negative, giving the user instant feedback without waiting on the server.</w:t>
      </w:r>
    </w:p>
    <w:p>
      <w:pPr>
        <w:spacing w:after="160"/>
      </w:pPr>
      <w:r>
        <w:rPr>
          <w:i/>
          <w:iCs/>
          <w:color w:val="C0392B"/>
        </w:rPr>
        <w:t xml:space="preserve">[ Screenshot: a form submitted with a blank required field, showing the client-side error message ]</w:t>
      </w:r>
    </w:p>
    <w:p>
      <w:pPr>
        <w:pStyle w:val="Heading2"/>
        <w:spacing w:after="120" w:before="240"/>
      </w:pPr>
      <w:r>
        <w:t xml:space="preserve">Server-side Validation</w:t>
      </w:r>
    </w:p>
    <w:p>
      <w:pPr>
        <w:spacing w:after="120"/>
      </w:pPr>
      <w:r>
        <w:t xml:space="preserve">The server never assumes the client's checks were honoured. Every write route re-validates the same fields independently:</w:t>
      </w:r>
    </w:p>
    <w:p>
      <w:pPr>
        <w:pStyle w:val="ListParagraph"/>
        <w:numPr>
          <w:ilvl w:val="0"/>
          <w:numId w:val="2"/>
        </w:numPr>
        <w:spacing w:after="60"/>
      </w:pPr>
      <w:r>
        <w:t xml:space="preserve">routes/auth.js rejects registration/login requests missing a username or password with 400 Bad Request, and returns 409 Conflict for a duplicate username rather than a generic failure.</w:t>
      </w:r>
    </w:p>
    <w:p>
      <w:pPr>
        <w:pStyle w:val="ListParagraph"/>
        <w:numPr>
          <w:ilvl w:val="0"/>
          <w:numId w:val="2"/>
        </w:numPr>
        <w:spacing w:after="60"/>
      </w:pPr>
      <w:r>
        <w:t xml:space="preserve">routes/recipes.js and routes/ingredients.js return 400 with a specific message (e.g. 'Name, description, and instructions are required') if required fields are missing, independent of whatever the browser already checked.</w:t>
      </w:r>
    </w:p>
    <w:p>
      <w:pPr>
        <w:pStyle w:val="ListParagraph"/>
        <w:numPr>
          <w:ilvl w:val="0"/>
          <w:numId w:val="2"/>
        </w:numPr>
        <w:spacing w:after="60"/>
      </w:pPr>
      <w:r>
        <w:t xml:space="preserve">All queries use parameterised placeholders (?) via mysql2, which prevents SQL injection regardless of what a client sends.</w:t>
      </w:r>
    </w:p>
    <w:p>
      <w:pPr>
        <w:pStyle w:val="ListParagraph"/>
        <w:numPr>
          <w:ilvl w:val="0"/>
          <w:numId w:val="2"/>
        </w:numPr>
        <w:spacing w:after="60"/>
      </w:pPr>
      <w:r>
        <w:t xml:space="preserve">Protected routes return 401 (no token) or 403 (invalid/expired token) via the verifyToken middleware before any database work happens.</w:t>
      </w:r>
    </w:p>
    <w:p>
      <w:pPr>
        <w:spacing w:after="160"/>
      </w:pPr>
      <w:r>
        <w:rPr>
          <w:i/>
          <w:iCs/>
          <w:color w:val="C0392B"/>
        </w:rPr>
        <w:t xml:space="preserve">[ Screenshot: the API's JSON error response (e.g. via curl or the browser network tab) for a request missing a required field ]</w:t>
      </w:r>
    </w:p>
    <w:p>
      <w:pPr>
        <w:pStyle w:val="Heading1"/>
        <w:spacing w:after="160" w:before="320"/>
      </w:pPr>
      <w:r>
        <w:t xml:space="preserve">Section 6: Source Control</w:t>
      </w:r>
    </w:p>
    <w:p>
      <w:pPr>
        <w:pStyle w:val="Heading2"/>
        <w:spacing w:after="120" w:before="240"/>
      </w:pPr>
      <w:r>
        <w:t xml:space="preserve">Repository Link &amp; Branching Strategy</w:t>
      </w:r>
    </w:p>
    <w:p>
      <w:pPr>
        <w:spacing w:after="160"/>
      </w:pPr>
      <w:r>
        <w:rPr>
          <w:i/>
          <w:iCs/>
          <w:color w:val="C0392B"/>
        </w:rPr>
        <w:t xml:space="preserve">[ Insert your GitHub repository link here, e.g. https://github.com/np03cs4a250269-source/recipe ]</w:t>
      </w:r>
    </w:p>
    <w:p>
      <w:pPr>
        <w:spacing w:after="160"/>
      </w:pPr>
      <w:r>
        <w:rPr>
          <w:i/>
          <w:iCs/>
          <w:color w:val="666666"/>
          <w:sz w:val="20"/>
          <w:szCs w:val="20"/>
        </w:rPr>
        <w:t xml:space="preserve">Note: The current history was built on a single 'main' branch with incremental commits as features were added (auth, then recipes, then ingredients, then edit/delete). If your marker specifically expects a feature-branch/PR workflow, either add a short branch (e.g. feature/deployment) and merge it via a pull request before submitting, or state in this section that a trunk-based single-branch strategy was used deliberately for a project of this size, with each commit representing one working increment.</w:t>
      </w:r>
    </w:p>
    <w:p>
      <w:pPr>
        <w:pStyle w:val="Heading2"/>
        <w:spacing w:after="120" w:before="240"/>
      </w:pPr>
      <w:r>
        <w:t xml:space="preserve">Commit Graph Screenshot</w:t>
      </w:r>
    </w:p>
    <w:p>
      <w:pPr>
        <w:spacing w:after="160"/>
      </w:pPr>
      <w:r>
        <w:rPr>
          <w:i/>
          <w:iCs/>
          <w:color w:val="C0392B"/>
        </w:rPr>
        <w:t xml:space="preserve">[ Insert a screenshot of your GitHub repository's commit history / graph view here (Insights → Network, or the commit list on the repo's main page) ]</w:t>
      </w:r>
    </w:p>
    <w:p>
      <w:pPr>
        <w:pStyle w:val="Heading1"/>
        <w:spacing w:after="160" w:before="320"/>
      </w:pPr>
      <w:r>
        <w:t xml:space="preserve">Section 7: Deployment &amp; Live Demo</w:t>
      </w:r>
    </w:p>
    <w:p>
      <w:pPr>
        <w:pStyle w:val="Heading2"/>
        <w:spacing w:after="120" w:before="240"/>
      </w:pPr>
      <w:r>
        <w:t xml:space="preserve">Live Application Link</w:t>
      </w:r>
    </w:p>
    <w:p>
      <w:pPr>
        <w:spacing w:after="160"/>
      </w:pPr>
      <w:r>
        <w:rPr>
          <w:i/>
          <w:iCs/>
          <w:color w:val="C0392B"/>
        </w:rPr>
        <w:t xml:space="preserve">[ Insert your deployed frontend and backend URLs here once deployed ]</w:t>
      </w:r>
    </w:p>
    <w:p>
      <w:pPr>
        <w:spacing w:after="160"/>
      </w:pPr>
      <w:r>
        <w:rPr>
          <w:i/>
          <w:iCs/>
          <w:color w:val="666666"/>
          <w:sz w:val="20"/>
          <w:szCs w:val="20"/>
        </w:rPr>
        <w:t xml:space="preserve">Note: As of the last working session, the application runs locally only (client on http://localhost:5173, API on http://localhost:5050) and has not yet been deployed to a hosting provider. Deployment is worth 10% of the total grade and is currently the largest outstanding gap against the brief — this needs a hosting choice (e.g. Render/Railway for the API + MySQL, Vercel/Netlify for the React build) before submission.</w:t>
      </w:r>
    </w:p>
    <w:p>
      <w:pPr>
        <w:pStyle w:val="Heading2"/>
        <w:spacing w:after="120" w:before="240"/>
      </w:pPr>
      <w:r>
        <w:t xml:space="preserve">Test Credentials</w:t>
      </w:r>
    </w:p>
    <w:p>
      <w:pPr>
        <w:spacing w:after="160"/>
      </w:pPr>
      <w:r>
        <w:rPr>
          <w:i/>
          <w:iCs/>
          <w:color w:val="C0392B"/>
        </w:rPr>
        <w:t xml:space="preserve">[ Insert a demo account here once you've decided whether to expose an admin vs. standard user distinction, e.g. username: demo / password: demo1234 ]</w:t>
      </w:r>
    </w:p>
    <w:p>
      <w:pPr>
        <w:spacing w:after="160"/>
      </w:pPr>
      <w:r>
        <w:rPr>
          <w:i/>
          <w:iCs/>
          <w:color w:val="666666"/>
          <w:sz w:val="20"/>
          <w:szCs w:val="20"/>
        </w:rPr>
        <w:t xml:space="preserve">Note: The brief's optional 'admin vs regular user' restriction (separate permissions per role) has a role column and JWT support in place, but the routes do not yet enforce different permissions per role — every logged-in user currently has full access. Decide before submission whether to implement that restriction or note it as a known limitation here.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2026-08-15T14:19:58.954Z</dcterms:created>
  <dcterms:modified xsi:type="dcterms:W3CDTF">2026-08-15T14:19:58.966Z</dcterms:modified>
</cp:coreProperties>
</file>

<file path=docProps/custom.xml><?xml version="1.0" encoding="utf-8"?>
<Properties xmlns="http://schemas.openxmlformats.org/officeDocument/2006/custom-properties" xmlns:vt="http://schemas.openxmlformats.org/officeDocument/2006/docPropsVTypes"/>
</file>