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828F119" w14:textId="49F704FE" w:rsidR="007D02C4" w:rsidRDefault="0017207A" w:rsidP="00466AC0">
      <w:pPr>
        <w:spacing w:line="480" w:lineRule="auto"/>
        <w:jc w:val="center"/>
        <w:rPr>
          <w:b/>
          <w:bCs/>
          <w:sz w:val="32"/>
          <w:szCs w:val="40"/>
        </w:rPr>
      </w:pPr>
      <w:bookmarkStart w:id="0" w:name="_Hlk31633125"/>
      <w:bookmarkEnd w:id="0"/>
      <w:r w:rsidRPr="00763695">
        <w:rPr>
          <w:b/>
          <w:bCs/>
          <w:sz w:val="32"/>
          <w:szCs w:val="40"/>
        </w:rPr>
        <w:t>Can Greying East Asia Reduce its Current Account Surplus?</w:t>
      </w:r>
    </w:p>
    <w:p w14:paraId="24875F9D" w14:textId="6E5B1A2B" w:rsidR="00763695" w:rsidRPr="00763695" w:rsidRDefault="00763695" w:rsidP="00466AC0">
      <w:pPr>
        <w:spacing w:line="480" w:lineRule="auto"/>
        <w:jc w:val="center"/>
        <w:rPr>
          <w:b/>
          <w:bCs/>
          <w:sz w:val="28"/>
          <w:szCs w:val="36"/>
        </w:rPr>
      </w:pPr>
      <w:r>
        <w:rPr>
          <w:b/>
          <w:bCs/>
          <w:sz w:val="28"/>
          <w:szCs w:val="36"/>
        </w:rPr>
        <w:t>Nond Prueksiri</w:t>
      </w:r>
    </w:p>
    <w:p w14:paraId="5C202201" w14:textId="57C55FBF" w:rsidR="00763695" w:rsidRPr="00763695" w:rsidRDefault="00763695" w:rsidP="00763695">
      <w:pPr>
        <w:spacing w:line="480" w:lineRule="auto"/>
        <w:jc w:val="center"/>
        <w:rPr>
          <w:szCs w:val="32"/>
        </w:rPr>
      </w:pPr>
      <w:r>
        <w:rPr>
          <w:szCs w:val="32"/>
        </w:rPr>
        <w:t>March 28, 2020</w:t>
      </w:r>
    </w:p>
    <w:p w14:paraId="79D12C52" w14:textId="77777777" w:rsidR="000343F3" w:rsidRPr="000343F3" w:rsidRDefault="000343F3" w:rsidP="00466AC0">
      <w:pPr>
        <w:spacing w:line="480" w:lineRule="auto"/>
        <w:jc w:val="center"/>
        <w:rPr>
          <w:sz w:val="14"/>
          <w:szCs w:val="18"/>
        </w:rPr>
      </w:pPr>
    </w:p>
    <w:p w14:paraId="3B9759C6" w14:textId="3807D97C" w:rsidR="003B218F" w:rsidRPr="00763695" w:rsidRDefault="00EC3505" w:rsidP="00466AC0">
      <w:pPr>
        <w:spacing w:line="480" w:lineRule="auto"/>
        <w:rPr>
          <w:b/>
          <w:bCs/>
          <w:sz w:val="28"/>
          <w:szCs w:val="28"/>
        </w:rPr>
      </w:pPr>
      <w:r w:rsidRPr="00763695">
        <w:rPr>
          <w:b/>
          <w:bCs/>
          <w:sz w:val="28"/>
          <w:szCs w:val="28"/>
        </w:rPr>
        <w:t xml:space="preserve">I. </w:t>
      </w:r>
      <w:r w:rsidR="006B0FE9" w:rsidRPr="00763695">
        <w:rPr>
          <w:b/>
          <w:bCs/>
          <w:sz w:val="28"/>
          <w:szCs w:val="28"/>
        </w:rPr>
        <w:t>Introduction</w:t>
      </w:r>
    </w:p>
    <w:p w14:paraId="5934D9B7" w14:textId="3FAF33C1" w:rsidR="00E21A47" w:rsidRDefault="00EC3505" w:rsidP="00466AC0">
      <w:pPr>
        <w:spacing w:line="480" w:lineRule="auto"/>
      </w:pPr>
      <w:r>
        <w:tab/>
      </w:r>
      <w:r w:rsidR="000343F3" w:rsidRPr="000343F3">
        <w:t xml:space="preserve">Global imbalance today contributes to trade tensions </w:t>
      </w:r>
      <w:r w:rsidR="00E21A47">
        <w:t xml:space="preserve">especially for the United States and her trading partners </w:t>
      </w:r>
      <w:r w:rsidR="000343F3" w:rsidRPr="000343F3">
        <w:t xml:space="preserve">with the </w:t>
      </w:r>
      <w:r w:rsidR="00E21A47">
        <w:t>large current account surplus at an expense of the United States’ huge current account deficit. This situation of global imbalances persists for decades and become more intensified since 2001, when China joined the World Trade Organization. Since then, China along with other Eastern Asian export-oriented countries hold a large current account surplus as a result of being the manufacturing centers of the world</w:t>
      </w:r>
      <w:r w:rsidR="002B208F">
        <w:t xml:space="preserve"> and with the foreign currencies earned, these countries became the major supplies of world savings. On the other hands, the </w:t>
      </w:r>
      <w:r w:rsidR="00E21A47">
        <w:t>countries importing such manufacturing goods such as the United States faces the large current account deficit</w:t>
      </w:r>
      <w:r w:rsidR="002B208F">
        <w:t xml:space="preserve"> (see the figure 1) and became net borrowers of the world</w:t>
      </w:r>
      <w:r w:rsidR="00E21A47">
        <w:t xml:space="preserve">. </w:t>
      </w:r>
      <w:r w:rsidR="000343F3" w:rsidRPr="000343F3">
        <w:t xml:space="preserve">However, such a trend in large surplus could be reversed as these countries especially China, South Korea, and Thailand are entering an aging society. The United Nations projected (as shown in figure </w:t>
      </w:r>
      <w:r w:rsidR="00E21A47">
        <w:t>2</w:t>
      </w:r>
      <w:r w:rsidR="000343F3" w:rsidRPr="000343F3">
        <w:t xml:space="preserve">) that by 2025, these countries will see a sharp decline in prime-age savers, defined as population aged 45 – 64, and a sharp rise in the elderly population as those savers enter the retirement. This population shift could result in a decline in national savings and thus worsen the countries’ current account balance given a relatively stable level of investment. This study is not only to quantitatively study relationships between demographic transition and current account balance but also attempt to analyze such relationships in given different sets of characteristics of economies. For example, responses to a shift in demography in advanced economies such as </w:t>
      </w:r>
      <w:r w:rsidR="000343F3" w:rsidRPr="000343F3">
        <w:lastRenderedPageBreak/>
        <w:t>Japan or Germany may differ from those in an emerging economy such as China or Thailand because of the different saving behaviors. The main contribution of this paper is thus the gauging of current account balance sensitivity to aging in heterogenous saving patterns across the group of countries especially those with significant current account surplus and rapidly aging population.</w:t>
      </w:r>
      <w:r w:rsidR="002B208F">
        <w:t xml:space="preserve"> The paper provides an alternative forecast for the level of current account balance to GDP for China, Thailand, and South Korea using the technique of Panel Vector Autoregressive (PVAR).</w:t>
      </w:r>
    </w:p>
    <w:p w14:paraId="4D5B05A7" w14:textId="77777777" w:rsidR="002B208F" w:rsidRPr="00214B02" w:rsidRDefault="002B208F" w:rsidP="00466AC0">
      <w:pPr>
        <w:spacing w:line="480" w:lineRule="auto"/>
      </w:pPr>
    </w:p>
    <w:p w14:paraId="42A1AF70" w14:textId="3E58342D" w:rsidR="00E21A47" w:rsidRPr="00763695" w:rsidRDefault="00A044E4" w:rsidP="00E21A47">
      <w:pPr>
        <w:spacing w:line="480" w:lineRule="auto"/>
        <w:rPr>
          <w:b/>
          <w:bCs/>
          <w:sz w:val="28"/>
          <w:szCs w:val="28"/>
        </w:rPr>
      </w:pPr>
      <w:r w:rsidRPr="00763695">
        <w:rPr>
          <w:b/>
          <w:bCs/>
          <w:sz w:val="28"/>
          <w:szCs w:val="28"/>
        </w:rPr>
        <w:t xml:space="preserve">II. </w:t>
      </w:r>
      <w:r w:rsidR="00492888" w:rsidRPr="00763695">
        <w:rPr>
          <w:b/>
          <w:bCs/>
          <w:sz w:val="28"/>
          <w:szCs w:val="28"/>
        </w:rPr>
        <w:t>Literature Review</w:t>
      </w:r>
    </w:p>
    <w:p w14:paraId="6C5A683C" w14:textId="0B9AC08F" w:rsidR="00A044E4" w:rsidRDefault="00E21A47" w:rsidP="00CB1E81">
      <w:pPr>
        <w:spacing w:line="480" w:lineRule="auto"/>
      </w:pPr>
      <w:r>
        <w:tab/>
      </w:r>
      <w:r w:rsidRPr="000343F3">
        <w:t>In studying the relationship between demographic transition and current account balance, we need to examine the relationship between demographic structure and national saving rate, and the saving rate and current account balance. The first relationship is usually explained by the life cycle hypothesis by Modigliani (1966). The hypothesis states that consumers save up during their working age and dissave after their retirement, and thus, at the aggregate level, an aging country is likely to see a surge in the aggregate saving before it enters into the aged society which is usually defined as having elderly population (aged 65 and over) more than 20% of the total population. Once the country enters such a scenario, it sees a decline in aggregate saving. While the latter relationship can be a direct result from national account</w:t>
      </w:r>
      <w:r w:rsidR="00255C61">
        <w:t>ing</w:t>
      </w:r>
      <w:r w:rsidRPr="000343F3">
        <w:t xml:space="preserve"> identity in the equation (1), that is, an increase in the aggregate saving increases the current account balance given no change in aggregate investment. </w:t>
      </w:r>
      <w:r>
        <w:tab/>
      </w:r>
      <w:r>
        <w:tab/>
      </w:r>
      <w:r>
        <w:tab/>
      </w:r>
    </w:p>
    <w:p w14:paraId="351A0374" w14:textId="77777777" w:rsidR="0067109E" w:rsidRDefault="0067109E" w:rsidP="0067109E">
      <w:pPr>
        <w:ind w:firstLine="720"/>
      </w:pPr>
    </w:p>
    <w:p w14:paraId="55AE105D" w14:textId="4543ABF7" w:rsidR="00E21A47" w:rsidRDefault="00E21A47" w:rsidP="00255C61">
      <w:pPr>
        <w:spacing w:line="480" w:lineRule="auto"/>
        <w:ind w:left="1440" w:firstLine="720"/>
        <w:jc w:val="center"/>
      </w:pPr>
      <w:r>
        <w:t>Current Account Balance = X – M = S – I</w:t>
      </w:r>
      <w:r>
        <w:tab/>
      </w:r>
      <w:r>
        <w:tab/>
      </w:r>
      <w:r>
        <w:tab/>
      </w:r>
      <w:r>
        <w:tab/>
        <w:t>(1)</w:t>
      </w:r>
    </w:p>
    <w:p w14:paraId="1C0C4BC9" w14:textId="202F3940" w:rsidR="00CB1E81" w:rsidRDefault="00CB1E81" w:rsidP="0067109E">
      <w:pPr>
        <w:rPr>
          <w:i/>
          <w:iCs/>
        </w:rPr>
      </w:pPr>
    </w:p>
    <w:p w14:paraId="4EB3FF80" w14:textId="6A5DB4A1" w:rsidR="00763695" w:rsidRDefault="00763695" w:rsidP="0067109E">
      <w:pPr>
        <w:rPr>
          <w:i/>
          <w:iCs/>
        </w:rPr>
      </w:pPr>
    </w:p>
    <w:p w14:paraId="27E76A3E" w14:textId="77777777" w:rsidR="00763695" w:rsidRDefault="00763695" w:rsidP="0067109E">
      <w:pPr>
        <w:rPr>
          <w:i/>
          <w:iCs/>
        </w:rPr>
      </w:pPr>
    </w:p>
    <w:p w14:paraId="11B69ECC" w14:textId="78B1B876" w:rsidR="00E21A47" w:rsidRDefault="00255C61" w:rsidP="00E21A47">
      <w:pPr>
        <w:spacing w:line="480" w:lineRule="auto"/>
      </w:pPr>
      <w:r>
        <w:rPr>
          <w:i/>
          <w:iCs/>
        </w:rPr>
        <w:lastRenderedPageBreak/>
        <w:t>A. The Studies of Demography and Current Account</w:t>
      </w:r>
    </w:p>
    <w:p w14:paraId="4F98DD70" w14:textId="434D9D3A" w:rsidR="00A044E4" w:rsidRDefault="00E21A47" w:rsidP="00214B02">
      <w:pPr>
        <w:spacing w:line="480" w:lineRule="auto"/>
        <w:ind w:firstLine="720"/>
      </w:pPr>
      <w:r w:rsidRPr="000343F3">
        <w:t>There are two main approaches to study the association between demographic change and current account – theoretical-driven and data-driven approaches. For theoretical strategy, several studies utilized dynamic macroeconomic models such as Overlapping Generations Model (Brooks, 2003), Ramsey-style Neoclassical Growth Model (</w:t>
      </w:r>
      <w:proofErr w:type="spellStart"/>
      <w:r w:rsidRPr="000343F3">
        <w:t>Domeij</w:t>
      </w:r>
      <w:proofErr w:type="spellEnd"/>
      <w:r w:rsidRPr="000343F3">
        <w:t xml:space="preserve"> &amp; </w:t>
      </w:r>
      <w:proofErr w:type="spellStart"/>
      <w:r w:rsidRPr="000343F3">
        <w:t>Flodén</w:t>
      </w:r>
      <w:proofErr w:type="spellEnd"/>
      <w:r w:rsidRPr="000343F3">
        <w:t xml:space="preserve">, 2006), and Life Cycle Model (Barany, </w:t>
      </w:r>
      <w:proofErr w:type="spellStart"/>
      <w:r w:rsidRPr="000343F3">
        <w:t>Coeurdacier</w:t>
      </w:r>
      <w:proofErr w:type="spellEnd"/>
      <w:r w:rsidRPr="000343F3">
        <w:t xml:space="preserve"> &amp; </w:t>
      </w:r>
      <w:proofErr w:type="spellStart"/>
      <w:r w:rsidRPr="000343F3">
        <w:t>Guibaud</w:t>
      </w:r>
      <w:proofErr w:type="spellEnd"/>
      <w:r w:rsidRPr="000343F3">
        <w:t>, 2016). They modified the models to account for intergenerational transfers, pension systems, and inter-country interactions, and calibrated those models with the actual data to get the estimated parameters in the model. The data simulated from all the studies performs well (i.e. acceptable deviation from the actual data) and confirms that the current account balance follows the life-cycle hypothesis with aged country becomes deficit and a country with the larger proportion of prime-age population gaining surplus. For the data-driven approaches, many studies employed panel data method to study the relationship, for instances, Higgins (1998) finds a significant contribution of demographic shift especially from the young and old dependency ratio. The study estimated that over thirty-year period, in several countries, the age structure changes affected the current account balance above six percent of the country’s GDP. The recent working paper by Dao and Jones (2018) focused on prime-age savers as a proportion of the total population and find a positive significant relationship between the proportion and improvement in the current account balance. Nevertheless, Graff, Tang, and Zhang (2015), using conventional panel data technique with more control variables such as openness, financial development, education, etc., suggest that the relationship between old-age dependency and the current account balance exists but the magnitude of influence is substantially smaller. </w:t>
      </w:r>
    </w:p>
    <w:p w14:paraId="13959051" w14:textId="77777777" w:rsidR="00214B02" w:rsidRDefault="00214B02" w:rsidP="00214B02">
      <w:pPr>
        <w:spacing w:line="480" w:lineRule="auto"/>
        <w:ind w:firstLine="720"/>
      </w:pPr>
    </w:p>
    <w:p w14:paraId="176773FF" w14:textId="6D6996F4" w:rsidR="00A044E4" w:rsidRDefault="00255C61" w:rsidP="00E21A47">
      <w:pPr>
        <w:spacing w:line="480" w:lineRule="auto"/>
      </w:pPr>
      <w:r>
        <w:rPr>
          <w:i/>
          <w:iCs/>
        </w:rPr>
        <w:lastRenderedPageBreak/>
        <w:t xml:space="preserve">B. </w:t>
      </w:r>
      <w:r w:rsidR="00A044E4">
        <w:rPr>
          <w:i/>
          <w:iCs/>
        </w:rPr>
        <w:t>Potential Heterogeneity in the Magnitude of Relationship</w:t>
      </w:r>
    </w:p>
    <w:p w14:paraId="0A7E4E20" w14:textId="1707164C" w:rsidR="0067109E" w:rsidRDefault="00054FFE" w:rsidP="000239D1">
      <w:pPr>
        <w:spacing w:line="480" w:lineRule="auto"/>
        <w:ind w:firstLine="720"/>
      </w:pPr>
      <w:r>
        <w:t xml:space="preserve">With those previous studies on demography and current account, it is suspected that demographic impacts on the current account balance might be differ among the countries according to variations in characteristics. In order to construct appropriate models for the countries in this study, specifically China, Thailand, and South Korea, such the models must take these variations into account. Based on the collections of literature in this area, there are four main country-specific characteristics </w:t>
      </w:r>
      <w:r w:rsidR="00763695">
        <w:t xml:space="preserve">that may have played significant roles in the magnitude of demographic impact. The four characteristics are as follows: </w:t>
      </w:r>
    </w:p>
    <w:p w14:paraId="574DE965" w14:textId="5B1D34C5" w:rsidR="00262D2E" w:rsidRDefault="00A044E4" w:rsidP="0067109E">
      <w:pPr>
        <w:ind w:firstLine="720"/>
      </w:pPr>
      <w:r>
        <w:tab/>
      </w:r>
      <w:r>
        <w:tab/>
      </w:r>
      <w:r>
        <w:tab/>
      </w:r>
      <w:r>
        <w:tab/>
      </w:r>
      <w:r>
        <w:tab/>
      </w:r>
      <w:r>
        <w:tab/>
      </w:r>
    </w:p>
    <w:p w14:paraId="6CF407F6" w14:textId="75A699A0" w:rsidR="000239D1" w:rsidRDefault="00A044E4" w:rsidP="000239D1">
      <w:pPr>
        <w:spacing w:line="480" w:lineRule="auto"/>
        <w:ind w:firstLine="720"/>
      </w:pPr>
      <w:r>
        <w:t xml:space="preserve">1. </w:t>
      </w:r>
      <w:r>
        <w:rPr>
          <w:i/>
          <w:iCs/>
        </w:rPr>
        <w:t xml:space="preserve">Longevity </w:t>
      </w:r>
      <w:r>
        <w:t xml:space="preserve">– </w:t>
      </w:r>
      <w:r w:rsidR="0014598C">
        <w:t>the life expectancy of a country can influent its aggregate saving rate in two ways. The first is that when an individual expects to live a lengthy period after her retirement</w:t>
      </w:r>
      <w:r w:rsidR="00ED2DED">
        <w:t>, she tends to save more, and thus, an increase in the life expectancy should increases the national saving rate. The second way is that the longer the individuals live past their retirement, the higher the dissaving, and hence, a rise in life expect</w:t>
      </w:r>
      <w:r w:rsidR="000239D1">
        <w:t xml:space="preserve">ancy could contribute to a drop in the national saving rate. Empirically, </w:t>
      </w:r>
      <w:r w:rsidR="000239D1" w:rsidRPr="000239D1">
        <w:t>Li, Zhang, and Zhang (200</w:t>
      </w:r>
      <w:r w:rsidR="00E65224">
        <w:t>7</w:t>
      </w:r>
      <w:r w:rsidR="000239D1" w:rsidRPr="000239D1">
        <w:t>)</w:t>
      </w:r>
      <w:r w:rsidR="000239D1">
        <w:t xml:space="preserve"> estimate a fixed-effect cross-country panel data and find a positive association between life expectancy and saving. From this evidence, </w:t>
      </w:r>
      <w:r w:rsidR="009B1D4D">
        <w:t xml:space="preserve">the higher life expectancy may intensify the effect of demographic change on current account balance through higher rates of saving. </w:t>
      </w:r>
    </w:p>
    <w:p w14:paraId="13607C60" w14:textId="77777777" w:rsidR="0067109E" w:rsidRDefault="0067109E" w:rsidP="0067109E">
      <w:pPr>
        <w:ind w:firstLine="720"/>
      </w:pPr>
    </w:p>
    <w:p w14:paraId="322FED26" w14:textId="536738DF" w:rsidR="009B1D4D" w:rsidRDefault="009B1D4D" w:rsidP="00833EA3">
      <w:pPr>
        <w:spacing w:line="480" w:lineRule="auto"/>
        <w:ind w:firstLine="720"/>
      </w:pPr>
      <w:r>
        <w:t xml:space="preserve">2. </w:t>
      </w:r>
      <w:r>
        <w:rPr>
          <w:i/>
          <w:iCs/>
        </w:rPr>
        <w:t>Pension System</w:t>
      </w:r>
      <w:r>
        <w:t xml:space="preserve"> </w:t>
      </w:r>
      <w:r w:rsidR="00FE469B">
        <w:t>–</w:t>
      </w:r>
      <w:r>
        <w:t xml:space="preserve"> </w:t>
      </w:r>
      <w:r w:rsidR="00FE469B">
        <w:t>a country with the more developed pension system tends to have a higher national saving rate since the system</w:t>
      </w:r>
      <w:r w:rsidR="000D440C">
        <w:t xml:space="preserve"> often</w:t>
      </w:r>
      <w:r w:rsidR="00FE469B">
        <w:t xml:space="preserve"> requires or even incentivized its citizens to save during their working age. </w:t>
      </w:r>
      <w:r w:rsidR="000D440C">
        <w:t xml:space="preserve">Chai and Kim (2018) argue that with a rising life expectancy, the impact of changes in demography on private savings is intensified under a more generous pension system. Moreover, </w:t>
      </w:r>
      <w:r w:rsidR="00833EA3">
        <w:t>Bloom, et. al. (2006) conclude that</w:t>
      </w:r>
      <w:r w:rsidR="000D440C">
        <w:t xml:space="preserve"> if a system incentivizes </w:t>
      </w:r>
      <w:r w:rsidR="000D440C">
        <w:lastRenderedPageBreak/>
        <w:t xml:space="preserve">retirements at early ages, </w:t>
      </w:r>
      <w:r w:rsidR="00833EA3">
        <w:t xml:space="preserve">the saving rate will be higher as a result of preparations for a longer retirement. In general, the more developed pension system, the higher saving rate can be expected, and therefore, leads to a higher impact of demography on current account balance. This is in line with the simulation of capital flows given demographic changes by </w:t>
      </w:r>
      <w:r w:rsidR="000D440C" w:rsidRPr="000343F3">
        <w:t xml:space="preserve">Barany, </w:t>
      </w:r>
      <w:proofErr w:type="spellStart"/>
      <w:r w:rsidR="000D440C" w:rsidRPr="000343F3">
        <w:t>Coeurdacier</w:t>
      </w:r>
      <w:proofErr w:type="spellEnd"/>
      <w:r w:rsidR="000D440C" w:rsidRPr="000343F3">
        <w:t xml:space="preserve">, and </w:t>
      </w:r>
      <w:proofErr w:type="spellStart"/>
      <w:r w:rsidR="000D440C" w:rsidRPr="000343F3">
        <w:t>Guibaud</w:t>
      </w:r>
      <w:proofErr w:type="spellEnd"/>
      <w:r w:rsidR="00833EA3">
        <w:t xml:space="preserve"> (2018) that when they replaced their calibrated social security coverage parameter by zero, the capital export coefficients became smaller. This means that such the demographic impacts will be stronger given a highly developed social security system.</w:t>
      </w:r>
    </w:p>
    <w:p w14:paraId="39FDA624" w14:textId="77777777" w:rsidR="0067109E" w:rsidRDefault="0067109E" w:rsidP="0067109E">
      <w:pPr>
        <w:ind w:firstLine="720"/>
      </w:pPr>
    </w:p>
    <w:p w14:paraId="5093FF07" w14:textId="33507501" w:rsidR="00833EA3" w:rsidRDefault="00833EA3" w:rsidP="00833EA3">
      <w:pPr>
        <w:spacing w:line="480" w:lineRule="auto"/>
        <w:ind w:firstLine="720"/>
      </w:pPr>
      <w:r>
        <w:t xml:space="preserve">3. </w:t>
      </w:r>
      <w:r w:rsidR="0087308C">
        <w:rPr>
          <w:i/>
          <w:iCs/>
        </w:rPr>
        <w:t xml:space="preserve"> Financial Openness – </w:t>
      </w:r>
      <w:r w:rsidR="0087308C">
        <w:t xml:space="preserve">the degree of capital mobility could influent the magnitude and speed of current account balance changes. Chinn and Ito (2005) </w:t>
      </w:r>
      <w:r w:rsidR="008E5AA8">
        <w:t>find</w:t>
      </w:r>
      <w:r w:rsidR="0087308C">
        <w:t xml:space="preserve"> that for</w:t>
      </w:r>
      <w:r w:rsidR="008E5AA8">
        <w:t xml:space="preserve"> advanced economies, the higher degree of openness associates with the lower capital account balance. In a contrary, for emerging economies where many of which have current account surpluses, the more open the financial account associates with the higher current account balance. </w:t>
      </w:r>
      <w:r w:rsidR="00CB1E81">
        <w:t>M</w:t>
      </w:r>
      <w:r w:rsidR="00CB1E81" w:rsidRPr="00D34667">
        <w:t xml:space="preserve">endoza, </w:t>
      </w:r>
      <w:proofErr w:type="spellStart"/>
      <w:r w:rsidR="00CB1E81" w:rsidRPr="00D34667">
        <w:t>Quadrini</w:t>
      </w:r>
      <w:proofErr w:type="spellEnd"/>
      <w:r w:rsidR="00CB1E81" w:rsidRPr="00D34667">
        <w:t>, and Rios-</w:t>
      </w:r>
      <w:proofErr w:type="spellStart"/>
      <w:r w:rsidR="00CB1E81" w:rsidRPr="00D34667">
        <w:t>Rull</w:t>
      </w:r>
      <w:proofErr w:type="spellEnd"/>
      <w:r w:rsidR="00CB1E81" w:rsidRPr="00D34667">
        <w:t xml:space="preserve"> (2009)</w:t>
      </w:r>
      <w:r w:rsidR="00CB1E81">
        <w:t xml:space="preserve"> observed that since the financial globalization as measured by a significant increase in the Chinn-Ito financial openness index, the United States sees a large decline in the net foreign asset position. The results of their model also suggested that the higher capital mobility leads to a more severe global imbalance. According to these evidences, it is plausible that a higher degree of openness would lead to a stronger impact </w:t>
      </w:r>
      <w:r w:rsidR="00D67C76">
        <w:t>of aging on current account positions.</w:t>
      </w:r>
    </w:p>
    <w:p w14:paraId="30A5646E" w14:textId="77777777" w:rsidR="0067109E" w:rsidRDefault="0067109E" w:rsidP="0067109E">
      <w:pPr>
        <w:ind w:firstLine="720"/>
      </w:pPr>
    </w:p>
    <w:p w14:paraId="535FC656" w14:textId="33ADE0B2" w:rsidR="00D67C76" w:rsidRDefault="00D67C76" w:rsidP="00833EA3">
      <w:pPr>
        <w:spacing w:line="480" w:lineRule="auto"/>
        <w:ind w:firstLine="720"/>
      </w:pPr>
      <w:r>
        <w:t xml:space="preserve">4. </w:t>
      </w:r>
      <w:r>
        <w:rPr>
          <w:i/>
          <w:iCs/>
        </w:rPr>
        <w:t>Financial Development</w:t>
      </w:r>
      <w:r>
        <w:t xml:space="preserve"> – The higher level of financial institutions and financial markets development associates with a higher saving rate in developed countries and emerging economy countries. (Chinn &amp; Ito, 2005) With complexity of financial system, the flow of funds can occur easily as sources of funds become more accessible</w:t>
      </w:r>
      <w:r w:rsidR="00262D2E">
        <w:t xml:space="preserve">, and given high degree of financial </w:t>
      </w:r>
      <w:r w:rsidR="00262D2E">
        <w:lastRenderedPageBreak/>
        <w:t>openness, a country with sophisticated financial markets can increase borrowings and reduce savings rapidly. (M</w:t>
      </w:r>
      <w:r w:rsidR="00262D2E" w:rsidRPr="00D34667">
        <w:t xml:space="preserve">endoza, </w:t>
      </w:r>
      <w:proofErr w:type="spellStart"/>
      <w:r w:rsidR="00262D2E" w:rsidRPr="00D34667">
        <w:t>Quadrini</w:t>
      </w:r>
      <w:proofErr w:type="spellEnd"/>
      <w:r w:rsidR="00262D2E" w:rsidRPr="00D34667">
        <w:t xml:space="preserve">, </w:t>
      </w:r>
      <w:r w:rsidR="00262D2E">
        <w:t>&amp;</w:t>
      </w:r>
      <w:r w:rsidR="00262D2E" w:rsidRPr="00D34667">
        <w:t xml:space="preserve"> Rios-</w:t>
      </w:r>
      <w:proofErr w:type="spellStart"/>
      <w:r w:rsidR="00262D2E" w:rsidRPr="00D34667">
        <w:t>Rull</w:t>
      </w:r>
      <w:proofErr w:type="spellEnd"/>
      <w:r w:rsidR="00262D2E">
        <w:t xml:space="preserve">, </w:t>
      </w:r>
      <w:r w:rsidR="00262D2E" w:rsidRPr="00D34667">
        <w:t>2009)</w:t>
      </w:r>
      <w:r w:rsidR="00262D2E">
        <w:t xml:space="preserve"> This, therefore, is likely that a country with deeper financial markets will suffer a larger decrease in current account surplus from aging population.</w:t>
      </w:r>
    </w:p>
    <w:p w14:paraId="3091D93E" w14:textId="62FFA5CD" w:rsidR="00262D2E" w:rsidRPr="00D67C76" w:rsidRDefault="00262D2E" w:rsidP="00833EA3">
      <w:pPr>
        <w:spacing w:line="480" w:lineRule="auto"/>
        <w:ind w:firstLine="720"/>
      </w:pPr>
      <w:r w:rsidRPr="000343F3">
        <w:t>It is therefore susceptible that the magnitude of a relationship between demographic and the current account balance may vary especially among the</w:t>
      </w:r>
      <w:r>
        <w:t xml:space="preserve"> </w:t>
      </w:r>
      <w:r w:rsidRPr="000343F3">
        <w:t>advanced and emerging economy.</w:t>
      </w:r>
    </w:p>
    <w:p w14:paraId="6B14B5BA" w14:textId="77777777" w:rsidR="00262D2E" w:rsidRDefault="00262D2E" w:rsidP="0067109E">
      <w:pPr>
        <w:spacing w:line="480" w:lineRule="auto"/>
      </w:pPr>
    </w:p>
    <w:p w14:paraId="03C9283D" w14:textId="5FDD40E5" w:rsidR="000343F3" w:rsidRPr="002D468A" w:rsidRDefault="00763695" w:rsidP="000343F3">
      <w:pPr>
        <w:spacing w:line="480" w:lineRule="auto"/>
        <w:rPr>
          <w:rFonts w:ascii="Calibri" w:hAnsi="Calibri" w:cs="Calibri"/>
          <w:b/>
          <w:bCs/>
          <w:sz w:val="28"/>
        </w:rPr>
      </w:pPr>
      <w:r w:rsidRPr="002D468A">
        <w:rPr>
          <w:b/>
          <w:bCs/>
          <w:sz w:val="28"/>
        </w:rPr>
        <w:t>III.</w:t>
      </w:r>
      <w:r w:rsidR="000343F3" w:rsidRPr="002D468A">
        <w:rPr>
          <w:b/>
          <w:bCs/>
          <w:sz w:val="28"/>
        </w:rPr>
        <w:t xml:space="preserve"> The Expected Results </w:t>
      </w:r>
    </w:p>
    <w:p w14:paraId="07A7F521" w14:textId="77777777" w:rsidR="00861CCE" w:rsidRDefault="000343F3" w:rsidP="000343F3">
      <w:pPr>
        <w:spacing w:line="480" w:lineRule="auto"/>
        <w:rPr>
          <w:szCs w:val="22"/>
        </w:rPr>
      </w:pPr>
      <w:r w:rsidRPr="000343F3">
        <w:rPr>
          <w:szCs w:val="22"/>
        </w:rPr>
        <w:t xml:space="preserve">            </w:t>
      </w:r>
      <w:r w:rsidRPr="000343F3">
        <w:rPr>
          <w:b/>
          <w:bCs/>
          <w:szCs w:val="22"/>
        </w:rPr>
        <w:t>I.</w:t>
      </w:r>
      <w:r w:rsidRPr="000343F3">
        <w:rPr>
          <w:szCs w:val="22"/>
        </w:rPr>
        <w:t xml:space="preserve"> The demographic shift significantly contributes to a change in current account balance through a change in the aggregate saving level, more explicitly, a shock in the ratio of prime-aged savers, and a positive shock in old-age dependency ratio should lead to or associate with an improve, and a worsening in the current account balance, respectively. </w:t>
      </w:r>
    </w:p>
    <w:p w14:paraId="761F8DF4" w14:textId="517C5C36" w:rsidR="00A556D5" w:rsidRDefault="000343F3" w:rsidP="00A556D5">
      <w:pPr>
        <w:spacing w:line="480" w:lineRule="auto"/>
        <w:ind w:firstLine="720"/>
        <w:rPr>
          <w:szCs w:val="22"/>
        </w:rPr>
      </w:pPr>
      <w:r w:rsidRPr="000343F3">
        <w:rPr>
          <w:b/>
          <w:bCs/>
          <w:szCs w:val="22"/>
        </w:rPr>
        <w:t>II.</w:t>
      </w:r>
      <w:r w:rsidRPr="000343F3">
        <w:rPr>
          <w:szCs w:val="22"/>
        </w:rPr>
        <w:t xml:space="preserve"> The relationship in I. should be </w:t>
      </w:r>
      <w:r w:rsidR="00A556D5" w:rsidRPr="00531D14">
        <w:rPr>
          <w:i/>
          <w:iCs/>
          <w:szCs w:val="22"/>
        </w:rPr>
        <w:t>stronger</w:t>
      </w:r>
      <w:r w:rsidRPr="000343F3">
        <w:rPr>
          <w:szCs w:val="22"/>
        </w:rPr>
        <w:t xml:space="preserve"> in the sub-group classified by (or when interacted by) </w:t>
      </w:r>
      <w:r w:rsidR="00A556D5" w:rsidRPr="00531D14">
        <w:rPr>
          <w:i/>
          <w:iCs/>
          <w:szCs w:val="22"/>
        </w:rPr>
        <w:t xml:space="preserve">higher </w:t>
      </w:r>
      <w:r w:rsidRPr="000343F3">
        <w:rPr>
          <w:szCs w:val="22"/>
        </w:rPr>
        <w:t>degrees of</w:t>
      </w:r>
      <w:r w:rsidR="00A556D5">
        <w:rPr>
          <w:szCs w:val="22"/>
        </w:rPr>
        <w:t xml:space="preserve"> longevity</w:t>
      </w:r>
      <w:r w:rsidR="00531D14">
        <w:rPr>
          <w:szCs w:val="22"/>
        </w:rPr>
        <w:t xml:space="preserve">, </w:t>
      </w:r>
      <w:r w:rsidR="00A556D5">
        <w:rPr>
          <w:szCs w:val="22"/>
        </w:rPr>
        <w:t>development of social security system</w:t>
      </w:r>
      <w:r w:rsidR="00531D14">
        <w:rPr>
          <w:szCs w:val="22"/>
        </w:rPr>
        <w:t xml:space="preserve"> </w:t>
      </w:r>
      <w:r w:rsidR="00A556D5">
        <w:rPr>
          <w:szCs w:val="22"/>
        </w:rPr>
        <w:t>financial openness</w:t>
      </w:r>
      <w:r w:rsidRPr="000343F3">
        <w:rPr>
          <w:szCs w:val="22"/>
        </w:rPr>
        <w:t>,</w:t>
      </w:r>
      <w:r w:rsidR="00531D14">
        <w:rPr>
          <w:szCs w:val="22"/>
        </w:rPr>
        <w:t xml:space="preserve"> and</w:t>
      </w:r>
      <w:r w:rsidRPr="000343F3">
        <w:rPr>
          <w:szCs w:val="22"/>
        </w:rPr>
        <w:t xml:space="preserve"> </w:t>
      </w:r>
      <w:r w:rsidR="00A556D5" w:rsidRPr="000343F3">
        <w:rPr>
          <w:szCs w:val="22"/>
        </w:rPr>
        <w:t xml:space="preserve">financial </w:t>
      </w:r>
      <w:r w:rsidR="00531D14">
        <w:rPr>
          <w:szCs w:val="22"/>
        </w:rPr>
        <w:t xml:space="preserve">market </w:t>
      </w:r>
      <w:r w:rsidR="00A556D5">
        <w:rPr>
          <w:szCs w:val="22"/>
        </w:rPr>
        <w:t>developmen</w:t>
      </w:r>
      <w:r w:rsidR="00531D14">
        <w:rPr>
          <w:szCs w:val="22"/>
        </w:rPr>
        <w:t>t.</w:t>
      </w:r>
      <w:r w:rsidRPr="000343F3">
        <w:rPr>
          <w:szCs w:val="22"/>
        </w:rPr>
        <w:t xml:space="preserve"> </w:t>
      </w:r>
    </w:p>
    <w:p w14:paraId="5719560B" w14:textId="0E83A449" w:rsidR="000343F3" w:rsidRPr="002D468A" w:rsidRDefault="000343F3" w:rsidP="002D468A">
      <w:pPr>
        <w:spacing w:line="480" w:lineRule="auto"/>
        <w:ind w:firstLine="720"/>
        <w:rPr>
          <w:szCs w:val="22"/>
        </w:rPr>
      </w:pPr>
      <w:r w:rsidRPr="000343F3">
        <w:rPr>
          <w:szCs w:val="22"/>
        </w:rPr>
        <w:t>The result from II. will give us an insight into the outlook of Asian countries trade surpluses soon where the society is aged. For example, with the United Nation’s population projections, the trend of current account balances can be projected according to the estimated results.</w:t>
      </w:r>
      <w:r w:rsidR="00763695">
        <w:rPr>
          <w:szCs w:val="22"/>
        </w:rPr>
        <w:t xml:space="preserve"> </w:t>
      </w:r>
      <w:r w:rsidR="002D468A">
        <w:rPr>
          <w:szCs w:val="22"/>
        </w:rPr>
        <w:t xml:space="preserve">This method of projections differs from other current studies that instead of projecting based on each individual country, this study employs panel data of several countries with the similar characteristics as the targeted country. The inclusion of other countries in the projection has an advantage that it allows the prior experience of other countries, for example, Asian countries have not faced a decline in working age population while those European counterparts </w:t>
      </w:r>
      <w:r w:rsidR="002D468A">
        <w:rPr>
          <w:szCs w:val="22"/>
        </w:rPr>
        <w:lastRenderedPageBreak/>
        <w:t xml:space="preserve">have already seen it, to inform how the targeted country reacts to the demographic shifts given that the countries included in the panel have similar key characteristics to the targeted country.  </w:t>
      </w:r>
    </w:p>
    <w:p w14:paraId="68F514E5" w14:textId="77777777" w:rsidR="000343F3" w:rsidRPr="002D468A" w:rsidRDefault="000343F3" w:rsidP="00466AC0">
      <w:pPr>
        <w:spacing w:line="480" w:lineRule="auto"/>
        <w:rPr>
          <w:sz w:val="28"/>
          <w:szCs w:val="28"/>
        </w:rPr>
      </w:pPr>
    </w:p>
    <w:p w14:paraId="4018CDE6" w14:textId="68E366DB" w:rsidR="00EA3E2A" w:rsidRPr="002D468A" w:rsidRDefault="00A556D5" w:rsidP="00466AC0">
      <w:pPr>
        <w:spacing w:line="480" w:lineRule="auto"/>
        <w:rPr>
          <w:b/>
          <w:bCs/>
          <w:sz w:val="28"/>
          <w:szCs w:val="28"/>
        </w:rPr>
      </w:pPr>
      <w:r w:rsidRPr="002D468A">
        <w:rPr>
          <w:b/>
          <w:bCs/>
          <w:sz w:val="28"/>
          <w:szCs w:val="28"/>
        </w:rPr>
        <w:t>I</w:t>
      </w:r>
      <w:r w:rsidR="002D468A" w:rsidRPr="002D468A">
        <w:rPr>
          <w:b/>
          <w:bCs/>
          <w:sz w:val="28"/>
          <w:szCs w:val="28"/>
        </w:rPr>
        <w:t>V</w:t>
      </w:r>
      <w:r w:rsidR="00EA3E2A" w:rsidRPr="002D468A">
        <w:rPr>
          <w:b/>
          <w:bCs/>
          <w:sz w:val="28"/>
          <w:szCs w:val="28"/>
        </w:rPr>
        <w:t xml:space="preserve">. Data </w:t>
      </w:r>
    </w:p>
    <w:p w14:paraId="3BB93F76" w14:textId="3C8D5F45" w:rsidR="00A556D5" w:rsidRDefault="0090634E" w:rsidP="0090634E">
      <w:pPr>
        <w:spacing w:line="480" w:lineRule="auto"/>
        <w:rPr>
          <w:i/>
          <w:iCs/>
        </w:rPr>
      </w:pPr>
      <w:r>
        <w:rPr>
          <w:i/>
          <w:iCs/>
        </w:rPr>
        <w:t xml:space="preserve">A. </w:t>
      </w:r>
      <w:r w:rsidR="00A556D5">
        <w:rPr>
          <w:i/>
          <w:iCs/>
        </w:rPr>
        <w:t>Main Variables</w:t>
      </w:r>
    </w:p>
    <w:p w14:paraId="11A0F373" w14:textId="59ED4160" w:rsidR="00F4208C" w:rsidRDefault="00A556D5" w:rsidP="00A556D5">
      <w:pPr>
        <w:spacing w:line="480" w:lineRule="auto"/>
      </w:pPr>
      <w:r>
        <w:tab/>
        <w:t>In this study, the main variables are demographic variables (prime-age savers population</w:t>
      </w:r>
      <w:r w:rsidR="00F4208C">
        <w:t xml:space="preserve"> and</w:t>
      </w:r>
      <w:r>
        <w:t xml:space="preserve"> old dependency ratio</w:t>
      </w:r>
      <w:r w:rsidR="00F4208C">
        <w:t>), aggregate saving rate, and current account balance. There are also other potential variables to be included in the model for a more robust result such as GDP,</w:t>
      </w:r>
      <w:r w:rsidR="0087713E">
        <w:t xml:space="preserve"> investment, inflation,</w:t>
      </w:r>
      <w:r w:rsidR="00F4208C">
        <w:t xml:space="preserve"> real interest rate, and nominal exchange rates. These variables are</w:t>
      </w:r>
      <w:r w:rsidR="000343F3" w:rsidRPr="000343F3">
        <w:t xml:space="preserve"> publicly available via the World Bank’s World Development Indicators (WDI). </w:t>
      </w:r>
      <w:r w:rsidR="00F4208C">
        <w:t>Data for all countries</w:t>
      </w:r>
      <w:r w:rsidR="00650984">
        <w:t xml:space="preserve"> (the coverage of countries can be found in table 4, note that the table represents the raw data before cleaning)</w:t>
      </w:r>
      <w:r w:rsidR="00DB537C">
        <w:t xml:space="preserve">. This study employs annual data as opposed to quarterly data since variations in demography cannot be captured on quarterly basis, and the face that annual data is more complete than the quarterly data. The </w:t>
      </w:r>
      <w:r w:rsidR="00F4208C">
        <w:t xml:space="preserve">sample </w:t>
      </w:r>
      <w:r w:rsidR="00DB537C">
        <w:t xml:space="preserve">panel data is </w:t>
      </w:r>
      <w:r w:rsidR="00F4208C">
        <w:t>from 19</w:t>
      </w:r>
      <w:r w:rsidR="00DB537C">
        <w:t xml:space="preserve">69 </w:t>
      </w:r>
      <w:r w:rsidR="00F4208C">
        <w:t xml:space="preserve">to 2018, </w:t>
      </w:r>
      <w:r w:rsidR="00DB537C">
        <w:t>a 50-year perio</w:t>
      </w:r>
      <w:r w:rsidR="0090634E">
        <w:t>d, with all 183 countries in the WDI database. The countries are to be dropped if its series of data is not sufficiently long or that it consists of missing period. This is</w:t>
      </w:r>
      <w:r w:rsidR="00F4208C">
        <w:t xml:space="preserve"> to have as large sample as technically possible to preserve variations in demography because later those countries will be divided into sub-groups, and the variations are expected to be smaller. </w:t>
      </w:r>
    </w:p>
    <w:p w14:paraId="10BAEF8A" w14:textId="4F698009" w:rsidR="009863C7" w:rsidRDefault="009863C7" w:rsidP="00A556D5">
      <w:pPr>
        <w:spacing w:line="480" w:lineRule="auto"/>
      </w:pPr>
      <w:r>
        <w:tab/>
        <w:t>The summary of variables used in this study can be found in the table 1, and summary statistics can be found in the table 2. The pair-wise correlation is shown in the table 3 noticing that age dependency</w:t>
      </w:r>
      <w:r w:rsidR="0039552A">
        <w:t xml:space="preserve"> and young dependency ratio are negatively correlated with the current account balance. The prime-age saver population (16 – 64 years old as a percentage of total population) is positively correlated with the current account balance. The old dependency ratio </w:t>
      </w:r>
      <w:r w:rsidR="0039552A">
        <w:lastRenderedPageBreak/>
        <w:t>and the current account balance exhibit a slightly positive relationship which is contradict to the theory. This may be because old dependency ratio is generally low in the Sub Saharan African (SSA) region where most of the countries have current account deficit. The pattern of current account balance depends substantially on the stage of industrial development and therefore, the countries’ income will be control in the estimation. The scatter plot of old dependency ratio, prime age savers, and current account balances can be found in the figure 3 and 4, respectively. It can be observed that with no control variables</w:t>
      </w:r>
      <w:r w:rsidR="00820812">
        <w:t>, the relationship is ambiguous on the scatter plots and the variation in demography only rises after 2000.</w:t>
      </w:r>
    </w:p>
    <w:p w14:paraId="5F4FE09C" w14:textId="5A4ED6B4" w:rsidR="00F4208C" w:rsidRDefault="00F4208C" w:rsidP="00A556D5">
      <w:pPr>
        <w:spacing w:line="480" w:lineRule="auto"/>
      </w:pPr>
    </w:p>
    <w:p w14:paraId="1D8F944E" w14:textId="208FD0C0" w:rsidR="00F4208C" w:rsidRPr="00F4208C" w:rsidRDefault="0090634E" w:rsidP="00A556D5">
      <w:pPr>
        <w:spacing w:line="480" w:lineRule="auto"/>
        <w:rPr>
          <w:i/>
          <w:iCs/>
        </w:rPr>
      </w:pPr>
      <w:r>
        <w:rPr>
          <w:i/>
          <w:iCs/>
        </w:rPr>
        <w:t xml:space="preserve">B. </w:t>
      </w:r>
      <w:r w:rsidR="00BB66FF">
        <w:rPr>
          <w:i/>
          <w:iCs/>
        </w:rPr>
        <w:t xml:space="preserve">Control </w:t>
      </w:r>
      <w:r w:rsidR="00F4208C">
        <w:rPr>
          <w:i/>
          <w:iCs/>
        </w:rPr>
        <w:t xml:space="preserve">Variables to account for Heterogeneity </w:t>
      </w:r>
    </w:p>
    <w:p w14:paraId="4A631D7E" w14:textId="77777777" w:rsidR="00214B02" w:rsidRDefault="00820812" w:rsidP="00466AC0">
      <w:pPr>
        <w:spacing w:line="480" w:lineRule="auto"/>
      </w:pPr>
      <w:r>
        <w:tab/>
      </w:r>
      <w:r w:rsidR="00D63ACD">
        <w:t xml:space="preserve">The control variables are </w:t>
      </w:r>
      <w:r w:rsidR="005E6521">
        <w:t xml:space="preserve">used for characterizing countries in 4 aspects. The summary of variables used in this study can be found in the table 1, and summary statistics can be found in the table 2.  </w:t>
      </w:r>
      <w:r w:rsidR="005E6521">
        <w:tab/>
      </w:r>
      <w:r w:rsidR="005E6521">
        <w:tab/>
      </w:r>
      <w:r w:rsidR="005E6521">
        <w:tab/>
      </w:r>
    </w:p>
    <w:p w14:paraId="03257D81" w14:textId="21C782AA" w:rsidR="005E6521" w:rsidRPr="005E6521" w:rsidRDefault="005E6521" w:rsidP="00214B02">
      <w:pPr>
        <w:spacing w:line="480" w:lineRule="auto"/>
        <w:ind w:firstLine="720"/>
      </w:pPr>
      <w:r>
        <w:rPr>
          <w:i/>
          <w:iCs/>
        </w:rPr>
        <w:t xml:space="preserve">Longevity – </w:t>
      </w:r>
      <w:r>
        <w:t xml:space="preserve">The life expectancy at birth is available for every countries and time periods in this study, this panel is obtained from the WDI. </w:t>
      </w:r>
      <w:r>
        <w:tab/>
      </w:r>
      <w:r>
        <w:tab/>
      </w:r>
      <w:r>
        <w:tab/>
      </w:r>
      <w:r>
        <w:tab/>
      </w:r>
      <w:r>
        <w:tab/>
      </w:r>
      <w:r>
        <w:tab/>
      </w:r>
      <w:r>
        <w:tab/>
      </w:r>
      <w:r>
        <w:tab/>
      </w:r>
      <w:r>
        <w:rPr>
          <w:i/>
          <w:iCs/>
        </w:rPr>
        <w:t xml:space="preserve">Pension System </w:t>
      </w:r>
      <w:r>
        <w:t xml:space="preserve">– Tentatively, the coverage of social security (% of total population) will be used to assess country’s development of pension system. The data is obtained from The World Bank’s </w:t>
      </w:r>
      <w:r w:rsidRPr="005E6521">
        <w:t>the Atlas of Social Protection</w:t>
      </w:r>
      <w:r>
        <w:t xml:space="preserve"> and is aggregated from household surveys. The data only available for 2 – 3 observations per country. </w:t>
      </w:r>
      <w:r>
        <w:tab/>
      </w:r>
      <w:r>
        <w:tab/>
      </w:r>
      <w:r>
        <w:tab/>
      </w:r>
      <w:r>
        <w:tab/>
      </w:r>
      <w:r>
        <w:tab/>
      </w:r>
      <w:r>
        <w:tab/>
      </w:r>
      <w:r>
        <w:tab/>
      </w:r>
      <w:r>
        <w:tab/>
      </w:r>
      <w:r>
        <w:rPr>
          <w:i/>
          <w:iCs/>
        </w:rPr>
        <w:t xml:space="preserve">Financial Openness – </w:t>
      </w:r>
      <w:r>
        <w:t xml:space="preserve">The Ito-Chinn Index of Financial Openness will be used. The data is roughly cover one-third of the </w:t>
      </w:r>
      <w:r w:rsidRPr="00ED3DA6">
        <w:t xml:space="preserve">total observations in the main variables. </w:t>
      </w:r>
      <w:r w:rsidR="00E042E6" w:rsidRPr="00ED3DA6">
        <w:t xml:space="preserve">The alternative </w:t>
      </w:r>
      <w:r w:rsidR="00504DBD" w:rsidRPr="00ED3DA6">
        <w:t>measurement of Financial Openness is Wang-Jahan Capital Account Openness Index (Wang &amp; Jahan, 2016) and will be used to those two indices deviate significantly</w:t>
      </w:r>
      <w:r w:rsidR="00504DBD">
        <w:t>.</w:t>
      </w:r>
      <w:r>
        <w:tab/>
      </w:r>
      <w:r>
        <w:tab/>
      </w:r>
      <w:r>
        <w:tab/>
      </w:r>
      <w:r>
        <w:lastRenderedPageBreak/>
        <w:tab/>
      </w:r>
      <w:r>
        <w:rPr>
          <w:i/>
          <w:iCs/>
        </w:rPr>
        <w:t>Financial Development</w:t>
      </w:r>
      <w:r>
        <w:t xml:space="preserve"> – The financial deepening variable (M2 to GDP) will be used as a proxy to assessed country’s financial development because the data is largely available for the most of observations in the main variables. </w:t>
      </w:r>
      <w:r w:rsidR="00504DBD">
        <w:t>The control for money demand can be achieved through including the real interest rates into the system in the extended PVAR models.</w:t>
      </w:r>
    </w:p>
    <w:p w14:paraId="6FA8A891" w14:textId="77777777" w:rsidR="006E2DCF" w:rsidRDefault="006E2DCF" w:rsidP="00466AC0">
      <w:pPr>
        <w:spacing w:line="480" w:lineRule="auto"/>
      </w:pPr>
    </w:p>
    <w:p w14:paraId="786081DD" w14:textId="6620BB66" w:rsidR="001A2C94" w:rsidRPr="00504DBD" w:rsidRDefault="003253EA" w:rsidP="00466AC0">
      <w:pPr>
        <w:spacing w:line="480" w:lineRule="auto"/>
        <w:rPr>
          <w:b/>
          <w:bCs/>
          <w:sz w:val="28"/>
          <w:szCs w:val="28"/>
        </w:rPr>
      </w:pPr>
      <w:r w:rsidRPr="00504DBD">
        <w:rPr>
          <w:b/>
          <w:bCs/>
          <w:sz w:val="28"/>
          <w:szCs w:val="28"/>
        </w:rPr>
        <w:t xml:space="preserve">V. </w:t>
      </w:r>
      <w:r w:rsidR="001A2C94" w:rsidRPr="00504DBD">
        <w:rPr>
          <w:b/>
          <w:bCs/>
          <w:sz w:val="28"/>
          <w:szCs w:val="28"/>
        </w:rPr>
        <w:t xml:space="preserve">Empirical Strategy  </w:t>
      </w:r>
    </w:p>
    <w:p w14:paraId="44A7C088" w14:textId="3045ED95" w:rsidR="003253EA" w:rsidRPr="003253EA" w:rsidRDefault="00504DBD" w:rsidP="00504DBD">
      <w:pPr>
        <w:spacing w:line="480" w:lineRule="auto"/>
        <w:rPr>
          <w:i/>
          <w:iCs/>
        </w:rPr>
      </w:pPr>
      <w:r>
        <w:rPr>
          <w:i/>
          <w:iCs/>
        </w:rPr>
        <w:t xml:space="preserve">A. </w:t>
      </w:r>
      <w:r w:rsidR="00492888">
        <w:rPr>
          <w:i/>
          <w:iCs/>
        </w:rPr>
        <w:t>The Dynamic System</w:t>
      </w:r>
      <w:r>
        <w:rPr>
          <w:i/>
          <w:iCs/>
        </w:rPr>
        <w:t>: The PVAR Model</w:t>
      </w:r>
    </w:p>
    <w:p w14:paraId="64F80B0A" w14:textId="7F50E99C" w:rsidR="00266EB1" w:rsidRPr="002B3CEC" w:rsidRDefault="001A2C94" w:rsidP="002B3CEC">
      <w:pPr>
        <w:spacing w:line="480" w:lineRule="auto"/>
        <w:rPr>
          <w:szCs w:val="22"/>
        </w:rPr>
      </w:pPr>
      <w:r w:rsidRPr="000343F3">
        <w:rPr>
          <w:szCs w:val="22"/>
        </w:rPr>
        <w:tab/>
      </w:r>
      <w:r w:rsidR="000343F3" w:rsidRPr="000343F3">
        <w:rPr>
          <w:szCs w:val="22"/>
        </w:rPr>
        <w:t xml:space="preserve">The past studies either employed theoretical-driven technique by constructing a macroeconomic model then use actual data to calibrate and simulate the result or the data-driven technique by panel data models. Each technique has some limitations, for the theoretical approach, the relationship is pre-determined and can sometimes not relevant to the actual data. For panel models, identification can be a potential problem such as the channel to which demographic influences the current account. </w:t>
      </w:r>
      <w:r w:rsidR="003253EA">
        <w:rPr>
          <w:szCs w:val="22"/>
        </w:rPr>
        <w:t>The econometric model of this study follows the technique employed by</w:t>
      </w:r>
      <w:r w:rsidR="003253EA" w:rsidRPr="003253EA">
        <w:rPr>
          <w:szCs w:val="22"/>
        </w:rPr>
        <w:t xml:space="preserve"> </w:t>
      </w:r>
      <w:r w:rsidR="003253EA" w:rsidRPr="000343F3">
        <w:rPr>
          <w:szCs w:val="22"/>
        </w:rPr>
        <w:t>Kim and Lee (2007)</w:t>
      </w:r>
      <w:r w:rsidR="003253EA">
        <w:rPr>
          <w:szCs w:val="22"/>
        </w:rPr>
        <w:t xml:space="preserve">. </w:t>
      </w:r>
      <w:r w:rsidR="003253EA" w:rsidRPr="000343F3">
        <w:rPr>
          <w:szCs w:val="22"/>
        </w:rPr>
        <w:t>According</w:t>
      </w:r>
      <w:r w:rsidR="003253EA">
        <w:rPr>
          <w:szCs w:val="22"/>
        </w:rPr>
        <w:t xml:space="preserve"> to them, in order t</w:t>
      </w:r>
      <w:r w:rsidR="000343F3" w:rsidRPr="000343F3">
        <w:rPr>
          <w:szCs w:val="22"/>
        </w:rPr>
        <w:t>o strike the balance between the two methods, the dynamic panel data will be employed</w:t>
      </w:r>
      <w:r w:rsidR="003253EA">
        <w:rPr>
          <w:szCs w:val="22"/>
        </w:rPr>
        <w:t>.</w:t>
      </w:r>
      <w:r w:rsidR="000343F3" w:rsidRPr="000343F3">
        <w:rPr>
          <w:szCs w:val="22"/>
        </w:rPr>
        <w:t xml:space="preserve"> </w:t>
      </w:r>
      <w:r w:rsidR="003253EA">
        <w:rPr>
          <w:szCs w:val="22"/>
        </w:rPr>
        <w:t>T</w:t>
      </w:r>
      <w:r w:rsidR="000343F3" w:rsidRPr="000343F3">
        <w:rPr>
          <w:szCs w:val="22"/>
        </w:rPr>
        <w:t>his approach allows us to use large panel data to gauge the relationship between demographic changes and the current account balance while preserving a dynamic aspect of the relationship.</w:t>
      </w:r>
    </w:p>
    <w:p w14:paraId="3ED5B3E4" w14:textId="1C817F48" w:rsidR="00504DBD" w:rsidRDefault="00266EB1" w:rsidP="000343F3">
      <w:pPr>
        <w:spacing w:line="480" w:lineRule="auto"/>
        <w:rPr>
          <w:szCs w:val="22"/>
        </w:rPr>
      </w:pPr>
      <w:r>
        <w:rPr>
          <w:szCs w:val="22"/>
        </w:rPr>
        <w:tab/>
        <w:t xml:space="preserve">For the baseline PVAR model, the endogenous variables in the system are current account as a percentage of GDP, gross savings minus gross fixed capital formation as a percentage of GDP, and prime savers (age 45 – 64) as a percentage of total population. </w:t>
      </w:r>
      <w:r w:rsidR="0003085A">
        <w:rPr>
          <w:szCs w:val="22"/>
        </w:rPr>
        <w:t xml:space="preserve">The estimation is based on all the data points in the 49-year period for 183 countries in order to allow for variations in the demographic macroeconomic characteristics. The problem from incorporating all possible data points is that the panel is highly unbalanced with large number of </w:t>
      </w:r>
      <w:r w:rsidR="0003085A">
        <w:rPr>
          <w:szCs w:val="22"/>
        </w:rPr>
        <w:lastRenderedPageBreak/>
        <w:t xml:space="preserve">countries (N) but </w:t>
      </w:r>
      <w:r w:rsidR="0003085A" w:rsidRPr="00ED3DA6">
        <w:rPr>
          <w:szCs w:val="22"/>
        </w:rPr>
        <w:t xml:space="preserve">small number of time periods (T) and the option for empirical strategy is therefore limited. The pre-estimation process includes </w:t>
      </w:r>
      <w:proofErr w:type="spellStart"/>
      <w:r w:rsidR="0003085A" w:rsidRPr="00ED3DA6">
        <w:rPr>
          <w:szCs w:val="22"/>
        </w:rPr>
        <w:t>Im</w:t>
      </w:r>
      <w:proofErr w:type="spellEnd"/>
      <w:r w:rsidR="0003085A" w:rsidRPr="00ED3DA6">
        <w:rPr>
          <w:szCs w:val="22"/>
        </w:rPr>
        <w:t>–</w:t>
      </w:r>
      <w:proofErr w:type="spellStart"/>
      <w:r w:rsidR="0003085A" w:rsidRPr="00ED3DA6">
        <w:rPr>
          <w:szCs w:val="22"/>
        </w:rPr>
        <w:t>Pesaran</w:t>
      </w:r>
      <w:proofErr w:type="spellEnd"/>
      <w:r w:rsidR="0003085A" w:rsidRPr="00ED3DA6">
        <w:rPr>
          <w:szCs w:val="22"/>
        </w:rPr>
        <w:t xml:space="preserve">–Shin panel unit root test </w:t>
      </w:r>
      <w:r w:rsidR="00C66A0C" w:rsidRPr="00ED3DA6">
        <w:rPr>
          <w:szCs w:val="22"/>
        </w:rPr>
        <w:t>(</w:t>
      </w:r>
      <w:proofErr w:type="spellStart"/>
      <w:r w:rsidR="00C66A0C" w:rsidRPr="00ED3DA6">
        <w:rPr>
          <w:szCs w:val="22"/>
        </w:rPr>
        <w:t>Im</w:t>
      </w:r>
      <w:proofErr w:type="spellEnd"/>
      <w:r w:rsidR="00C66A0C" w:rsidRPr="00ED3DA6">
        <w:rPr>
          <w:szCs w:val="22"/>
        </w:rPr>
        <w:t xml:space="preserve">, </w:t>
      </w:r>
      <w:proofErr w:type="spellStart"/>
      <w:r w:rsidR="00C66A0C" w:rsidRPr="00ED3DA6">
        <w:rPr>
          <w:szCs w:val="22"/>
        </w:rPr>
        <w:t>Pesaran</w:t>
      </w:r>
      <w:proofErr w:type="spellEnd"/>
      <w:r w:rsidR="00C66A0C" w:rsidRPr="00ED3DA6">
        <w:rPr>
          <w:szCs w:val="22"/>
        </w:rPr>
        <w:t xml:space="preserve">, &amp; Shin, 2003) </w:t>
      </w:r>
      <w:r w:rsidR="0003085A" w:rsidRPr="00ED3DA6">
        <w:rPr>
          <w:szCs w:val="22"/>
        </w:rPr>
        <w:t>to determine whether the variables</w:t>
      </w:r>
      <w:r w:rsidR="0003085A">
        <w:rPr>
          <w:szCs w:val="22"/>
        </w:rPr>
        <w:t xml:space="preserve"> are stationary</w:t>
      </w:r>
      <w:r w:rsidR="00002634">
        <w:rPr>
          <w:szCs w:val="22"/>
        </w:rPr>
        <w:t xml:space="preserve">, and the result suggests that only prime saver variable is not stationary at level. The next natural step is to test for panel cointegration but since the panel is highly unbalanced, the </w:t>
      </w:r>
      <w:proofErr w:type="spellStart"/>
      <w:r w:rsidR="00002634" w:rsidRPr="0003085A">
        <w:rPr>
          <w:szCs w:val="22"/>
        </w:rPr>
        <w:t>Im</w:t>
      </w:r>
      <w:proofErr w:type="spellEnd"/>
      <w:r w:rsidR="00002634" w:rsidRPr="0003085A">
        <w:rPr>
          <w:szCs w:val="22"/>
        </w:rPr>
        <w:t>–</w:t>
      </w:r>
      <w:proofErr w:type="spellStart"/>
      <w:r w:rsidR="00002634" w:rsidRPr="0003085A">
        <w:rPr>
          <w:szCs w:val="22"/>
        </w:rPr>
        <w:t>Pesaran</w:t>
      </w:r>
      <w:proofErr w:type="spellEnd"/>
      <w:r w:rsidR="00002634" w:rsidRPr="0003085A">
        <w:rPr>
          <w:szCs w:val="22"/>
        </w:rPr>
        <w:t>–Shin</w:t>
      </w:r>
      <w:r w:rsidR="00002634">
        <w:rPr>
          <w:szCs w:val="22"/>
        </w:rPr>
        <w:t xml:space="preserve"> panel is not likely to detect any cointegration, and the results con</w:t>
      </w:r>
      <w:r w:rsidR="008E4980">
        <w:rPr>
          <w:szCs w:val="22"/>
        </w:rPr>
        <w:t>firm that there is no cointegration. The most straightforward method for dealing with the non-stationary is to take the first difference, however, the loss in data points from first difference is significant because of the missing period</w:t>
      </w:r>
      <w:r w:rsidR="0024375A">
        <w:rPr>
          <w:szCs w:val="22"/>
        </w:rPr>
        <w:t xml:space="preserve"> within the same countr</w:t>
      </w:r>
      <w:r w:rsidR="0079373E">
        <w:rPr>
          <w:szCs w:val="22"/>
        </w:rPr>
        <w:t>y</w:t>
      </w:r>
      <w:r w:rsidR="008E4980">
        <w:rPr>
          <w:szCs w:val="22"/>
        </w:rPr>
        <w:t xml:space="preserve">. </w:t>
      </w:r>
      <w:r w:rsidR="0079373E">
        <w:rPr>
          <w:szCs w:val="22"/>
        </w:rPr>
        <w:t xml:space="preserve">Instead of the first difference method, </w:t>
      </w:r>
      <w:r w:rsidR="009F03AB">
        <w:rPr>
          <w:szCs w:val="22"/>
        </w:rPr>
        <w:t xml:space="preserve">the forward orthogonal deviation </w:t>
      </w:r>
      <w:r w:rsidR="00214B02">
        <w:rPr>
          <w:noProof/>
          <w:position w:val="-24"/>
        </w:rPr>
        <w:drawing>
          <wp:anchor distT="0" distB="0" distL="114300" distR="114300" simplePos="0" relativeHeight="251661312" behindDoc="0" locked="0" layoutInCell="1" allowOverlap="1" wp14:anchorId="5C40AFBE" wp14:editId="1CF74F9A">
            <wp:simplePos x="0" y="0"/>
            <wp:positionH relativeFrom="column">
              <wp:posOffset>2057400</wp:posOffset>
            </wp:positionH>
            <wp:positionV relativeFrom="paragraph">
              <wp:posOffset>3505200</wp:posOffset>
            </wp:positionV>
            <wp:extent cx="1778000" cy="6178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617855"/>
                    </a:xfrm>
                    <a:prstGeom prst="rect">
                      <a:avLst/>
                    </a:prstGeom>
                    <a:noFill/>
                    <a:ln>
                      <a:noFill/>
                    </a:ln>
                  </pic:spPr>
                </pic:pic>
              </a:graphicData>
            </a:graphic>
          </wp:anchor>
        </w:drawing>
      </w:r>
      <w:r w:rsidR="00136215">
        <w:rPr>
          <w:szCs w:val="22"/>
        </w:rPr>
        <w:t>(</w:t>
      </w:r>
      <w:r w:rsidR="00C66A0C">
        <w:rPr>
          <w:szCs w:val="22"/>
        </w:rPr>
        <w:t>F</w:t>
      </w:r>
      <w:r w:rsidR="00CF52F9">
        <w:rPr>
          <w:szCs w:val="22"/>
        </w:rPr>
        <w:t>OD</w:t>
      </w:r>
      <w:r w:rsidR="00136215">
        <w:rPr>
          <w:szCs w:val="22"/>
        </w:rPr>
        <w:t xml:space="preserve">) </w:t>
      </w:r>
      <w:r w:rsidR="009F03AB">
        <w:rPr>
          <w:szCs w:val="22"/>
        </w:rPr>
        <w:t xml:space="preserve">transformation developed by </w:t>
      </w:r>
      <w:r w:rsidR="009F03AB" w:rsidRPr="00E20873">
        <w:rPr>
          <w:szCs w:val="22"/>
        </w:rPr>
        <w:t xml:space="preserve">Arellano and </w:t>
      </w:r>
      <w:proofErr w:type="spellStart"/>
      <w:r w:rsidR="009F03AB" w:rsidRPr="00E20873">
        <w:rPr>
          <w:szCs w:val="22"/>
        </w:rPr>
        <w:t>Bover</w:t>
      </w:r>
      <w:proofErr w:type="spellEnd"/>
      <w:r w:rsidR="009F03AB" w:rsidRPr="00E20873">
        <w:rPr>
          <w:szCs w:val="22"/>
        </w:rPr>
        <w:t xml:space="preserve"> (1995)</w:t>
      </w:r>
      <w:r w:rsidR="00136215" w:rsidRPr="00E20873">
        <w:rPr>
          <w:szCs w:val="22"/>
        </w:rPr>
        <w:t>. The</w:t>
      </w:r>
      <w:r w:rsidR="00136215">
        <w:rPr>
          <w:szCs w:val="22"/>
        </w:rPr>
        <w:t xml:space="preserve"> transformation is given by</w:t>
      </w:r>
    </w:p>
    <w:p w14:paraId="2EAAECE7" w14:textId="2D8AEFED" w:rsidR="00F0025B" w:rsidRDefault="00F0025B" w:rsidP="00F0025B">
      <w:pPr>
        <w:spacing w:line="480" w:lineRule="auto"/>
        <w:jc w:val="right"/>
        <w:rPr>
          <w:szCs w:val="22"/>
        </w:rPr>
      </w:pPr>
    </w:p>
    <w:p w14:paraId="642B1F5F" w14:textId="0E6468FB" w:rsidR="00F0025B" w:rsidRDefault="00F0025B" w:rsidP="00F0025B">
      <w:pPr>
        <w:spacing w:line="480" w:lineRule="auto"/>
        <w:jc w:val="right"/>
        <w:rPr>
          <w:szCs w:val="22"/>
        </w:rPr>
      </w:pPr>
      <w:r>
        <w:rPr>
          <w:szCs w:val="22"/>
        </w:rPr>
        <w:t xml:space="preserve"> (</w:t>
      </w:r>
      <w:r w:rsidR="000C4182">
        <w:rPr>
          <w:szCs w:val="22"/>
        </w:rPr>
        <w:t>2</w:t>
      </w:r>
      <w:r>
        <w:rPr>
          <w:szCs w:val="22"/>
        </w:rPr>
        <w:t>)</w:t>
      </w:r>
    </w:p>
    <w:p w14:paraId="3D1C10CB" w14:textId="77777777" w:rsidR="00504DBD" w:rsidRPr="00504DBD" w:rsidRDefault="00504DBD" w:rsidP="00504DBD">
      <w:pPr>
        <w:spacing w:line="276" w:lineRule="auto"/>
        <w:jc w:val="right"/>
        <w:rPr>
          <w:sz w:val="6"/>
          <w:szCs w:val="4"/>
        </w:rPr>
      </w:pPr>
    </w:p>
    <w:p w14:paraId="6C169465" w14:textId="2420C8BE" w:rsidR="00492888" w:rsidRDefault="00136215" w:rsidP="00504DBD">
      <w:pPr>
        <w:spacing w:line="276" w:lineRule="auto"/>
        <w:ind w:firstLine="720"/>
        <w:rPr>
          <w:szCs w:val="22"/>
        </w:rPr>
      </w:pPr>
      <w:r>
        <w:rPr>
          <w:szCs w:val="22"/>
        </w:rPr>
        <w:t xml:space="preserve">Where </w:t>
      </w:r>
      <w:r w:rsidR="00492888">
        <w:rPr>
          <w:szCs w:val="22"/>
        </w:rPr>
        <w:tab/>
      </w:r>
      <w:r>
        <w:rPr>
          <w:szCs w:val="22"/>
        </w:rPr>
        <w:t>T is the number of forward periods used in the transformation</w:t>
      </w:r>
      <w:r w:rsidR="00492888">
        <w:rPr>
          <w:szCs w:val="22"/>
        </w:rPr>
        <w:tab/>
      </w:r>
      <w:r w:rsidR="00492888">
        <w:rPr>
          <w:szCs w:val="22"/>
        </w:rPr>
        <w:tab/>
      </w:r>
      <w:r w:rsidR="00492888">
        <w:rPr>
          <w:szCs w:val="22"/>
        </w:rPr>
        <w:tab/>
      </w:r>
      <w:r w:rsidR="00492888">
        <w:rPr>
          <w:szCs w:val="22"/>
        </w:rPr>
        <w:tab/>
      </w:r>
      <w:r w:rsidR="00492888">
        <w:rPr>
          <w:szCs w:val="22"/>
        </w:rPr>
        <w:tab/>
        <w:t>y is a data point in the time series</w:t>
      </w:r>
    </w:p>
    <w:p w14:paraId="3632D306" w14:textId="2CC7F73B" w:rsidR="00F0025B" w:rsidRDefault="00492888" w:rsidP="00504DBD">
      <w:pPr>
        <w:tabs>
          <w:tab w:val="left" w:pos="720"/>
          <w:tab w:val="left" w:pos="1440"/>
          <w:tab w:val="left" w:pos="2160"/>
          <w:tab w:val="left" w:pos="2880"/>
          <w:tab w:val="left" w:pos="3600"/>
          <w:tab w:val="left" w:pos="4320"/>
          <w:tab w:val="left" w:pos="5040"/>
          <w:tab w:val="left" w:pos="6096"/>
        </w:tabs>
        <w:spacing w:line="276" w:lineRule="auto"/>
        <w:ind w:firstLine="720"/>
        <w:rPr>
          <w:szCs w:val="22"/>
        </w:rPr>
      </w:pPr>
      <w:r>
        <w:rPr>
          <w:szCs w:val="22"/>
        </w:rPr>
        <w:tab/>
        <w:t>z is an FOD-</w:t>
      </w:r>
      <w:r w:rsidR="00504DBD">
        <w:rPr>
          <w:szCs w:val="22"/>
        </w:rPr>
        <w:t>transformed</w:t>
      </w:r>
      <w:r>
        <w:rPr>
          <w:szCs w:val="22"/>
        </w:rPr>
        <w:t xml:space="preserve"> instrument for y</w:t>
      </w:r>
      <w:r w:rsidR="006C5385">
        <w:rPr>
          <w:szCs w:val="22"/>
        </w:rPr>
        <w:tab/>
      </w:r>
    </w:p>
    <w:p w14:paraId="05543004" w14:textId="77777777" w:rsidR="006C5385" w:rsidRDefault="006C5385" w:rsidP="006C5385">
      <w:pPr>
        <w:tabs>
          <w:tab w:val="left" w:pos="720"/>
          <w:tab w:val="left" w:pos="1440"/>
          <w:tab w:val="left" w:pos="2160"/>
          <w:tab w:val="left" w:pos="2880"/>
          <w:tab w:val="left" w:pos="3600"/>
          <w:tab w:val="left" w:pos="4320"/>
          <w:tab w:val="left" w:pos="5040"/>
          <w:tab w:val="left" w:pos="6096"/>
        </w:tabs>
        <w:ind w:firstLine="720"/>
        <w:rPr>
          <w:szCs w:val="22"/>
        </w:rPr>
      </w:pPr>
    </w:p>
    <w:p w14:paraId="196C57BA" w14:textId="0FD24BAE" w:rsidR="00894557" w:rsidRDefault="00C66A0C" w:rsidP="00894557">
      <w:pPr>
        <w:spacing w:line="480" w:lineRule="auto"/>
        <w:ind w:firstLine="720"/>
        <w:rPr>
          <w:szCs w:val="22"/>
        </w:rPr>
      </w:pPr>
      <w:r>
        <w:rPr>
          <w:szCs w:val="22"/>
        </w:rPr>
        <w:t>The F</w:t>
      </w:r>
      <w:r w:rsidR="00CF52F9">
        <w:rPr>
          <w:szCs w:val="22"/>
        </w:rPr>
        <w:t>OD</w:t>
      </w:r>
      <w:r>
        <w:rPr>
          <w:szCs w:val="22"/>
        </w:rPr>
        <w:t xml:space="preserve"> transformation helps decrease the loss of data points</w:t>
      </w:r>
      <w:r w:rsidR="006C6DCB">
        <w:rPr>
          <w:szCs w:val="22"/>
        </w:rPr>
        <w:t xml:space="preserve"> and provide a valid and relevant instrument for the variables in the system.</w:t>
      </w:r>
      <w:r w:rsidR="00894557">
        <w:rPr>
          <w:szCs w:val="22"/>
        </w:rPr>
        <w:t xml:space="preserve"> In this case, the period T above is 3 because of the short time series. </w:t>
      </w:r>
      <w:r w:rsidR="006C6DCB">
        <w:rPr>
          <w:szCs w:val="22"/>
        </w:rPr>
        <w:t xml:space="preserve"> </w:t>
      </w:r>
      <w:r w:rsidR="00680C48">
        <w:rPr>
          <w:szCs w:val="22"/>
        </w:rPr>
        <w:t xml:space="preserve">The estimation invokes GMM but with instruments suggested by </w:t>
      </w:r>
      <w:r w:rsidR="00680C48" w:rsidRPr="00E20873">
        <w:rPr>
          <w:szCs w:val="22"/>
        </w:rPr>
        <w:t>Holtz-Eakin, Newey, and Rosen (1988).</w:t>
      </w:r>
      <w:r w:rsidR="00C32D54">
        <w:rPr>
          <w:szCs w:val="22"/>
        </w:rPr>
        <w:t xml:space="preserve"> The lag of PVAR is determined by maximizing the overall coefficient of determination (CD) which indicates the proportion of variations in the variables explained by the model to the total variations. The determined lag is one and this is reasonable given that the panel is unbalanced and a relatively short period of time comparing to the number of countries. With this determined lag, the next step is to test whether the PVAR is stable, i.e., the </w:t>
      </w:r>
      <w:r w:rsidR="00CF52F9">
        <w:rPr>
          <w:szCs w:val="22"/>
        </w:rPr>
        <w:t xml:space="preserve">modulus of unit roots for each equation are strictly less than one. This estimated PVAR is </w:t>
      </w:r>
      <w:r w:rsidR="00CF52F9">
        <w:rPr>
          <w:szCs w:val="22"/>
        </w:rPr>
        <w:lastRenderedPageBreak/>
        <w:t xml:space="preserve">however not stable even after the FOD transformation at any forward periods used. The problematic equation is the prime saver equation as the series is not stationary at the FOD transformation which is equivalent to the first difference.  To cope with the instability, the PVAR then includes GDP per capita as an exogenous variable attached to each equation to control for the stage of development of the countries. The rationale for this control is that GDP per capita and prime savers proportion are strongly correlated with high income countries usually have a higher proportion of prime savers relative to low income countries. The GDP per capita control </w:t>
      </w:r>
      <w:r w:rsidR="00894557">
        <w:rPr>
          <w:szCs w:val="22"/>
        </w:rPr>
        <w:t>makes</w:t>
      </w:r>
      <w:r w:rsidR="00CF52F9">
        <w:rPr>
          <w:szCs w:val="22"/>
        </w:rPr>
        <w:t xml:space="preserve"> the PVAR </w:t>
      </w:r>
      <w:r w:rsidR="00894557">
        <w:rPr>
          <w:szCs w:val="22"/>
        </w:rPr>
        <w:t>stable, and therefore, any further PVAR estimated will employ this specification that is,</w:t>
      </w:r>
    </w:p>
    <w:p w14:paraId="6F05A4D1" w14:textId="7FF51F64" w:rsidR="002B3CEC" w:rsidRPr="00F0025B" w:rsidRDefault="002B3CEC" w:rsidP="002B3CEC">
      <w:pPr>
        <w:spacing w:line="315" w:lineRule="atLeast"/>
        <w:jc w:val="center"/>
        <w:rPr>
          <w:color w:val="000000"/>
          <w:sz w:val="21"/>
          <w:szCs w:val="21"/>
        </w:rPr>
      </w:pPr>
      <w:r>
        <w:rPr>
          <w:rFonts w:ascii="Helvetica" w:hAnsi="Helvetica" w:cs="Helvetica"/>
          <w:noProof/>
          <w:color w:val="000000"/>
          <w:position w:val="-9"/>
          <w:sz w:val="21"/>
          <w:szCs w:val="21"/>
        </w:rPr>
        <w:drawing>
          <wp:anchor distT="0" distB="0" distL="114300" distR="114300" simplePos="0" relativeHeight="251662336" behindDoc="0" locked="0" layoutInCell="1" allowOverlap="1" wp14:anchorId="7EC8969D" wp14:editId="4352D494">
            <wp:simplePos x="0" y="0"/>
            <wp:positionH relativeFrom="column">
              <wp:posOffset>1600200</wp:posOffset>
            </wp:positionH>
            <wp:positionV relativeFrom="paragraph">
              <wp:posOffset>23495</wp:posOffset>
            </wp:positionV>
            <wp:extent cx="1905000" cy="1778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77800"/>
                    </a:xfrm>
                    <a:prstGeom prst="rect">
                      <a:avLst/>
                    </a:prstGeom>
                    <a:noFill/>
                    <a:ln>
                      <a:noFill/>
                    </a:ln>
                  </pic:spPr>
                </pic:pic>
              </a:graphicData>
            </a:graphic>
          </wp:anchor>
        </w:drawing>
      </w:r>
      <w:r w:rsidR="00F0025B">
        <w:rPr>
          <w:rFonts w:ascii="Helvetica" w:hAnsi="Helvetica" w:cs="Helvetica"/>
          <w:color w:val="000000"/>
          <w:sz w:val="21"/>
          <w:szCs w:val="21"/>
        </w:rPr>
        <w:tab/>
      </w:r>
      <w:r w:rsidR="00F0025B">
        <w:rPr>
          <w:rFonts w:ascii="Helvetica" w:hAnsi="Helvetica" w:cs="Helvetica"/>
          <w:color w:val="000000"/>
          <w:sz w:val="21"/>
          <w:szCs w:val="21"/>
        </w:rPr>
        <w:tab/>
      </w:r>
      <w:r w:rsidR="00F0025B">
        <w:rPr>
          <w:rFonts w:ascii="Helvetica" w:hAnsi="Helvetica" w:cs="Helvetica"/>
          <w:color w:val="000000"/>
          <w:sz w:val="21"/>
          <w:szCs w:val="21"/>
        </w:rPr>
        <w:tab/>
      </w:r>
      <w:r w:rsidR="00F0025B">
        <w:rPr>
          <w:rFonts w:ascii="Helvetica" w:hAnsi="Helvetica" w:cs="Helvetica"/>
          <w:color w:val="000000"/>
          <w:sz w:val="21"/>
          <w:szCs w:val="21"/>
        </w:rPr>
        <w:tab/>
      </w:r>
      <w:r w:rsidR="00F0025B">
        <w:rPr>
          <w:rFonts w:ascii="Helvetica" w:hAnsi="Helvetica" w:cs="Helvetica"/>
          <w:color w:val="000000"/>
          <w:sz w:val="21"/>
          <w:szCs w:val="21"/>
        </w:rPr>
        <w:tab/>
      </w:r>
      <w:r w:rsidR="00F0025B">
        <w:rPr>
          <w:rFonts w:ascii="Helvetica" w:hAnsi="Helvetica" w:cs="Helvetica"/>
          <w:color w:val="000000"/>
          <w:sz w:val="21"/>
          <w:szCs w:val="21"/>
        </w:rPr>
        <w:tab/>
      </w:r>
      <w:r w:rsidR="00F0025B">
        <w:rPr>
          <w:rFonts w:ascii="Helvetica" w:hAnsi="Helvetica" w:cs="Helvetica"/>
          <w:color w:val="000000"/>
          <w:sz w:val="21"/>
          <w:szCs w:val="21"/>
        </w:rPr>
        <w:tab/>
      </w:r>
      <w:r w:rsidR="00F0025B">
        <w:rPr>
          <w:rFonts w:ascii="Helvetica" w:hAnsi="Helvetica" w:cs="Helvetica"/>
          <w:color w:val="000000"/>
          <w:sz w:val="21"/>
          <w:szCs w:val="21"/>
        </w:rPr>
        <w:tab/>
      </w:r>
      <w:r w:rsidR="00F0025B">
        <w:rPr>
          <w:rFonts w:ascii="Helvetica" w:hAnsi="Helvetica" w:cs="Helvetica"/>
          <w:color w:val="000000"/>
          <w:sz w:val="21"/>
          <w:szCs w:val="21"/>
        </w:rPr>
        <w:tab/>
      </w:r>
      <w:r w:rsidR="00F0025B">
        <w:rPr>
          <w:rFonts w:ascii="Helvetica" w:hAnsi="Helvetica" w:cs="Helvetica"/>
          <w:color w:val="000000"/>
          <w:sz w:val="21"/>
          <w:szCs w:val="21"/>
        </w:rPr>
        <w:tab/>
      </w:r>
      <w:r w:rsidR="00F0025B" w:rsidRPr="00F0025B">
        <w:rPr>
          <w:color w:val="000000"/>
          <w:sz w:val="21"/>
          <w:szCs w:val="21"/>
        </w:rPr>
        <w:t>(</w:t>
      </w:r>
      <w:r w:rsidR="000C4182">
        <w:rPr>
          <w:color w:val="000000"/>
          <w:sz w:val="21"/>
          <w:szCs w:val="21"/>
        </w:rPr>
        <w:t>3</w:t>
      </w:r>
      <w:r w:rsidR="00F0025B" w:rsidRPr="00F0025B">
        <w:rPr>
          <w:color w:val="000000"/>
          <w:sz w:val="21"/>
          <w:szCs w:val="21"/>
        </w:rPr>
        <w:t>)</w:t>
      </w:r>
    </w:p>
    <w:p w14:paraId="1686D90E" w14:textId="50C5324F" w:rsidR="002B3CEC" w:rsidRDefault="00F0025B" w:rsidP="002B3CEC">
      <w:pPr>
        <w:spacing w:line="315" w:lineRule="atLeast"/>
        <w:jc w:val="center"/>
        <w:rPr>
          <w:rFonts w:ascii="Helvetica" w:hAnsi="Helvetica" w:cs="Helvetica"/>
          <w:color w:val="000000"/>
          <w:sz w:val="21"/>
          <w:szCs w:val="21"/>
        </w:rPr>
      </w:pPr>
      <w:r>
        <w:rPr>
          <w:rFonts w:ascii="Helvetica" w:hAnsi="Helvetica" w:cs="Helvetica"/>
          <w:color w:val="000000"/>
          <w:sz w:val="21"/>
          <w:szCs w:val="21"/>
        </w:rPr>
        <w:tab/>
      </w:r>
    </w:p>
    <w:p w14:paraId="6082623D" w14:textId="069FAE2E" w:rsidR="00492888" w:rsidRDefault="002B3CEC" w:rsidP="006C5385">
      <w:pPr>
        <w:spacing w:line="315" w:lineRule="atLeast"/>
        <w:jc w:val="center"/>
        <w:rPr>
          <w:color w:val="000000"/>
          <w:sz w:val="21"/>
          <w:szCs w:val="21"/>
        </w:rPr>
      </w:pPr>
      <w:r>
        <w:rPr>
          <w:rFonts w:ascii="Helvetica" w:hAnsi="Helvetica" w:cs="Helvetica"/>
          <w:noProof/>
          <w:color w:val="000000"/>
          <w:position w:val="-9"/>
          <w:sz w:val="21"/>
          <w:szCs w:val="21"/>
        </w:rPr>
        <w:drawing>
          <wp:anchor distT="0" distB="0" distL="114300" distR="114300" simplePos="0" relativeHeight="251663360" behindDoc="0" locked="0" layoutInCell="1" allowOverlap="1" wp14:anchorId="70470131" wp14:editId="6DDCF58E">
            <wp:simplePos x="0" y="0"/>
            <wp:positionH relativeFrom="column">
              <wp:posOffset>1600200</wp:posOffset>
            </wp:positionH>
            <wp:positionV relativeFrom="paragraph">
              <wp:posOffset>19685</wp:posOffset>
            </wp:positionV>
            <wp:extent cx="1871345" cy="177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345" cy="177800"/>
                    </a:xfrm>
                    <a:prstGeom prst="rect">
                      <a:avLst/>
                    </a:prstGeom>
                    <a:noFill/>
                    <a:ln>
                      <a:noFill/>
                    </a:ln>
                  </pic:spPr>
                </pic:pic>
              </a:graphicData>
            </a:graphic>
          </wp:anchor>
        </w:drawing>
      </w:r>
      <w:r w:rsidR="00F0025B">
        <w:rPr>
          <w:rFonts w:ascii="Helvetica" w:hAnsi="Helvetica" w:cs="Helvetica"/>
          <w:color w:val="000000"/>
          <w:sz w:val="21"/>
          <w:szCs w:val="21"/>
        </w:rPr>
        <w:tab/>
      </w:r>
      <w:r w:rsidR="00F0025B">
        <w:rPr>
          <w:rFonts w:ascii="Helvetica" w:hAnsi="Helvetica" w:cs="Helvetica"/>
          <w:color w:val="000000"/>
          <w:sz w:val="21"/>
          <w:szCs w:val="21"/>
        </w:rPr>
        <w:tab/>
      </w:r>
      <w:r w:rsidR="00F0025B">
        <w:rPr>
          <w:rFonts w:ascii="Helvetica" w:hAnsi="Helvetica" w:cs="Helvetica"/>
          <w:color w:val="000000"/>
          <w:sz w:val="21"/>
          <w:szCs w:val="21"/>
        </w:rPr>
        <w:tab/>
      </w:r>
      <w:r w:rsidR="00F0025B">
        <w:rPr>
          <w:rFonts w:ascii="Helvetica" w:hAnsi="Helvetica" w:cs="Helvetica"/>
          <w:color w:val="000000"/>
          <w:sz w:val="21"/>
          <w:szCs w:val="21"/>
        </w:rPr>
        <w:tab/>
      </w:r>
      <w:r w:rsidR="00F0025B">
        <w:rPr>
          <w:rFonts w:ascii="Helvetica" w:hAnsi="Helvetica" w:cs="Helvetica"/>
          <w:color w:val="000000"/>
          <w:sz w:val="21"/>
          <w:szCs w:val="21"/>
        </w:rPr>
        <w:tab/>
      </w:r>
      <w:r w:rsidR="00F0025B">
        <w:rPr>
          <w:rFonts w:ascii="Helvetica" w:hAnsi="Helvetica" w:cs="Helvetica"/>
          <w:color w:val="000000"/>
          <w:sz w:val="21"/>
          <w:szCs w:val="21"/>
        </w:rPr>
        <w:tab/>
      </w:r>
      <w:r w:rsidR="00F0025B">
        <w:rPr>
          <w:rFonts w:ascii="Helvetica" w:hAnsi="Helvetica" w:cs="Helvetica"/>
          <w:color w:val="000000"/>
          <w:sz w:val="21"/>
          <w:szCs w:val="21"/>
        </w:rPr>
        <w:tab/>
      </w:r>
      <w:r w:rsidR="00F0025B">
        <w:rPr>
          <w:rFonts w:ascii="Helvetica" w:hAnsi="Helvetica" w:cs="Helvetica"/>
          <w:color w:val="000000"/>
          <w:sz w:val="21"/>
          <w:szCs w:val="21"/>
        </w:rPr>
        <w:tab/>
      </w:r>
      <w:r w:rsidR="00F0025B">
        <w:rPr>
          <w:rFonts w:ascii="Helvetica" w:hAnsi="Helvetica" w:cs="Helvetica"/>
          <w:color w:val="000000"/>
          <w:sz w:val="21"/>
          <w:szCs w:val="21"/>
        </w:rPr>
        <w:tab/>
      </w:r>
      <w:r w:rsidR="00F0025B" w:rsidRPr="00F0025B">
        <w:rPr>
          <w:color w:val="000000"/>
          <w:sz w:val="21"/>
          <w:szCs w:val="21"/>
        </w:rPr>
        <w:t xml:space="preserve">    </w:t>
      </w:r>
      <w:r w:rsidR="00F0025B">
        <w:rPr>
          <w:color w:val="000000"/>
          <w:sz w:val="21"/>
          <w:szCs w:val="21"/>
        </w:rPr>
        <w:tab/>
      </w:r>
      <w:r w:rsidR="00F0025B" w:rsidRPr="00F0025B">
        <w:rPr>
          <w:color w:val="000000"/>
          <w:sz w:val="21"/>
          <w:szCs w:val="21"/>
        </w:rPr>
        <w:t>(</w:t>
      </w:r>
      <w:r w:rsidR="000C4182">
        <w:rPr>
          <w:color w:val="000000"/>
          <w:sz w:val="21"/>
          <w:szCs w:val="21"/>
        </w:rPr>
        <w:t>4</w:t>
      </w:r>
      <w:r w:rsidR="00F0025B" w:rsidRPr="00F0025B">
        <w:rPr>
          <w:color w:val="000000"/>
          <w:sz w:val="21"/>
          <w:szCs w:val="21"/>
        </w:rPr>
        <w:t>)</w:t>
      </w:r>
    </w:p>
    <w:p w14:paraId="36E9E0EB" w14:textId="77777777" w:rsidR="006C5385" w:rsidRPr="006C5385" w:rsidRDefault="006C5385" w:rsidP="006C5385">
      <w:pPr>
        <w:spacing w:line="315" w:lineRule="atLeast"/>
        <w:jc w:val="center"/>
        <w:rPr>
          <w:color w:val="000000"/>
          <w:sz w:val="21"/>
          <w:szCs w:val="21"/>
        </w:rPr>
      </w:pPr>
    </w:p>
    <w:p w14:paraId="153DD436" w14:textId="299F5A52" w:rsidR="00894557" w:rsidRDefault="00492888" w:rsidP="00504DBD">
      <w:pPr>
        <w:spacing w:line="276" w:lineRule="auto"/>
        <w:ind w:firstLine="720"/>
        <w:rPr>
          <w:szCs w:val="22"/>
        </w:rPr>
      </w:pPr>
      <w:r>
        <w:rPr>
          <w:szCs w:val="22"/>
        </w:rPr>
        <w:t xml:space="preserve">where </w:t>
      </w:r>
      <w:r>
        <w:rPr>
          <w:szCs w:val="22"/>
        </w:rPr>
        <w:tab/>
      </w:r>
      <w:r>
        <w:rPr>
          <w:b/>
          <w:bCs/>
          <w:szCs w:val="22"/>
        </w:rPr>
        <w:t xml:space="preserve">Z </w:t>
      </w:r>
      <w:r>
        <w:rPr>
          <w:szCs w:val="22"/>
        </w:rPr>
        <w:t xml:space="preserve">is a vector of FOD-transformed endogenous variables </w:t>
      </w:r>
    </w:p>
    <w:p w14:paraId="7A33D575" w14:textId="3E36314A" w:rsidR="00492888" w:rsidRDefault="00492888" w:rsidP="00504DBD">
      <w:pPr>
        <w:spacing w:line="276" w:lineRule="auto"/>
        <w:ind w:firstLine="720"/>
        <w:rPr>
          <w:szCs w:val="22"/>
        </w:rPr>
      </w:pPr>
      <w:r>
        <w:rPr>
          <w:szCs w:val="22"/>
        </w:rPr>
        <w:tab/>
        <w:t>C</w:t>
      </w:r>
      <w:r>
        <w:rPr>
          <w:sz w:val="22"/>
          <w:szCs w:val="20"/>
        </w:rPr>
        <w:t>i</w:t>
      </w:r>
      <w:r>
        <w:rPr>
          <w:sz w:val="18"/>
          <w:szCs w:val="16"/>
        </w:rPr>
        <w:t xml:space="preserve"> </w:t>
      </w:r>
      <w:r>
        <w:rPr>
          <w:szCs w:val="22"/>
        </w:rPr>
        <w:t>is a vector of country fixed effects</w:t>
      </w:r>
    </w:p>
    <w:p w14:paraId="400DAC1D" w14:textId="761CBFC7" w:rsidR="00492888" w:rsidRDefault="00492888" w:rsidP="00504DBD">
      <w:pPr>
        <w:spacing w:line="276" w:lineRule="auto"/>
        <w:ind w:firstLine="720"/>
        <w:rPr>
          <w:szCs w:val="22"/>
        </w:rPr>
      </w:pPr>
      <w:r>
        <w:rPr>
          <w:szCs w:val="22"/>
        </w:rPr>
        <w:tab/>
        <w:t>C</w:t>
      </w:r>
      <w:r>
        <w:rPr>
          <w:szCs w:val="22"/>
          <w:vertAlign w:val="subscript"/>
        </w:rPr>
        <w:t>t</w:t>
      </w:r>
      <w:r>
        <w:rPr>
          <w:szCs w:val="22"/>
        </w:rPr>
        <w:t xml:space="preserve"> is a vector of time fixed effects</w:t>
      </w:r>
    </w:p>
    <w:p w14:paraId="61EA7E3E" w14:textId="646D31D4" w:rsidR="00F0025B" w:rsidRDefault="00492888" w:rsidP="00504DBD">
      <w:pPr>
        <w:spacing w:line="276" w:lineRule="auto"/>
        <w:ind w:firstLine="720"/>
        <w:rPr>
          <w:szCs w:val="22"/>
        </w:rPr>
      </w:pPr>
      <w:r>
        <w:rPr>
          <w:szCs w:val="22"/>
        </w:rPr>
        <w:tab/>
      </w:r>
      <w:r w:rsidR="00F0025B">
        <w:rPr>
          <w:b/>
          <w:bCs/>
          <w:szCs w:val="22"/>
        </w:rPr>
        <w:t xml:space="preserve">X </w:t>
      </w:r>
      <w:r w:rsidR="00F0025B">
        <w:rPr>
          <w:szCs w:val="22"/>
        </w:rPr>
        <w:t xml:space="preserve">is a vector of exogenous variables </w:t>
      </w:r>
    </w:p>
    <w:p w14:paraId="4C1D8F12" w14:textId="77777777" w:rsidR="006C5385" w:rsidRPr="00F0025B" w:rsidRDefault="006C5385" w:rsidP="006C5385">
      <w:pPr>
        <w:ind w:firstLine="720"/>
        <w:rPr>
          <w:szCs w:val="22"/>
        </w:rPr>
      </w:pPr>
    </w:p>
    <w:p w14:paraId="7A614763" w14:textId="56B57819" w:rsidR="00925B2C" w:rsidRPr="00214B02" w:rsidRDefault="00F0025B" w:rsidP="00214B02">
      <w:pPr>
        <w:spacing w:line="480" w:lineRule="auto"/>
        <w:rPr>
          <w:szCs w:val="22"/>
        </w:rPr>
      </w:pPr>
      <w:r>
        <w:rPr>
          <w:rFonts w:cstheme="minorBidi"/>
          <w:szCs w:val="22"/>
        </w:rPr>
        <w:tab/>
        <w:t xml:space="preserve">The equation (2) shows the structural model specification and the equation (3) shows the reduced form equation. The parameters </w:t>
      </w:r>
      <w:r>
        <w:rPr>
          <w:szCs w:val="22"/>
        </w:rPr>
        <w:t>β</w:t>
      </w:r>
      <w:r>
        <w:rPr>
          <w:rFonts w:cstheme="minorBidi"/>
          <w:szCs w:val="22"/>
        </w:rPr>
        <w:t xml:space="preserve"> and </w:t>
      </w:r>
      <w:r>
        <w:rPr>
          <w:szCs w:val="22"/>
        </w:rPr>
        <w:t>γ</w:t>
      </w:r>
      <w:r>
        <w:rPr>
          <w:rFonts w:cstheme="minorBidi"/>
          <w:szCs w:val="22"/>
        </w:rPr>
        <w:t xml:space="preserve"> are estimated in the reduced form model by </w:t>
      </w:r>
      <w:r>
        <w:rPr>
          <w:szCs w:val="22"/>
        </w:rPr>
        <w:t xml:space="preserve">Holtz-Eakin-Newey-Rosen-style GMM. The estimated parameters however cannot be directly interpreted because of endogeneity of the system, and thus the Granger Causality Test </w:t>
      </w:r>
      <w:r w:rsidR="00925B2C">
        <w:rPr>
          <w:szCs w:val="22"/>
        </w:rPr>
        <w:t xml:space="preserve">is deployed to determine the Granger causality among the variables. Then, if the estimated system is stable, we can analyze the dynamic response of a shock in demography by the impulse-response function (IRF). The standard errors and confidence intervals of the estimated IRF parameters (i.e. the MA parameters) are estimated by the Monte Carlo simulation. The projection </w:t>
      </w:r>
      <w:r w:rsidR="00925B2C">
        <w:rPr>
          <w:szCs w:val="22"/>
        </w:rPr>
        <w:lastRenderedPageBreak/>
        <w:t>of the current account will be based on the estimated IRF where the shock will be normalized into the multiples of standard deviation in demographic shifts.</w:t>
      </w:r>
    </w:p>
    <w:p w14:paraId="0936ED64" w14:textId="77777777" w:rsidR="00504DBD" w:rsidRDefault="00504DBD" w:rsidP="00504DBD">
      <w:pPr>
        <w:spacing w:line="480" w:lineRule="auto"/>
        <w:rPr>
          <w:i/>
          <w:iCs/>
        </w:rPr>
      </w:pPr>
    </w:p>
    <w:p w14:paraId="74183A0E" w14:textId="41145F52" w:rsidR="00925B2C" w:rsidRDefault="00504DBD" w:rsidP="00504DBD">
      <w:pPr>
        <w:spacing w:line="480" w:lineRule="auto"/>
        <w:rPr>
          <w:i/>
          <w:iCs/>
        </w:rPr>
      </w:pPr>
      <w:r>
        <w:rPr>
          <w:i/>
          <w:iCs/>
        </w:rPr>
        <w:t xml:space="preserve">B. Heterogeneity in the Relationships: </w:t>
      </w:r>
      <w:r w:rsidR="00925B2C">
        <w:rPr>
          <w:i/>
          <w:iCs/>
        </w:rPr>
        <w:t>The Static Panel Estimation</w:t>
      </w:r>
    </w:p>
    <w:p w14:paraId="699EB8A3" w14:textId="5FFFE954" w:rsidR="00DD67BD" w:rsidRDefault="00ED2E19" w:rsidP="00925B2C">
      <w:pPr>
        <w:spacing w:line="480" w:lineRule="auto"/>
        <w:ind w:firstLine="720"/>
        <w:rPr>
          <w:rFonts w:cstheme="minorBidi"/>
        </w:rPr>
      </w:pPr>
      <w:r>
        <w:t>To inspect the</w:t>
      </w:r>
      <w:r w:rsidR="000C4182">
        <w:t xml:space="preserve"> variation in</w:t>
      </w:r>
      <w:r>
        <w:t xml:space="preserve"> </w:t>
      </w:r>
      <w:r w:rsidR="000C4182">
        <w:t>demographic impact on the current account balance given variation in country macroeconomic characteristics, the countries, as opposed to individual observations, will be divided into groups according to the 4 characteristics to maintain balances of the panel. Each characteristic variables of each country will be averaged over time in order to classify countries into the 3 groups, the top 33%, the middle 33%, and the bottom 33</w:t>
      </w:r>
      <w:r w:rsidR="000C4182" w:rsidRPr="00C94B23">
        <w:t xml:space="preserve">%, and the cutoffs for each </w:t>
      </w:r>
      <w:r w:rsidR="00C94B23" w:rsidRPr="00C94B23">
        <w:t>group</w:t>
      </w:r>
      <w:r w:rsidR="000C4182" w:rsidRPr="00C94B23">
        <w:t xml:space="preserve"> can be found in table 5. The middle 33% group is the control group</w:t>
      </w:r>
      <w:r w:rsidR="000C4182">
        <w:t xml:space="preserve"> while the top 33% is a group that represents the countries with strong characteristic in each category and the bottom 33% represents ones with weak characteristic. </w:t>
      </w:r>
      <w:r w:rsidR="00935574">
        <w:t>The PVAR can still be used in estimating the demographic impact in each group, however, the statistical inference is the main challenge. Such the method can only provide an estimate of the impacts for each subset of countries, but the estimations of impacts cannot be compared between the groups and that we cannot formally test how the different characteristics play a role in the demographic impacts. In this case,</w:t>
      </w:r>
      <w:r w:rsidR="009C6466">
        <w:rPr>
          <w:rFonts w:cstheme="minorBidi" w:hint="cs"/>
          <w:cs/>
        </w:rPr>
        <w:t xml:space="preserve"> </w:t>
      </w:r>
      <w:r w:rsidR="009C6466">
        <w:rPr>
          <w:rFonts w:cstheme="minorBidi"/>
        </w:rPr>
        <w:t xml:space="preserve">therefore, the classical panel data model is employed to estimate the difference in demographic impacts among groups. Even though such the model cannot provide the </w:t>
      </w:r>
      <w:r w:rsidR="00777029">
        <w:rPr>
          <w:rFonts w:cstheme="minorBidi"/>
        </w:rPr>
        <w:t>dynamic nature of the impacts, however, the model provides a direct interpretation of how differences in the characteristics affect</w:t>
      </w:r>
      <w:r w:rsidR="00B552E3">
        <w:rPr>
          <w:rFonts w:cstheme="minorBidi" w:hint="cs"/>
          <w:cs/>
        </w:rPr>
        <w:t xml:space="preserve"> </w:t>
      </w:r>
      <w:r w:rsidR="00B552E3">
        <w:rPr>
          <w:rFonts w:cstheme="minorBidi"/>
        </w:rPr>
        <w:t xml:space="preserve">demographic impacts through the interaction terms. The dynamic panel data models are also in the consideration because such the models can preserve dynamic aspects of the impacts, however, the models require large amounts of instruments to avoid exogeneity problems. Given limitation of data and to preserve variations among countries and times, the </w:t>
      </w:r>
      <w:r w:rsidR="00B552E3">
        <w:rPr>
          <w:rFonts w:cstheme="minorBidi"/>
        </w:rPr>
        <w:lastRenderedPageBreak/>
        <w:t>dynamic models are not to be used in this study.</w:t>
      </w:r>
      <w:r w:rsidR="00DD67BD">
        <w:rPr>
          <w:rFonts w:cstheme="minorBidi"/>
        </w:rPr>
        <w:t xml:space="preserve"> The specification for panel data model is </w:t>
      </w:r>
      <w:r w:rsidR="00214B02">
        <w:rPr>
          <w:rFonts w:cstheme="minorBidi"/>
        </w:rPr>
        <w:t>presented in the equation (5)</w:t>
      </w:r>
      <w:r w:rsidR="00504DBD">
        <w:rPr>
          <w:rFonts w:cstheme="minorBidi"/>
        </w:rPr>
        <w:t>.</w:t>
      </w:r>
    </w:p>
    <w:p w14:paraId="73FA64A5" w14:textId="67F412B6" w:rsidR="00214B02" w:rsidRDefault="00214B02" w:rsidP="00925B2C">
      <w:pPr>
        <w:spacing w:line="480" w:lineRule="auto"/>
        <w:ind w:firstLine="720"/>
        <w:rPr>
          <w:rFonts w:cstheme="minorBidi"/>
        </w:rPr>
      </w:pPr>
    </w:p>
    <w:p w14:paraId="30473442" w14:textId="4AFCFC6A" w:rsidR="00214B02" w:rsidRDefault="00214B02" w:rsidP="00214B02">
      <w:pPr>
        <w:spacing w:line="480" w:lineRule="auto"/>
        <w:ind w:firstLine="720"/>
        <w:jc w:val="center"/>
        <w:rPr>
          <w:rFonts w:cstheme="minorBidi"/>
        </w:rPr>
      </w:pPr>
      <w:r>
        <w:rPr>
          <w:noProof/>
          <w:position w:val="-9"/>
        </w:rPr>
        <w:drawing>
          <wp:anchor distT="0" distB="0" distL="114300" distR="114300" simplePos="0" relativeHeight="251667456" behindDoc="0" locked="0" layoutInCell="1" allowOverlap="1" wp14:anchorId="6D627192" wp14:editId="7494E887">
            <wp:simplePos x="0" y="0"/>
            <wp:positionH relativeFrom="column">
              <wp:posOffset>1790700</wp:posOffset>
            </wp:positionH>
            <wp:positionV relativeFrom="paragraph">
              <wp:posOffset>2152</wp:posOffset>
            </wp:positionV>
            <wp:extent cx="2362200" cy="188348"/>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1386" cy="1914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Bidi"/>
        </w:rPr>
        <w:t xml:space="preserve">                                                                            </w:t>
      </w:r>
      <w:r>
        <w:rPr>
          <w:rFonts w:cstheme="minorBidi"/>
        </w:rPr>
        <w:tab/>
      </w:r>
      <w:r>
        <w:rPr>
          <w:rFonts w:cstheme="minorBidi"/>
        </w:rPr>
        <w:tab/>
      </w:r>
      <w:r>
        <w:rPr>
          <w:rFonts w:cstheme="minorBidi"/>
        </w:rPr>
        <w:tab/>
      </w:r>
      <w:r>
        <w:rPr>
          <w:rFonts w:cstheme="minorBidi"/>
        </w:rPr>
        <w:tab/>
      </w:r>
      <w:r>
        <w:rPr>
          <w:rFonts w:cstheme="minorBidi"/>
        </w:rPr>
        <w:tab/>
        <w:t>(5)</w:t>
      </w:r>
    </w:p>
    <w:p w14:paraId="36AC86B1" w14:textId="77777777" w:rsidR="00214B02" w:rsidRDefault="00214B02" w:rsidP="00504DBD">
      <w:pPr>
        <w:spacing w:line="276" w:lineRule="auto"/>
        <w:ind w:firstLine="720"/>
        <w:rPr>
          <w:rFonts w:cstheme="minorBidi"/>
        </w:rPr>
      </w:pPr>
      <w:r>
        <w:rPr>
          <w:rFonts w:cstheme="minorBidi"/>
        </w:rPr>
        <w:t xml:space="preserve">where </w:t>
      </w:r>
      <w:r>
        <w:rPr>
          <w:rFonts w:cstheme="minorBidi"/>
        </w:rPr>
        <w:tab/>
        <w:t>y and x are the current account balance and the demographic variables</w:t>
      </w:r>
    </w:p>
    <w:p w14:paraId="13B80F6B" w14:textId="77777777" w:rsidR="00214B02" w:rsidRDefault="00214B02" w:rsidP="00504DBD">
      <w:pPr>
        <w:spacing w:line="276" w:lineRule="auto"/>
        <w:ind w:firstLine="720"/>
        <w:rPr>
          <w:rFonts w:cstheme="minorBidi"/>
        </w:rPr>
      </w:pPr>
      <w:r>
        <w:rPr>
          <w:rFonts w:cstheme="minorBidi"/>
        </w:rPr>
        <w:tab/>
      </w:r>
      <w:r>
        <w:t>α</w:t>
      </w:r>
      <w:r>
        <w:rPr>
          <w:rFonts w:cstheme="minorBidi"/>
        </w:rPr>
        <w:t xml:space="preserve"> is a country fixed or random effect</w:t>
      </w:r>
    </w:p>
    <w:p w14:paraId="17342A8E" w14:textId="77777777" w:rsidR="00214B02" w:rsidRDefault="00214B02" w:rsidP="00504DBD">
      <w:pPr>
        <w:spacing w:line="276" w:lineRule="auto"/>
        <w:ind w:firstLine="720"/>
        <w:rPr>
          <w:rFonts w:cstheme="minorBidi"/>
        </w:rPr>
      </w:pPr>
      <w:r>
        <w:rPr>
          <w:rFonts w:cstheme="minorBidi"/>
        </w:rPr>
        <w:tab/>
        <w:t>d is a dummy variable indicating the characteristic group that a country belongs to</w:t>
      </w:r>
    </w:p>
    <w:p w14:paraId="47514348" w14:textId="77777777" w:rsidR="00214B02" w:rsidRDefault="00214B02" w:rsidP="00504DBD">
      <w:pPr>
        <w:spacing w:line="276" w:lineRule="auto"/>
        <w:ind w:firstLine="720"/>
        <w:rPr>
          <w:rFonts w:cstheme="minorBidi"/>
        </w:rPr>
      </w:pPr>
      <w:r>
        <w:rPr>
          <w:rFonts w:cstheme="minorBidi"/>
        </w:rPr>
        <w:tab/>
        <w:t>w is the set of control variables other than the focused characteristics</w:t>
      </w:r>
    </w:p>
    <w:p w14:paraId="197ECB3A" w14:textId="77777777" w:rsidR="00214B02" w:rsidRDefault="00214B02" w:rsidP="00214B02">
      <w:pPr>
        <w:spacing w:line="480" w:lineRule="auto"/>
        <w:rPr>
          <w:rFonts w:cstheme="minorBidi"/>
        </w:rPr>
      </w:pPr>
    </w:p>
    <w:p w14:paraId="745C4238" w14:textId="3E3E5996" w:rsidR="00214B02" w:rsidRDefault="00FC7727" w:rsidP="00214B02">
      <w:pPr>
        <w:spacing w:line="480" w:lineRule="auto"/>
        <w:ind w:firstLine="720"/>
      </w:pPr>
      <w:r>
        <w:rPr>
          <w:rFonts w:cstheme="minorBidi"/>
        </w:rPr>
        <w:t xml:space="preserve">The statistical inference given the model is written in this way is straightforward as we can conduct a t-test on the estimated parameter </w:t>
      </w:r>
      <w:r>
        <w:t>λ</w:t>
      </w:r>
      <w:r>
        <w:rPr>
          <w:rFonts w:cstheme="minorBidi"/>
        </w:rPr>
        <w:t xml:space="preserve">. If </w:t>
      </w:r>
      <w:r>
        <w:t xml:space="preserve">λ is statistically significant, then we can infer that the demographic impact is not indifferent given that a country belongs to the different characteristic group. </w:t>
      </w:r>
      <w:r w:rsidR="007D7AC7">
        <w:t>I</w:t>
      </w:r>
      <w:r w:rsidR="003D58B7">
        <w:t xml:space="preserve">n this panel data model, we focus on the estimated parameter λ that tells us whether the impacts are different among the group of characteristics. The statistical significance of λ will provide important insights about which countries to be included in the projections for the East Asian countries. </w:t>
      </w:r>
    </w:p>
    <w:p w14:paraId="78FF95C6" w14:textId="77777777" w:rsidR="00214B02" w:rsidRPr="007D7AC7" w:rsidRDefault="00214B02" w:rsidP="00214B02">
      <w:pPr>
        <w:spacing w:line="480" w:lineRule="auto"/>
        <w:ind w:firstLine="720"/>
      </w:pPr>
    </w:p>
    <w:p w14:paraId="654CDCF1" w14:textId="3556D0D4" w:rsidR="003D58B7" w:rsidRDefault="00504DBD" w:rsidP="00504DBD">
      <w:pPr>
        <w:spacing w:line="480" w:lineRule="auto"/>
        <w:rPr>
          <w:i/>
          <w:iCs/>
        </w:rPr>
      </w:pPr>
      <w:r>
        <w:rPr>
          <w:i/>
          <w:iCs/>
        </w:rPr>
        <w:t xml:space="preserve">C. </w:t>
      </w:r>
      <w:r w:rsidR="003D58B7">
        <w:rPr>
          <w:i/>
          <w:iCs/>
        </w:rPr>
        <w:t>The Projections</w:t>
      </w:r>
    </w:p>
    <w:p w14:paraId="26D987D5" w14:textId="70EA7313" w:rsidR="007D7AC7" w:rsidRPr="007D7AC7" w:rsidRDefault="007D7AC7" w:rsidP="007D7AC7">
      <w:pPr>
        <w:spacing w:line="480" w:lineRule="auto"/>
        <w:ind w:firstLine="720"/>
      </w:pPr>
      <w:r>
        <w:t xml:space="preserve">The sample data used for the current account balance projections for East Asian countries (in this study, will be China, Thailand, and South Korea) will be drawn from any countries that have similar characteristics to the projected country (this method is borrowed from the concept of the Synthetic Control Method). The construction of sample data as opposed of using only projected country data is because of the two reasons. The first is to increase the number of observations to make estimation more robust because the whole series for projected country may not be used since the structure of a country is likely to change at any point in time series. The </w:t>
      </w:r>
      <w:r>
        <w:lastRenderedPageBreak/>
        <w:t xml:space="preserve">second is to account for the fact that many East Asian countries have not faced a decline in working age population as opposed to the European countries. Given that the impact of rise and decline in working age population may not be symmetric, having variations in both directions could help improve quality of the projection. The demographic data used in projections of the current account balances is obtained from </w:t>
      </w:r>
      <w:r w:rsidRPr="000343F3">
        <w:rPr>
          <w:szCs w:val="22"/>
        </w:rPr>
        <w:t>the population projections by the United Nations.</w:t>
      </w:r>
      <w:r>
        <w:rPr>
          <w:szCs w:val="22"/>
        </w:rPr>
        <w:t xml:space="preserve"> </w:t>
      </w:r>
      <w:r>
        <w:t xml:space="preserve">The projection can be done by imposing the projection of demographic shock on IRF obtained from the PVAR estimation from the constructed sample data. </w:t>
      </w:r>
    </w:p>
    <w:p w14:paraId="661D26AC" w14:textId="5A4EE857" w:rsidR="003D58B7" w:rsidRPr="008C253B" w:rsidRDefault="008C253B" w:rsidP="003D58B7">
      <w:pPr>
        <w:spacing w:line="480" w:lineRule="auto"/>
        <w:ind w:firstLine="720"/>
      </w:pPr>
      <w:r>
        <w:t>The impulse-response function obtained from the estimation of PVAR model</w:t>
      </w:r>
      <w:r w:rsidR="003D58B7">
        <w:t xml:space="preserve"> project</w:t>
      </w:r>
      <w:r>
        <w:t>s the</w:t>
      </w:r>
      <w:r w:rsidR="003D58B7">
        <w:t xml:space="preserve"> demographic impacts on the current account balance</w:t>
      </w:r>
      <w:r>
        <w:t xml:space="preserve">. The results from the static panel model will be used in selecting the countries that will be included in PVAR for the projections. Only the characteristics that significantly influence the demographic impacts will be considered when selecting sub-sample of the PVAR projections. If such the characteristics contributes to the deviation in the impacts, the countries of which process those characteristics that are different from the targeted country will be </w:t>
      </w:r>
      <w:r>
        <w:rPr>
          <w:i/>
          <w:iCs/>
        </w:rPr>
        <w:t xml:space="preserve">excluded </w:t>
      </w:r>
      <w:r>
        <w:t xml:space="preserve">from the estimation. This procedure however is less than ideal but can preserve the most data points sand therefore can account for variations in demographic trends among the countries that at least should have similar magnitude of impact. </w:t>
      </w:r>
      <w:r w:rsidR="00E50FA4">
        <w:t xml:space="preserve">After estimating the PVAR for each targeted country, the IRF projects how one standard deviation shock in demographic impacts current account balance. </w:t>
      </w:r>
    </w:p>
    <w:p w14:paraId="58F90BF7" w14:textId="42CF9663" w:rsidR="003D58B7" w:rsidRDefault="003D58B7" w:rsidP="00E36E01">
      <w:pPr>
        <w:spacing w:line="480" w:lineRule="auto"/>
        <w:rPr>
          <w:rFonts w:cstheme="minorBidi"/>
          <w:b/>
          <w:bCs/>
        </w:rPr>
      </w:pPr>
      <w:r>
        <w:rPr>
          <w:rFonts w:cstheme="minorBidi"/>
          <w:b/>
          <w:bCs/>
        </w:rPr>
        <w:tab/>
      </w:r>
    </w:p>
    <w:p w14:paraId="30C91F6B" w14:textId="2EC72257" w:rsidR="00504DBD" w:rsidRDefault="00504DBD" w:rsidP="00E36E01">
      <w:pPr>
        <w:spacing w:line="480" w:lineRule="auto"/>
        <w:rPr>
          <w:rFonts w:cstheme="minorBidi"/>
          <w:b/>
          <w:bCs/>
        </w:rPr>
      </w:pPr>
    </w:p>
    <w:p w14:paraId="287D2E9C" w14:textId="6571E9B1" w:rsidR="00504DBD" w:rsidRDefault="00504DBD" w:rsidP="00E36E01">
      <w:pPr>
        <w:spacing w:line="480" w:lineRule="auto"/>
        <w:rPr>
          <w:rFonts w:cstheme="minorBidi"/>
          <w:b/>
          <w:bCs/>
        </w:rPr>
      </w:pPr>
    </w:p>
    <w:p w14:paraId="5E1F0F07" w14:textId="689076AD" w:rsidR="00504DBD" w:rsidRDefault="00504DBD" w:rsidP="00E36E01">
      <w:pPr>
        <w:spacing w:line="480" w:lineRule="auto"/>
        <w:rPr>
          <w:rFonts w:cstheme="minorBidi"/>
          <w:b/>
          <w:bCs/>
        </w:rPr>
      </w:pPr>
    </w:p>
    <w:p w14:paraId="0925C3B6" w14:textId="77777777" w:rsidR="00504DBD" w:rsidRPr="00E50FA4" w:rsidRDefault="00504DBD" w:rsidP="00E36E01">
      <w:pPr>
        <w:spacing w:line="480" w:lineRule="auto"/>
        <w:rPr>
          <w:rFonts w:cstheme="minorBidi"/>
        </w:rPr>
      </w:pPr>
    </w:p>
    <w:p w14:paraId="57103FAB" w14:textId="5E963080" w:rsidR="002F645F" w:rsidRPr="00504DBD" w:rsidRDefault="002F645F" w:rsidP="00E36E01">
      <w:pPr>
        <w:spacing w:line="480" w:lineRule="auto"/>
        <w:rPr>
          <w:rFonts w:cstheme="minorBidi"/>
          <w:b/>
          <w:bCs/>
          <w:sz w:val="28"/>
          <w:szCs w:val="28"/>
        </w:rPr>
      </w:pPr>
      <w:r w:rsidRPr="00504DBD">
        <w:rPr>
          <w:rFonts w:cstheme="minorBidi"/>
          <w:b/>
          <w:bCs/>
          <w:sz w:val="28"/>
          <w:szCs w:val="28"/>
        </w:rPr>
        <w:lastRenderedPageBreak/>
        <w:t>V</w:t>
      </w:r>
      <w:r w:rsidR="00504DBD" w:rsidRPr="00504DBD">
        <w:rPr>
          <w:rFonts w:cstheme="minorBidi"/>
          <w:b/>
          <w:bCs/>
          <w:sz w:val="28"/>
          <w:szCs w:val="28"/>
        </w:rPr>
        <w:t>I</w:t>
      </w:r>
      <w:r w:rsidRPr="00504DBD">
        <w:rPr>
          <w:rFonts w:cstheme="minorBidi"/>
          <w:b/>
          <w:bCs/>
          <w:sz w:val="28"/>
          <w:szCs w:val="28"/>
        </w:rPr>
        <w:t>. Results</w:t>
      </w:r>
    </w:p>
    <w:p w14:paraId="33DA1406" w14:textId="3F0CA6FC" w:rsidR="00E50FA4" w:rsidRDefault="00504DBD" w:rsidP="00504DBD">
      <w:pPr>
        <w:spacing w:line="480" w:lineRule="auto"/>
        <w:rPr>
          <w:i/>
          <w:iCs/>
        </w:rPr>
      </w:pPr>
      <w:r>
        <w:rPr>
          <w:i/>
          <w:iCs/>
        </w:rPr>
        <w:t xml:space="preserve">A: </w:t>
      </w:r>
      <w:r w:rsidR="00E50FA4">
        <w:rPr>
          <w:i/>
          <w:iCs/>
        </w:rPr>
        <w:t xml:space="preserve">The PVAR </w:t>
      </w:r>
    </w:p>
    <w:p w14:paraId="6B1B7973" w14:textId="0F5E75CC" w:rsidR="00B83DAF" w:rsidRPr="00E50FA4" w:rsidRDefault="00214B02" w:rsidP="00E50FA4">
      <w:pPr>
        <w:spacing w:line="480" w:lineRule="auto"/>
        <w:ind w:firstLine="720"/>
        <w:rPr>
          <w:i/>
          <w:iCs/>
        </w:rPr>
      </w:pPr>
      <w:r>
        <w:rPr>
          <w:noProof/>
          <w:position w:val="-44"/>
        </w:rPr>
        <w:drawing>
          <wp:anchor distT="0" distB="0" distL="114300" distR="114300" simplePos="0" relativeHeight="251668480" behindDoc="0" locked="0" layoutInCell="1" allowOverlap="1" wp14:anchorId="64D20330" wp14:editId="0DFCF712">
            <wp:simplePos x="0" y="0"/>
            <wp:positionH relativeFrom="column">
              <wp:posOffset>701040</wp:posOffset>
            </wp:positionH>
            <wp:positionV relativeFrom="paragraph">
              <wp:posOffset>305435</wp:posOffset>
            </wp:positionV>
            <wp:extent cx="4597400" cy="66040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7400" cy="660400"/>
                    </a:xfrm>
                    <a:prstGeom prst="rect">
                      <a:avLst/>
                    </a:prstGeom>
                    <a:noFill/>
                    <a:ln>
                      <a:noFill/>
                    </a:ln>
                  </pic:spPr>
                </pic:pic>
              </a:graphicData>
            </a:graphic>
          </wp:anchor>
        </w:drawing>
      </w:r>
      <w:r w:rsidR="00FB4567">
        <w:rPr>
          <w:szCs w:val="22"/>
        </w:rPr>
        <w:t xml:space="preserve">The explicit form </w:t>
      </w:r>
      <w:r w:rsidR="00E50FA4">
        <w:rPr>
          <w:szCs w:val="22"/>
        </w:rPr>
        <w:t xml:space="preserve">of the PVAR </w:t>
      </w:r>
      <w:r w:rsidR="00FB4567">
        <w:rPr>
          <w:szCs w:val="22"/>
        </w:rPr>
        <w:t>is given by</w:t>
      </w:r>
    </w:p>
    <w:p w14:paraId="612820A7" w14:textId="29DFF248" w:rsidR="00214B02" w:rsidRDefault="00214B02" w:rsidP="00E50FA4">
      <w:pPr>
        <w:spacing w:line="480" w:lineRule="auto"/>
        <w:jc w:val="center"/>
        <w:rPr>
          <w:szCs w:val="22"/>
        </w:rPr>
      </w:pPr>
      <w:r>
        <w:rPr>
          <w:szCs w:val="22"/>
        </w:rPr>
        <w:tab/>
      </w:r>
    </w:p>
    <w:p w14:paraId="156771F1" w14:textId="4C1A5806" w:rsidR="00B83DAF" w:rsidRDefault="00214B02" w:rsidP="00214B02">
      <w:pPr>
        <w:spacing w:line="480" w:lineRule="auto"/>
        <w:ind w:left="8640"/>
        <w:jc w:val="center"/>
        <w:rPr>
          <w:szCs w:val="22"/>
        </w:rPr>
      </w:pPr>
      <w:r>
        <w:rPr>
          <w:szCs w:val="22"/>
        </w:rPr>
        <w:t>(6)</w:t>
      </w:r>
    </w:p>
    <w:p w14:paraId="29AFCBBA" w14:textId="77777777" w:rsidR="00504DBD" w:rsidRDefault="00504DBD" w:rsidP="00214B02">
      <w:pPr>
        <w:spacing w:line="480" w:lineRule="auto"/>
        <w:ind w:left="8640"/>
        <w:jc w:val="center"/>
        <w:rPr>
          <w:szCs w:val="22"/>
        </w:rPr>
      </w:pPr>
    </w:p>
    <w:p w14:paraId="1DEE8AE9" w14:textId="399F81E9" w:rsidR="00214B02" w:rsidRDefault="00E50FA4" w:rsidP="00504DBD">
      <w:pPr>
        <w:spacing w:line="276" w:lineRule="auto"/>
        <w:ind w:firstLine="720"/>
        <w:rPr>
          <w:szCs w:val="22"/>
        </w:rPr>
      </w:pPr>
      <w:r>
        <w:rPr>
          <w:szCs w:val="22"/>
        </w:rPr>
        <w:t xml:space="preserve">where </w:t>
      </w:r>
      <w:r>
        <w:rPr>
          <w:szCs w:val="22"/>
        </w:rPr>
        <w:tab/>
        <w:t xml:space="preserve"> C</w:t>
      </w:r>
      <w:r>
        <w:rPr>
          <w:sz w:val="22"/>
          <w:szCs w:val="20"/>
        </w:rPr>
        <w:t>i</w:t>
      </w:r>
      <w:r>
        <w:rPr>
          <w:sz w:val="18"/>
          <w:szCs w:val="16"/>
        </w:rPr>
        <w:t xml:space="preserve"> </w:t>
      </w:r>
      <w:r>
        <w:rPr>
          <w:szCs w:val="22"/>
        </w:rPr>
        <w:t>is a vector of country fixed effects</w:t>
      </w:r>
    </w:p>
    <w:p w14:paraId="36EE2EAE" w14:textId="77777777" w:rsidR="00214B02" w:rsidRDefault="00E50FA4" w:rsidP="00504DBD">
      <w:pPr>
        <w:spacing w:line="276" w:lineRule="auto"/>
        <w:ind w:firstLine="720"/>
        <w:rPr>
          <w:szCs w:val="22"/>
        </w:rPr>
      </w:pPr>
      <w:r>
        <w:rPr>
          <w:szCs w:val="22"/>
        </w:rPr>
        <w:tab/>
      </w:r>
      <w:r w:rsidR="00214B02">
        <w:rPr>
          <w:szCs w:val="22"/>
        </w:rPr>
        <w:t xml:space="preserve"> </w:t>
      </w:r>
      <w:r>
        <w:rPr>
          <w:szCs w:val="22"/>
        </w:rPr>
        <w:t>C</w:t>
      </w:r>
      <w:r>
        <w:rPr>
          <w:szCs w:val="22"/>
          <w:vertAlign w:val="subscript"/>
        </w:rPr>
        <w:t>t</w:t>
      </w:r>
      <w:r>
        <w:rPr>
          <w:szCs w:val="22"/>
        </w:rPr>
        <w:t xml:space="preserve"> is a vector of time fixed effects</w:t>
      </w:r>
    </w:p>
    <w:p w14:paraId="2342ED5E" w14:textId="01B925DD" w:rsidR="00E50FA4" w:rsidRDefault="00E50FA4" w:rsidP="00504DBD">
      <w:pPr>
        <w:spacing w:line="276" w:lineRule="auto"/>
        <w:ind w:firstLine="720"/>
        <w:rPr>
          <w:szCs w:val="22"/>
        </w:rPr>
      </w:pPr>
      <w:r>
        <w:rPr>
          <w:szCs w:val="22"/>
        </w:rPr>
        <w:t xml:space="preserve">Note that </w:t>
      </w:r>
      <w:r w:rsidR="00A15BB7">
        <w:rPr>
          <w:szCs w:val="22"/>
        </w:rPr>
        <w:t>all</w:t>
      </w:r>
      <w:r>
        <w:rPr>
          <w:szCs w:val="22"/>
        </w:rPr>
        <w:t xml:space="preserve"> the variables in</w:t>
      </w:r>
      <w:r w:rsidR="00A15BB7">
        <w:rPr>
          <w:szCs w:val="22"/>
        </w:rPr>
        <w:t xml:space="preserve"> the vector is FOD-transformed at the forward period = 3</w:t>
      </w:r>
    </w:p>
    <w:p w14:paraId="2F2C9EF4" w14:textId="77777777" w:rsidR="00504DBD" w:rsidRDefault="00504DBD" w:rsidP="00E50FA4">
      <w:pPr>
        <w:spacing w:line="480" w:lineRule="auto"/>
        <w:ind w:firstLine="720"/>
        <w:rPr>
          <w:szCs w:val="22"/>
        </w:rPr>
      </w:pPr>
    </w:p>
    <w:p w14:paraId="2F0E48D3" w14:textId="636EDD4C" w:rsidR="00A15BB7" w:rsidRDefault="00EA111D" w:rsidP="00E50FA4">
      <w:pPr>
        <w:spacing w:line="480" w:lineRule="auto"/>
        <w:ind w:firstLine="720"/>
        <w:rPr>
          <w:szCs w:val="22"/>
        </w:rPr>
      </w:pPr>
      <w:r>
        <w:rPr>
          <w:szCs w:val="22"/>
        </w:rPr>
        <w:t xml:space="preserve">Using all available data, </w:t>
      </w:r>
      <w:r w:rsidR="009C17AD">
        <w:rPr>
          <w:szCs w:val="22"/>
        </w:rPr>
        <w:t xml:space="preserve">the PVAR incorporates 3,658 country-year from the total of 167 countries with each country has an average data length of 21.9 years. The estimated PVAR is stable with all unit roots less than one in both real and imaginary spaces. </w:t>
      </w:r>
    </w:p>
    <w:p w14:paraId="5E77133E" w14:textId="272BBEF4" w:rsidR="00717731" w:rsidRDefault="009C17AD" w:rsidP="00E50FA4">
      <w:pPr>
        <w:spacing w:line="480" w:lineRule="auto"/>
        <w:ind w:firstLine="720"/>
        <w:rPr>
          <w:szCs w:val="22"/>
        </w:rPr>
      </w:pPr>
      <w:r>
        <w:rPr>
          <w:szCs w:val="22"/>
        </w:rPr>
        <w:t>The table</w:t>
      </w:r>
      <w:r w:rsidR="00214B02">
        <w:rPr>
          <w:szCs w:val="22"/>
        </w:rPr>
        <w:t xml:space="preserve"> 6</w:t>
      </w:r>
      <w:r>
        <w:rPr>
          <w:szCs w:val="22"/>
        </w:rPr>
        <w:t xml:space="preserve"> shows that results of the Granger Causality Test, test results for the estimated model are in the middle column. With prime savers ratio, saving-investment to GDP, and, current account balance to GDP, starting from the prime saver equation, the tests suggest that both saving-investment to GDP and current account balance to GDP significantly affects the prime saver ratio. This is unexpected given that the prime saver ratio, as a demographic shift variable, should be determined outside the model, yet,</w:t>
      </w:r>
      <w:r w:rsidR="00E922F4">
        <w:rPr>
          <w:szCs w:val="22"/>
        </w:rPr>
        <w:t xml:space="preserve"> the vector autoregressive model treats the variable as endogenous. However, this endogeneity is not likely to influence the precision of the projections as such the Granger causality though is statistically significant at 1% level, but magnitude of such a</w:t>
      </w:r>
      <w:r>
        <w:rPr>
          <w:szCs w:val="22"/>
        </w:rPr>
        <w:t xml:space="preserve"> </w:t>
      </w:r>
      <w:r w:rsidR="00E922F4">
        <w:rPr>
          <w:szCs w:val="22"/>
        </w:rPr>
        <w:t xml:space="preserve">causality is negligibly small in economic sense from suggestions of the IRF </w:t>
      </w:r>
      <w:r w:rsidR="00E922F4" w:rsidRPr="00C94B23">
        <w:rPr>
          <w:szCs w:val="22"/>
        </w:rPr>
        <w:t>in</w:t>
      </w:r>
      <w:r w:rsidR="00C94B23" w:rsidRPr="00C94B23">
        <w:rPr>
          <w:szCs w:val="22"/>
        </w:rPr>
        <w:t xml:space="preserve"> the</w:t>
      </w:r>
      <w:r w:rsidR="00E922F4" w:rsidRPr="00C94B23">
        <w:rPr>
          <w:szCs w:val="22"/>
        </w:rPr>
        <w:t xml:space="preserve"> figure </w:t>
      </w:r>
      <w:r w:rsidR="00C94B23" w:rsidRPr="00C94B23">
        <w:rPr>
          <w:szCs w:val="22"/>
        </w:rPr>
        <w:t>5</w:t>
      </w:r>
      <w:r w:rsidR="00E922F4" w:rsidRPr="00C94B23">
        <w:rPr>
          <w:szCs w:val="22"/>
        </w:rPr>
        <w:t>.</w:t>
      </w:r>
      <w:r w:rsidR="00E922F4">
        <w:rPr>
          <w:szCs w:val="22"/>
        </w:rPr>
        <w:t xml:space="preserve"> The second equation focuses on the saving minus investment to GDP ratio. The tests indicate that prime saver ratio</w:t>
      </w:r>
      <w:r w:rsidR="00E922F4" w:rsidRPr="00E922F4">
        <w:rPr>
          <w:szCs w:val="22"/>
        </w:rPr>
        <w:t xml:space="preserve"> </w:t>
      </w:r>
      <w:r w:rsidR="00E922F4">
        <w:rPr>
          <w:szCs w:val="22"/>
        </w:rPr>
        <w:t>as well as the current account balance to GDP have Granger causalities on the saving minus investment to GDP ratio at 5% level</w:t>
      </w:r>
      <w:r w:rsidR="009B1762">
        <w:rPr>
          <w:szCs w:val="22"/>
        </w:rPr>
        <w:t xml:space="preserve"> of significance</w:t>
      </w:r>
      <w:r w:rsidR="00E922F4">
        <w:rPr>
          <w:szCs w:val="22"/>
        </w:rPr>
        <w:t xml:space="preserve">. Again, </w:t>
      </w:r>
      <w:r w:rsidR="00E922F4">
        <w:rPr>
          <w:szCs w:val="22"/>
        </w:rPr>
        <w:lastRenderedPageBreak/>
        <w:t>however, the latter Granger causality is not expected</w:t>
      </w:r>
      <w:r w:rsidR="009B1762">
        <w:rPr>
          <w:szCs w:val="22"/>
        </w:rPr>
        <w:t xml:space="preserve"> but can practically occur through the adjustments in exchange rates and interest rates. The third equation focuses on the current account balance to GDP ratio. The prime saver ratio has a Granger Causality on the current account balance at 10% level of significance while the saving-investment does not exhibit such a causality, however, the extended model </w:t>
      </w:r>
      <w:r w:rsidR="00717731">
        <w:rPr>
          <w:szCs w:val="22"/>
        </w:rPr>
        <w:t xml:space="preserve">seems to better capture this causality. </w:t>
      </w:r>
    </w:p>
    <w:p w14:paraId="09B820FA" w14:textId="2FD9F49B" w:rsidR="00C3765C" w:rsidRDefault="00717731" w:rsidP="003A77B6">
      <w:pPr>
        <w:spacing w:line="480" w:lineRule="auto"/>
        <w:ind w:firstLine="720"/>
        <w:rPr>
          <w:szCs w:val="22"/>
        </w:rPr>
      </w:pPr>
      <w:r>
        <w:rPr>
          <w:szCs w:val="22"/>
        </w:rPr>
        <w:t xml:space="preserve">For robustness of the results, the tests for other two specifications of the PVAR are shown in the left and </w:t>
      </w:r>
      <w:r w:rsidRPr="00C94B23">
        <w:rPr>
          <w:szCs w:val="22"/>
        </w:rPr>
        <w:t xml:space="preserve">right columns of the table </w:t>
      </w:r>
      <w:r w:rsidR="00C94B23" w:rsidRPr="00C94B23">
        <w:rPr>
          <w:szCs w:val="22"/>
        </w:rPr>
        <w:t>6.</w:t>
      </w:r>
      <w:r>
        <w:rPr>
          <w:szCs w:val="22"/>
        </w:rPr>
        <w:t xml:space="preserve"> The first column of the table shows test results for the model that excludes saving-investment and still exhibit Granger causality at 1% level of significance. The last column shows the extended version of the baseline model where real interest rate (an average of nominal policy rate minus inflation rate within a year) and exchange rate are included (using the Real Effective Exchange Rate: REER would be optimal but due to the limitations of data, a one-year-period appreciation/depreciation of local currencies against the US dollar is used instead). </w:t>
      </w:r>
      <w:r w:rsidR="00C3765C">
        <w:rPr>
          <w:szCs w:val="22"/>
        </w:rPr>
        <w:t>This model can be specifically written as:</w:t>
      </w:r>
    </w:p>
    <w:p w14:paraId="0CD23C38" w14:textId="757EBC00" w:rsidR="00214B02" w:rsidRDefault="00214B02" w:rsidP="00C3765C">
      <w:pPr>
        <w:spacing w:line="480" w:lineRule="auto"/>
        <w:jc w:val="center"/>
        <w:rPr>
          <w:szCs w:val="22"/>
        </w:rPr>
      </w:pPr>
      <w:r>
        <w:rPr>
          <w:rFonts w:ascii="Helvetica" w:hAnsi="Helvetica" w:cs="Helvetica"/>
          <w:noProof/>
          <w:color w:val="000000"/>
          <w:position w:val="-80"/>
          <w:sz w:val="21"/>
          <w:szCs w:val="21"/>
        </w:rPr>
        <w:drawing>
          <wp:anchor distT="0" distB="0" distL="114300" distR="114300" simplePos="0" relativeHeight="251669504" behindDoc="0" locked="0" layoutInCell="1" allowOverlap="1" wp14:anchorId="43B0CDB3" wp14:editId="514FC1A3">
            <wp:simplePos x="0" y="0"/>
            <wp:positionH relativeFrom="column">
              <wp:posOffset>160020</wp:posOffset>
            </wp:positionH>
            <wp:positionV relativeFrom="paragraph">
              <wp:posOffset>106680</wp:posOffset>
            </wp:positionV>
            <wp:extent cx="4427855" cy="111760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7855" cy="1117600"/>
                    </a:xfrm>
                    <a:prstGeom prst="rect">
                      <a:avLst/>
                    </a:prstGeom>
                    <a:noFill/>
                    <a:ln>
                      <a:noFill/>
                    </a:ln>
                  </pic:spPr>
                </pic:pic>
              </a:graphicData>
            </a:graphic>
          </wp:anchor>
        </w:drawing>
      </w:r>
    </w:p>
    <w:p w14:paraId="60997575" w14:textId="77777777" w:rsidR="00F56766" w:rsidRDefault="00214B02" w:rsidP="00C3765C">
      <w:pPr>
        <w:spacing w:line="480" w:lineRule="auto"/>
        <w:jc w:val="center"/>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p>
    <w:p w14:paraId="1DF8FF54" w14:textId="6FDF324C" w:rsidR="00214B02" w:rsidRDefault="00214B02" w:rsidP="00F56766">
      <w:pPr>
        <w:spacing w:line="480" w:lineRule="auto"/>
        <w:ind w:left="8640"/>
        <w:jc w:val="center"/>
        <w:rPr>
          <w:szCs w:val="22"/>
        </w:rPr>
      </w:pPr>
      <w:r>
        <w:rPr>
          <w:szCs w:val="22"/>
        </w:rPr>
        <w:t>(7)</w:t>
      </w:r>
    </w:p>
    <w:p w14:paraId="54BEBE21" w14:textId="31242BB1" w:rsidR="00214B02" w:rsidRDefault="00214B02" w:rsidP="00C3765C">
      <w:pPr>
        <w:spacing w:line="480" w:lineRule="auto"/>
        <w:jc w:val="center"/>
        <w:rPr>
          <w:szCs w:val="22"/>
        </w:rPr>
      </w:pPr>
      <w:r>
        <w:rPr>
          <w:szCs w:val="22"/>
        </w:rPr>
        <w:tab/>
      </w:r>
      <w:r>
        <w:rPr>
          <w:szCs w:val="22"/>
        </w:rPr>
        <w:tab/>
      </w:r>
      <w:r>
        <w:rPr>
          <w:szCs w:val="22"/>
        </w:rPr>
        <w:tab/>
      </w:r>
    </w:p>
    <w:p w14:paraId="23164F72" w14:textId="20558364" w:rsidR="00C3765C" w:rsidRDefault="00C3765C" w:rsidP="00C3765C">
      <w:pPr>
        <w:spacing w:line="480" w:lineRule="auto"/>
        <w:jc w:val="center"/>
        <w:rPr>
          <w:szCs w:val="22"/>
        </w:rPr>
      </w:pPr>
    </w:p>
    <w:p w14:paraId="6BB7025B" w14:textId="758E6698" w:rsidR="00E922F4" w:rsidRDefault="00717731" w:rsidP="00C3765C">
      <w:pPr>
        <w:spacing w:line="480" w:lineRule="auto"/>
        <w:ind w:firstLine="720"/>
        <w:rPr>
          <w:szCs w:val="22"/>
        </w:rPr>
      </w:pPr>
      <w:r>
        <w:rPr>
          <w:szCs w:val="22"/>
        </w:rPr>
        <w:t xml:space="preserve">The tests suggest that the prime saver ratio has Granger causal on </w:t>
      </w:r>
      <w:proofErr w:type="gramStart"/>
      <w:r>
        <w:rPr>
          <w:szCs w:val="22"/>
        </w:rPr>
        <w:t>all of</w:t>
      </w:r>
      <w:proofErr w:type="gramEnd"/>
      <w:r>
        <w:rPr>
          <w:szCs w:val="22"/>
        </w:rPr>
        <w:t xml:space="preserve"> the macroeconomic variables in the model at 5% level of significance. Note that results </w:t>
      </w:r>
      <w:r w:rsidR="003A77B6">
        <w:rPr>
          <w:szCs w:val="22"/>
        </w:rPr>
        <w:t>from the extended models may not be precise because of the severely unbalanced panel arises from more data point missing.</w:t>
      </w:r>
    </w:p>
    <w:p w14:paraId="38DE8869" w14:textId="77777777" w:rsidR="00B83DAF" w:rsidRDefault="00B83DAF" w:rsidP="000343F3">
      <w:pPr>
        <w:spacing w:line="480" w:lineRule="auto"/>
        <w:rPr>
          <w:szCs w:val="22"/>
        </w:rPr>
      </w:pPr>
    </w:p>
    <w:p w14:paraId="1E4E19B6" w14:textId="08EFF80E" w:rsidR="00FB4567" w:rsidRDefault="00F56766" w:rsidP="00F56766">
      <w:pPr>
        <w:tabs>
          <w:tab w:val="left" w:pos="720"/>
        </w:tabs>
        <w:spacing w:line="480" w:lineRule="auto"/>
        <w:rPr>
          <w:szCs w:val="22"/>
        </w:rPr>
      </w:pPr>
      <w:r>
        <w:rPr>
          <w:szCs w:val="22"/>
        </w:rPr>
        <w:lastRenderedPageBreak/>
        <w:tab/>
      </w:r>
      <w:r w:rsidR="00744C0F">
        <w:rPr>
          <w:szCs w:val="22"/>
        </w:rPr>
        <w:t>The impulse-response function</w:t>
      </w:r>
      <w:r w:rsidR="00416222">
        <w:rPr>
          <w:szCs w:val="22"/>
        </w:rPr>
        <w:t xml:space="preserve"> constructed from the baseline model (equation </w:t>
      </w:r>
      <w:r>
        <w:rPr>
          <w:szCs w:val="22"/>
        </w:rPr>
        <w:t>6</w:t>
      </w:r>
      <w:r w:rsidR="00416222">
        <w:rPr>
          <w:szCs w:val="22"/>
        </w:rPr>
        <w:t xml:space="preserve">) helps us gauge how the shock in demography contributes to changes in other macroeconomic variables over time. In this case, the focus is on how net savings and current account balance response to one-standard-deviation shock in prime saver ratio. The </w:t>
      </w:r>
      <w:r w:rsidR="00416222" w:rsidRPr="00C94B23">
        <w:rPr>
          <w:szCs w:val="22"/>
        </w:rPr>
        <w:t>figure</w:t>
      </w:r>
      <w:r w:rsidR="00C94B23" w:rsidRPr="00C94B23">
        <w:rPr>
          <w:szCs w:val="22"/>
        </w:rPr>
        <w:t xml:space="preserve"> 5</w:t>
      </w:r>
      <w:r w:rsidR="00416222" w:rsidRPr="00C94B23">
        <w:rPr>
          <w:szCs w:val="22"/>
        </w:rPr>
        <w:t xml:space="preserve"> shows</w:t>
      </w:r>
      <w:r w:rsidR="00416222">
        <w:rPr>
          <w:szCs w:val="22"/>
        </w:rPr>
        <w:t xml:space="preserve"> the plot of responses given shocks in a variable where the line plot </w:t>
      </w:r>
      <w:r w:rsidR="00C3765C">
        <w:rPr>
          <w:szCs w:val="22"/>
        </w:rPr>
        <w:t>shows the expected value of the response in term of standard deviation and the shaded area shows the 95% confidence interval of the response</w:t>
      </w:r>
      <w:r w:rsidR="00C3765C">
        <w:rPr>
          <w:rFonts w:cs="Angsana New"/>
          <w:szCs w:val="22"/>
        </w:rPr>
        <w:t>. The bottom left figure shows the main result: a</w:t>
      </w:r>
      <w:r w:rsidR="002B776F">
        <w:rPr>
          <w:rFonts w:cs="Angsana New"/>
          <w:szCs w:val="22"/>
        </w:rPr>
        <w:t xml:space="preserve"> </w:t>
      </w:r>
      <w:r w:rsidR="00C5102B">
        <w:rPr>
          <w:rFonts w:cs="Angsana New"/>
          <w:szCs w:val="22"/>
        </w:rPr>
        <w:t>one-standard-deviation</w:t>
      </w:r>
      <w:r w:rsidR="00C3765C">
        <w:rPr>
          <w:rFonts w:cs="Angsana New"/>
          <w:szCs w:val="22"/>
        </w:rPr>
        <w:t xml:space="preserve"> shock in prime saver ratio leads to a</w:t>
      </w:r>
      <w:r w:rsidR="00C5102B">
        <w:rPr>
          <w:rFonts w:cs="Angsana New"/>
          <w:szCs w:val="22"/>
        </w:rPr>
        <w:t xml:space="preserve"> significant</w:t>
      </w:r>
      <w:r w:rsidR="00C3765C">
        <w:rPr>
          <w:rFonts w:cs="Angsana New"/>
          <w:szCs w:val="22"/>
        </w:rPr>
        <w:t xml:space="preserve"> increase in current account balance </w:t>
      </w:r>
      <w:r w:rsidR="00C3765C">
        <w:rPr>
          <w:szCs w:val="22"/>
        </w:rPr>
        <w:t xml:space="preserve">but not spontaneously. </w:t>
      </w:r>
      <w:r w:rsidR="002B776F">
        <w:rPr>
          <w:szCs w:val="22"/>
        </w:rPr>
        <w:t>Starting in one year after the shock, t</w:t>
      </w:r>
      <w:r w:rsidR="00C3765C">
        <w:rPr>
          <w:szCs w:val="22"/>
        </w:rPr>
        <w:t xml:space="preserve">he current account balance increases at the increasing rate </w:t>
      </w:r>
      <w:r w:rsidR="002B776F">
        <w:rPr>
          <w:szCs w:val="22"/>
        </w:rPr>
        <w:t xml:space="preserve">with the peak at the year 5 where the balance increases approximately 51% of the </w:t>
      </w:r>
      <w:r w:rsidR="00C5102B">
        <w:rPr>
          <w:szCs w:val="22"/>
        </w:rPr>
        <w:t>standard deviation of current account balance of the whole panel</w:t>
      </w:r>
      <w:r w:rsidR="002B776F">
        <w:rPr>
          <w:szCs w:val="22"/>
        </w:rPr>
        <w:t xml:space="preserve">. After the year 5, the response then gradually dies down reaching 1% of the </w:t>
      </w:r>
      <w:r w:rsidR="00C5102B">
        <w:rPr>
          <w:szCs w:val="22"/>
        </w:rPr>
        <w:t>standard deviation</w:t>
      </w:r>
      <w:r w:rsidR="002B776F">
        <w:rPr>
          <w:szCs w:val="22"/>
        </w:rPr>
        <w:t xml:space="preserve"> roughly between the year 20 and 21. The 95% confidence interval </w:t>
      </w:r>
      <w:r w:rsidR="00C5102B">
        <w:rPr>
          <w:szCs w:val="22"/>
        </w:rPr>
        <w:t xml:space="preserve">is large and the lower bound is just below zero, however, the lower bound of 90% confidence interval is above zero indicating that the response is statistically significant in all periods at 10% level. The </w:t>
      </w:r>
      <w:r w:rsidR="001D2C5C">
        <w:rPr>
          <w:szCs w:val="22"/>
        </w:rPr>
        <w:t xml:space="preserve">bottom middle plot in </w:t>
      </w:r>
      <w:r w:rsidR="001D2C5C" w:rsidRPr="00C94B23">
        <w:rPr>
          <w:szCs w:val="22"/>
        </w:rPr>
        <w:t xml:space="preserve">the figure </w:t>
      </w:r>
      <w:r w:rsidR="00C94B23">
        <w:rPr>
          <w:szCs w:val="22"/>
        </w:rPr>
        <w:t>5</w:t>
      </w:r>
      <w:r w:rsidR="001D2C5C">
        <w:rPr>
          <w:szCs w:val="22"/>
        </w:rPr>
        <w:t xml:space="preserve"> shows how the saving minus investment to GDP ratio responses to a one-standard-deviation shock increase in prime saver ratio. The dynamic property of the IRF is </w:t>
      </w:r>
      <w:proofErr w:type="gramStart"/>
      <w:r w:rsidR="001D2C5C">
        <w:rPr>
          <w:szCs w:val="22"/>
        </w:rPr>
        <w:t>similar to</w:t>
      </w:r>
      <w:proofErr w:type="gramEnd"/>
      <w:r w:rsidR="001D2C5C">
        <w:rPr>
          <w:szCs w:val="22"/>
        </w:rPr>
        <w:t xml:space="preserve"> the one of current account balance, nevertheless, the magnitude of response is larger</w:t>
      </w:r>
      <w:r w:rsidR="00863BCF">
        <w:rPr>
          <w:szCs w:val="22"/>
        </w:rPr>
        <w:t xml:space="preserve"> with peak of the IRF at well above</w:t>
      </w:r>
      <w:r w:rsidR="00E93C37">
        <w:rPr>
          <w:szCs w:val="22"/>
        </w:rPr>
        <w:t xml:space="preserve"> a standard deviation in the net saving ratio. The peak year is however is about one year earlier than the peak of current account’s response and the pace of rising in the response is faster. This is according to the theoretical expectation, that is, an increase in prime saver population proportion affects aggregate savings first and then follows by an increase in the current account balance. </w:t>
      </w:r>
    </w:p>
    <w:p w14:paraId="0DEABA5F" w14:textId="77777777" w:rsidR="00F56766" w:rsidRDefault="00F56766" w:rsidP="00214B02">
      <w:pPr>
        <w:spacing w:line="480" w:lineRule="auto"/>
        <w:rPr>
          <w:i/>
          <w:iCs/>
        </w:rPr>
      </w:pPr>
    </w:p>
    <w:p w14:paraId="0784090B" w14:textId="27F826AE" w:rsidR="00E31255" w:rsidRDefault="00F56766" w:rsidP="00214B02">
      <w:pPr>
        <w:spacing w:line="480" w:lineRule="auto"/>
        <w:rPr>
          <w:i/>
          <w:iCs/>
        </w:rPr>
      </w:pPr>
      <w:r>
        <w:rPr>
          <w:i/>
          <w:iCs/>
        </w:rPr>
        <w:lastRenderedPageBreak/>
        <w:t xml:space="preserve">B. </w:t>
      </w:r>
      <w:r w:rsidR="00E31255">
        <w:rPr>
          <w:i/>
          <w:iCs/>
        </w:rPr>
        <w:t>The Static Panel Estimation</w:t>
      </w:r>
    </w:p>
    <w:p w14:paraId="4653EE2F" w14:textId="6319619C" w:rsidR="00E31255" w:rsidRPr="00E31255" w:rsidRDefault="00DB594B" w:rsidP="003253EA">
      <w:pPr>
        <w:spacing w:line="480" w:lineRule="auto"/>
        <w:ind w:firstLine="720"/>
      </w:pPr>
      <w:r>
        <w:t xml:space="preserve">The static panel model deploys all the available data points </w:t>
      </w:r>
      <w:proofErr w:type="gramStart"/>
      <w:r w:rsidR="00475561">
        <w:t>and also</w:t>
      </w:r>
      <w:proofErr w:type="gramEnd"/>
      <w:r w:rsidR="00475561">
        <w:t xml:space="preserve"> introduces several </w:t>
      </w:r>
      <w:r w:rsidR="00A92017">
        <w:t xml:space="preserve">general </w:t>
      </w:r>
      <w:r w:rsidR="00475561">
        <w:t>control variables including the GDP growth, FDI to GDP ratio, and the manufacturing proportion of GDP.</w:t>
      </w:r>
      <w:r w:rsidR="00A92017">
        <w:t xml:space="preserve"> The control characteristics comprising life expectancy, social security coverage, capital openness, and financial deepening, are included in the form of dummy variables. As mentioned in the previous section, the countries are divided into three groups according to the characteristics with the middle 33% group as the baseline. The interaction</w:t>
      </w:r>
      <w:r w:rsidR="00623537">
        <w:t xml:space="preserve"> </w:t>
      </w:r>
      <w:r w:rsidR="00FB7287">
        <w:t>terms of those group characteristics are also included. The full model can be written as:</w:t>
      </w:r>
    </w:p>
    <w:p w14:paraId="70C1806E" w14:textId="729701B0" w:rsidR="00C66A0C" w:rsidRDefault="00FB7287" w:rsidP="002F645F">
      <w:pPr>
        <w:spacing w:line="480" w:lineRule="auto"/>
        <w:ind w:firstLine="720"/>
        <w:jc w:val="center"/>
      </w:pPr>
      <w:r>
        <w:rPr>
          <w:noProof/>
          <w:position w:val="-9"/>
        </w:rPr>
        <w:drawing>
          <wp:anchor distT="0" distB="0" distL="114300" distR="114300" simplePos="0" relativeHeight="251666432" behindDoc="0" locked="0" layoutInCell="1" allowOverlap="1" wp14:anchorId="6B17636F" wp14:editId="7A5FBE5B">
            <wp:simplePos x="0" y="0"/>
            <wp:positionH relativeFrom="column">
              <wp:posOffset>1097280</wp:posOffset>
            </wp:positionH>
            <wp:positionV relativeFrom="paragraph">
              <wp:posOffset>350520</wp:posOffset>
            </wp:positionV>
            <wp:extent cx="1981200" cy="16625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0" cy="16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45F">
        <w:rPr>
          <w:noProof/>
          <w:position w:val="-15"/>
        </w:rPr>
        <w:drawing>
          <wp:anchor distT="0" distB="0" distL="114300" distR="114300" simplePos="0" relativeHeight="251665408" behindDoc="0" locked="0" layoutInCell="1" allowOverlap="1" wp14:anchorId="0CA41D4B" wp14:editId="05A9400A">
            <wp:simplePos x="0" y="0"/>
            <wp:positionH relativeFrom="column">
              <wp:posOffset>38100</wp:posOffset>
            </wp:positionH>
            <wp:positionV relativeFrom="paragraph">
              <wp:posOffset>99060</wp:posOffset>
            </wp:positionV>
            <wp:extent cx="5943600" cy="1968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6850"/>
                    </a:xfrm>
                    <a:prstGeom prst="rect">
                      <a:avLst/>
                    </a:prstGeom>
                    <a:noFill/>
                    <a:ln>
                      <a:noFill/>
                    </a:ln>
                  </pic:spPr>
                </pic:pic>
              </a:graphicData>
            </a:graphic>
          </wp:anchor>
        </w:drawing>
      </w:r>
    </w:p>
    <w:p w14:paraId="34DBB441" w14:textId="1662B4C2" w:rsidR="00C66A0C" w:rsidRDefault="00F56766" w:rsidP="00122E55">
      <w:pPr>
        <w:spacing w:line="480" w:lineRule="auto"/>
        <w:ind w:firstLine="720"/>
      </w:pPr>
      <w:r>
        <w:tab/>
      </w:r>
      <w:r>
        <w:tab/>
      </w:r>
      <w:r>
        <w:tab/>
      </w:r>
      <w:r>
        <w:tab/>
      </w:r>
      <w:r>
        <w:tab/>
      </w:r>
      <w:r>
        <w:tab/>
      </w:r>
      <w:r>
        <w:tab/>
      </w:r>
      <w:r>
        <w:tab/>
      </w:r>
      <w:r>
        <w:tab/>
      </w:r>
      <w:r>
        <w:tab/>
      </w:r>
      <w:r>
        <w:tab/>
        <w:t>(8)</w:t>
      </w:r>
    </w:p>
    <w:p w14:paraId="6F1A7911" w14:textId="5A9F3F36" w:rsidR="00FB7287" w:rsidRDefault="00FB7287" w:rsidP="00122E55">
      <w:pPr>
        <w:spacing w:line="480" w:lineRule="auto"/>
        <w:ind w:firstLine="720"/>
        <w:rPr>
          <w:rFonts w:cstheme="minorBidi"/>
        </w:rPr>
      </w:pPr>
      <w:r>
        <w:t xml:space="preserve">To determine whether the fixed effects or random effects are appropriate, the panel models are estimated and are tested using the Hausman Test. </w:t>
      </w:r>
      <w:r w:rsidR="009072BB">
        <w:t>T</w:t>
      </w:r>
      <w:r>
        <w:t xml:space="preserve">he group </w:t>
      </w:r>
      <w:r w:rsidR="009072BB">
        <w:t xml:space="preserve">dummy variables already control </w:t>
      </w:r>
      <w:r>
        <w:t xml:space="preserve">the fixed effects of country’s time-invariant </w:t>
      </w:r>
      <w:r w:rsidR="009072BB">
        <w:t xml:space="preserve">characteristics, and thus, the Hausman Test suggests a random effects model. </w:t>
      </w:r>
      <w:r w:rsidR="00796A13">
        <w:t xml:space="preserve">In the table </w:t>
      </w:r>
      <w:r w:rsidR="00C94B23">
        <w:t>7</w:t>
      </w:r>
      <w:r w:rsidR="00796A13">
        <w:t>, the equation (</w:t>
      </w:r>
      <w:r w:rsidR="00F56766">
        <w:t>9</w:t>
      </w:r>
      <w:r w:rsidR="00796A13">
        <w:t xml:space="preserve">) is the baseline with no characteristic control. </w:t>
      </w:r>
      <w:r w:rsidR="007F36D9">
        <w:rPr>
          <w:rFonts w:cstheme="minorBidi"/>
        </w:rPr>
        <w:t>The equation (</w:t>
      </w:r>
      <w:r w:rsidR="00F56766">
        <w:rPr>
          <w:rFonts w:cstheme="minorBidi"/>
        </w:rPr>
        <w:t>10</w:t>
      </w:r>
      <w:r w:rsidR="007F36D9">
        <w:rPr>
          <w:rFonts w:cstheme="minorBidi"/>
        </w:rPr>
        <w:t>), (</w:t>
      </w:r>
      <w:r w:rsidR="00F56766">
        <w:rPr>
          <w:rFonts w:cstheme="minorBidi"/>
        </w:rPr>
        <w:t>11</w:t>
      </w:r>
      <w:r w:rsidR="007F36D9">
        <w:rPr>
          <w:rFonts w:cstheme="minorBidi"/>
        </w:rPr>
        <w:t>), (</w:t>
      </w:r>
      <w:r w:rsidR="00F56766">
        <w:rPr>
          <w:rFonts w:cstheme="minorBidi"/>
        </w:rPr>
        <w:t>12</w:t>
      </w:r>
      <w:r w:rsidR="007F36D9">
        <w:rPr>
          <w:rFonts w:cstheme="minorBidi"/>
        </w:rPr>
        <w:t>), and (</w:t>
      </w:r>
      <w:r w:rsidR="00F56766">
        <w:rPr>
          <w:rFonts w:cstheme="minorBidi"/>
        </w:rPr>
        <w:t>13</w:t>
      </w:r>
      <w:r w:rsidR="007F36D9">
        <w:rPr>
          <w:rFonts w:cstheme="minorBidi"/>
        </w:rPr>
        <w:t xml:space="preserve">) are just the baseline with the dummy for each characteristic, and the last equation includes </w:t>
      </w:r>
      <w:proofErr w:type="gramStart"/>
      <w:r w:rsidR="007F36D9">
        <w:rPr>
          <w:rFonts w:cstheme="minorBidi"/>
        </w:rPr>
        <w:t>all of</w:t>
      </w:r>
      <w:proofErr w:type="gramEnd"/>
      <w:r w:rsidR="007F36D9">
        <w:rPr>
          <w:rFonts w:cstheme="minorBidi"/>
        </w:rPr>
        <w:t xml:space="preserve"> the dummies at once. Note that the last equation is likely to suffer multicollinearity problems because each characteristic highly correlates with others, and hence, this equation will be used for just the robustness check for the previous equations.</w:t>
      </w:r>
    </w:p>
    <w:p w14:paraId="170F723A" w14:textId="1AF49FA4" w:rsidR="00726CCD" w:rsidRDefault="00726CCD" w:rsidP="00122E55">
      <w:pPr>
        <w:spacing w:line="480" w:lineRule="auto"/>
        <w:ind w:firstLine="720"/>
        <w:rPr>
          <w:rFonts w:cstheme="minorBidi"/>
        </w:rPr>
      </w:pPr>
      <w:r>
        <w:rPr>
          <w:rFonts w:cstheme="minorBidi"/>
        </w:rPr>
        <w:t xml:space="preserve">The first estimated equation shows that </w:t>
      </w:r>
      <w:proofErr w:type="gramStart"/>
      <w:r>
        <w:rPr>
          <w:rFonts w:cstheme="minorBidi"/>
        </w:rPr>
        <w:t>all of</w:t>
      </w:r>
      <w:proofErr w:type="gramEnd"/>
      <w:r>
        <w:rPr>
          <w:rFonts w:cstheme="minorBidi"/>
        </w:rPr>
        <w:t xml:space="preserve"> the control variables are statistically significant at 10% level and the signs of estimated parameters are as expected. The current account balance to GDP tends to be higher in a growing industrialized country as observed from the positive associations of GDP growth, manufacturing proportion of national output, and the </w:t>
      </w:r>
      <w:r>
        <w:rPr>
          <w:rFonts w:cstheme="minorBidi"/>
        </w:rPr>
        <w:lastRenderedPageBreak/>
        <w:t>current account balance. The country with higher proportion of foreign direct investments to GDP tends to have a lower current account balance as these countrie</w:t>
      </w:r>
      <w:r w:rsidR="00C447C9">
        <w:rPr>
          <w:rFonts w:cstheme="minorBidi"/>
        </w:rPr>
        <w:t>s import great values of consumption and capital goods. The (overall) R-squared though is low at just below 7%, however, it is a reasonable level for this type of study. The next 4 estimated equations show no improvement in the R-squared given that they include characteristic dummy, nevertheless, the interaction terms in some equations are statistically significant, and thus can provide additional insights. The equation (</w:t>
      </w:r>
      <w:r w:rsidR="00F56766">
        <w:rPr>
          <w:rFonts w:cstheme="minorBidi"/>
        </w:rPr>
        <w:t>10</w:t>
      </w:r>
      <w:r w:rsidR="00C447C9">
        <w:rPr>
          <w:rFonts w:cstheme="minorBidi"/>
        </w:rPr>
        <w:t xml:space="preserve">) shows that demographic impacts on current account balance in the countries with lower life expectancy </w:t>
      </w:r>
      <w:r w:rsidR="00EF092A">
        <w:rPr>
          <w:rFonts w:cstheme="minorBidi"/>
        </w:rPr>
        <w:t>is likely to be lower than those of other groups. The equation (</w:t>
      </w:r>
      <w:r w:rsidR="00F56766">
        <w:rPr>
          <w:rFonts w:cstheme="minorBidi"/>
        </w:rPr>
        <w:t>11</w:t>
      </w:r>
      <w:r w:rsidR="00EF092A">
        <w:rPr>
          <w:rFonts w:cstheme="minorBidi"/>
        </w:rPr>
        <w:t>) clearly displayed the fact that the higher coverage of social security program, the higher demographic impact can be expected. The equation (</w:t>
      </w:r>
      <w:r w:rsidR="00F56766">
        <w:rPr>
          <w:rFonts w:cstheme="minorBidi"/>
        </w:rPr>
        <w:t>12</w:t>
      </w:r>
      <w:r w:rsidR="00EF092A">
        <w:rPr>
          <w:rFonts w:cstheme="minorBidi"/>
        </w:rPr>
        <w:t>) shows no meaningful variations of demographic impact given level of capital openness. This maybe according to the multicollinearity of the capital account openness and other control variables, and the method of grouping which does not allow for year-on-year variations in capital movement policies. The equation (</w:t>
      </w:r>
      <w:r w:rsidR="00F56766">
        <w:rPr>
          <w:rFonts w:cstheme="minorBidi"/>
        </w:rPr>
        <w:t>13</w:t>
      </w:r>
      <w:r w:rsidR="00EF092A">
        <w:rPr>
          <w:rFonts w:cstheme="minorBidi"/>
        </w:rPr>
        <w:t>) suggests that shallowness of the financial markets associates with a higher demographic impact on the current account balance. This could imply that with less developed financial systems in</w:t>
      </w:r>
      <w:r w:rsidR="008634AB">
        <w:rPr>
          <w:rFonts w:cstheme="minorBidi"/>
        </w:rPr>
        <w:t>dividuals in the prime saver age tend to save more because of the lack of accessibility to the productive assets in the markets. The equation (</w:t>
      </w:r>
      <w:r w:rsidR="00F56766">
        <w:rPr>
          <w:rFonts w:cstheme="minorBidi"/>
        </w:rPr>
        <w:t>14</w:t>
      </w:r>
      <w:r w:rsidR="008634AB">
        <w:rPr>
          <w:rFonts w:cstheme="minorBidi"/>
        </w:rPr>
        <w:t xml:space="preserve">) </w:t>
      </w:r>
      <w:r w:rsidR="00036611">
        <w:rPr>
          <w:rFonts w:cstheme="minorBidi"/>
        </w:rPr>
        <w:t xml:space="preserve">suggests similar result to the previous four equations, nonetheless, some estimated coefficients become less significant statistically due to the multicollinearity. </w:t>
      </w:r>
    </w:p>
    <w:p w14:paraId="4CFC047E" w14:textId="67EA667A" w:rsidR="00C66A0C" w:rsidRPr="00F56766" w:rsidRDefault="00036611" w:rsidP="00F56766">
      <w:pPr>
        <w:spacing w:line="480" w:lineRule="auto"/>
        <w:ind w:firstLine="720"/>
        <w:rPr>
          <w:rFonts w:cstheme="minorBidi"/>
        </w:rPr>
      </w:pPr>
      <w:r>
        <w:rPr>
          <w:rFonts w:cstheme="minorBidi"/>
        </w:rPr>
        <w:t xml:space="preserve">The results from the panel estimation indicate that </w:t>
      </w:r>
      <w:r w:rsidR="005D538C">
        <w:rPr>
          <w:rFonts w:cstheme="minorBidi"/>
        </w:rPr>
        <w:t>the factors that contributes to a larger demographic impact on the current account balance are a higher coverage of social security programs and a shallower finance while the factors that contribute to a smaller demographic impact are a lower life expectancy at birth and a lower coverage of social security programs.</w:t>
      </w:r>
    </w:p>
    <w:p w14:paraId="6C871A5D" w14:textId="359D203C" w:rsidR="006C5385" w:rsidRPr="00F56766" w:rsidRDefault="006C5385" w:rsidP="006C5385">
      <w:pPr>
        <w:spacing w:line="480" w:lineRule="auto"/>
        <w:rPr>
          <w:b/>
          <w:bCs/>
          <w:sz w:val="28"/>
          <w:szCs w:val="28"/>
        </w:rPr>
      </w:pPr>
      <w:r w:rsidRPr="00F56766">
        <w:rPr>
          <w:b/>
          <w:bCs/>
          <w:sz w:val="28"/>
          <w:szCs w:val="28"/>
        </w:rPr>
        <w:lastRenderedPageBreak/>
        <w:t>V</w:t>
      </w:r>
      <w:r w:rsidR="00F56766" w:rsidRPr="00F56766">
        <w:rPr>
          <w:b/>
          <w:bCs/>
          <w:sz w:val="28"/>
          <w:szCs w:val="28"/>
        </w:rPr>
        <w:t>I</w:t>
      </w:r>
      <w:r w:rsidRPr="00F56766">
        <w:rPr>
          <w:b/>
          <w:bCs/>
          <w:sz w:val="28"/>
          <w:szCs w:val="28"/>
        </w:rPr>
        <w:t>I. Projections</w:t>
      </w:r>
    </w:p>
    <w:p w14:paraId="43D2BF18" w14:textId="705E1F43" w:rsidR="00E30975" w:rsidRDefault="007D7AC7" w:rsidP="006C5385">
      <w:pPr>
        <w:spacing w:line="480" w:lineRule="auto"/>
      </w:pPr>
      <w:r>
        <w:tab/>
        <w:t xml:space="preserve">China, South Korea, and Thailand are the three </w:t>
      </w:r>
      <w:r w:rsidR="00AC1606">
        <w:t xml:space="preserve">focused economies in this study. The panel deployed for the projections depends on the characteristics of each economy which is illustrated in </w:t>
      </w:r>
      <w:r w:rsidR="00AC1606" w:rsidRPr="00C94B23">
        <w:t xml:space="preserve">the table </w:t>
      </w:r>
      <w:r w:rsidR="00C94B23">
        <w:t>8</w:t>
      </w:r>
      <w:r w:rsidR="00AC1606" w:rsidRPr="00C94B23">
        <w:t>,</w:t>
      </w:r>
      <w:r w:rsidR="00AC1606">
        <w:t xml:space="preserve"> and by using the methodology discussed in the previous section the datasets deployed for the projections are according to </w:t>
      </w:r>
      <w:r w:rsidR="00AC1606" w:rsidRPr="00C94B23">
        <w:t xml:space="preserve">the table </w:t>
      </w:r>
      <w:r w:rsidR="00C94B23" w:rsidRPr="00C94B23">
        <w:t>9.</w:t>
      </w:r>
      <w:r w:rsidR="00AC1606" w:rsidRPr="00C94B23">
        <w:t xml:space="preserve"> Th</w:t>
      </w:r>
      <w:r w:rsidR="00C94B23" w:rsidRPr="00C94B23">
        <w:t>e</w:t>
      </w:r>
      <w:r w:rsidR="00AC1606" w:rsidRPr="00C94B23">
        <w:t xml:space="preserve"> table </w:t>
      </w:r>
      <w:r w:rsidR="00AC1606">
        <w:t>shows the excluded countries given the country of interest, note that the dataset used in projecting China’s and Thailand’s current account balance due to demographic shifts will be the same. This is because China and Thailand share almost all the characteristics expect that for the capital control where China has relatively low financial openness compared to Thailand. The projection for South Korea will use the</w:t>
      </w:r>
      <w:r w:rsidR="003C4BF5">
        <w:t xml:space="preserve"> slightly</w:t>
      </w:r>
      <w:r w:rsidR="00AC1606">
        <w:t xml:space="preserve"> different dataset from those two countries </w:t>
      </w:r>
      <w:r w:rsidR="003C4BF5">
        <w:t xml:space="preserve">according to the difference in a level of social security program coverage. </w:t>
      </w:r>
    </w:p>
    <w:p w14:paraId="082439BC" w14:textId="29404045" w:rsidR="00006BF8" w:rsidRDefault="00006BF8" w:rsidP="006C5385">
      <w:pPr>
        <w:spacing w:line="480" w:lineRule="auto"/>
      </w:pPr>
      <w:r>
        <w:tab/>
        <w:t xml:space="preserve">The inputs for the projections are the demographic cohort forecasts of the year 2040 by The United Nations’ the Department of Economic and Social Affairs. The change in prime saver proportion to the population is normalized by the standard deviations of prime savers of the selected datasets for each country. The normalized shocks are then multiplied by the coefficient of the IRF in each period to get </w:t>
      </w:r>
      <w:r w:rsidR="00472342">
        <w:t xml:space="preserve">magnitude of the current account response in each period. The obtained current account responses are in the unit of standard deviation for the whole dataset and thus to retrieve the response magnitude for the projected country, the response magnitude is converted to the country-specific standard deviation by using a relative weight. The relative weight is a proportion of country-specific standard deviation in current account balance to GDP to the one of the overall dataset, for example, South Korea has low volatility in current account balance is thus the calculated weight for the country is strictly less than one. </w:t>
      </w:r>
    </w:p>
    <w:p w14:paraId="2C5524F9" w14:textId="32788544" w:rsidR="003C4BF5" w:rsidRDefault="00472342" w:rsidP="006C5385">
      <w:pPr>
        <w:spacing w:line="480" w:lineRule="auto"/>
      </w:pPr>
      <w:r>
        <w:lastRenderedPageBreak/>
        <w:tab/>
      </w:r>
      <w:r w:rsidR="00674B52" w:rsidRPr="00C94B23">
        <w:t xml:space="preserve">The figure </w:t>
      </w:r>
      <w:r w:rsidR="00C94B23" w:rsidRPr="00C94B23">
        <w:t>6</w:t>
      </w:r>
      <w:r w:rsidR="00674B52" w:rsidRPr="00C94B23">
        <w:t xml:space="preserve"> shows the projection results</w:t>
      </w:r>
      <w:r w:rsidR="00674B52">
        <w:t xml:space="preserve"> of changes in current account </w:t>
      </w:r>
      <w:r w:rsidR="00033F83">
        <w:t>due demographic shocks. With the projection starting 2040, the projections show decreases in the current account balance as a percentage of GDP due to decreases in prime saver proportion</w:t>
      </w:r>
      <w:r w:rsidR="005C403F">
        <w:t xml:space="preserve">. The forecast horizon is 50 years and the reason for such a long horizon is due to the dynamic property of the model. Even though </w:t>
      </w:r>
      <w:r w:rsidR="00FE6EB3">
        <w:t xml:space="preserve">magnitudes of the current account response might not be large, for example, the forecast for China indicates that at the peak of response the impact is just about 0.1% of its GDP. However, the forecast shows that such the impacts persist even after decades for </w:t>
      </w:r>
      <w:proofErr w:type="gramStart"/>
      <w:r w:rsidR="00FE6EB3">
        <w:t>all of</w:t>
      </w:r>
      <w:proofErr w:type="gramEnd"/>
      <w:r w:rsidR="00FE6EB3">
        <w:t xml:space="preserve"> the countries. While the impact is relatively small for China, South Korea and Thailand sees a larger demographic impact with South Korea at the peak reaching 1% of its GDP. </w:t>
      </w:r>
      <w:r w:rsidR="009C5C54">
        <w:t>The persistence in the current account response due to demographic transition is owing to the dynamic of prime saver population cohort itself. In this model, the demographic is not completely exogenous</w:t>
      </w:r>
      <w:r w:rsidR="006946FD">
        <w:t>, it has its own response for the shock as the decrease in prime saver cohort is a continuous process. This process therefore contributes to the persistence of the current account response that the response takes very long time period to die down and suggests that such the demogra</w:t>
      </w:r>
      <w:r w:rsidR="006C22C3">
        <w:t>p</w:t>
      </w:r>
      <w:r w:rsidR="006946FD">
        <w:t>hic</w:t>
      </w:r>
      <w:r w:rsidR="006C22C3">
        <w:t xml:space="preserve"> change shifts down the level of current account balance permanently. </w:t>
      </w:r>
      <w:r w:rsidR="009C5C54">
        <w:t xml:space="preserve"> </w:t>
      </w:r>
    </w:p>
    <w:p w14:paraId="118EC7F0" w14:textId="6379C080" w:rsidR="00F44F2C" w:rsidRDefault="006C22C3" w:rsidP="006C5385">
      <w:pPr>
        <w:spacing w:line="480" w:lineRule="auto"/>
      </w:pPr>
      <w:r>
        <w:tab/>
        <w:t xml:space="preserve">Projections for the three countries are different in terms of magnitude but the dynamic features are similar as discussed above. </w:t>
      </w:r>
      <w:r w:rsidR="00BB21FE">
        <w:t xml:space="preserve">The projection suggests that the 20-year accumulated current account balance to GDP responses to the demographic changes in 2040 are 1.57% drop for China, 11.25% drop for Thailand, and 16.71% drop for South Korea. </w:t>
      </w:r>
      <w:r>
        <w:t xml:space="preserve">The variations of magnitude of response are largely thanks to the initial magnitude of the reduction of prime age saver population or the shock that is imposed into the model. This directly reflects the pace of population aging with South Korea having the most rapid pace among all followed by Thailand and China. For South Korea in 2041, a year after the shock is imposed, the current account </w:t>
      </w:r>
      <w:r>
        <w:lastRenderedPageBreak/>
        <w:t>balance to GDP ratio tends to fall by about 0.5% and the size of reduction increases until reaching 1% in four years later, and after tha</w:t>
      </w:r>
      <w:r w:rsidR="00F44F2C">
        <w:t>t</w:t>
      </w:r>
      <w:r>
        <w:t xml:space="preserve"> the impact slowly dies down</w:t>
      </w:r>
      <w:r w:rsidR="00F44F2C">
        <w:t xml:space="preserve"> but still persists for decades. For Thailand, the forecast path is </w:t>
      </w:r>
      <w:proofErr w:type="gramStart"/>
      <w:r w:rsidR="00F44F2C">
        <w:t>similar to</w:t>
      </w:r>
      <w:proofErr w:type="gramEnd"/>
      <w:r w:rsidR="00F44F2C">
        <w:t xml:space="preserve"> the one of South Korea with the first-period response in 2041 at 0.25% and the peak in 2046 at 0.7%, one-year later than South Korea. For China, the response is smaller, and this is owing to the slow pace of aging in China comparing to the other two countries. The first-period response is close to zero and the peak is at 2047, the latest of all countries, where the country about 0.1% drop in the current account balance to the GDP ratio due to demographic changes.</w:t>
      </w:r>
    </w:p>
    <w:p w14:paraId="0EB21C4C" w14:textId="266A3781" w:rsidR="00401E3C" w:rsidRDefault="00F44F2C" w:rsidP="00F56766">
      <w:pPr>
        <w:spacing w:line="480" w:lineRule="auto"/>
      </w:pPr>
      <w:r>
        <w:tab/>
        <w:t xml:space="preserve">  </w:t>
      </w:r>
    </w:p>
    <w:p w14:paraId="5BA71DB0" w14:textId="53E019E4" w:rsidR="00AD09D8" w:rsidRPr="00F56766" w:rsidRDefault="00123372" w:rsidP="00401E3C">
      <w:pPr>
        <w:spacing w:line="480" w:lineRule="auto"/>
        <w:rPr>
          <w:sz w:val="28"/>
          <w:szCs w:val="28"/>
        </w:rPr>
      </w:pPr>
      <w:r w:rsidRPr="00F56766">
        <w:rPr>
          <w:rFonts w:cstheme="minorBidi"/>
          <w:b/>
          <w:bCs/>
          <w:sz w:val="28"/>
          <w:szCs w:val="28"/>
        </w:rPr>
        <w:t>VI</w:t>
      </w:r>
      <w:r w:rsidR="00F56766" w:rsidRPr="00F56766">
        <w:rPr>
          <w:rFonts w:cstheme="minorBidi"/>
          <w:b/>
          <w:bCs/>
          <w:sz w:val="28"/>
          <w:szCs w:val="28"/>
        </w:rPr>
        <w:t>I</w:t>
      </w:r>
      <w:r w:rsidR="006C5385" w:rsidRPr="00F56766">
        <w:rPr>
          <w:rFonts w:cstheme="minorBidi"/>
          <w:b/>
          <w:bCs/>
          <w:sz w:val="28"/>
          <w:szCs w:val="28"/>
        </w:rPr>
        <w:t>I</w:t>
      </w:r>
      <w:r w:rsidRPr="00F56766">
        <w:rPr>
          <w:rFonts w:cstheme="minorBidi"/>
          <w:b/>
          <w:bCs/>
          <w:sz w:val="28"/>
          <w:szCs w:val="28"/>
        </w:rPr>
        <w:t>. Conclusion</w:t>
      </w:r>
    </w:p>
    <w:p w14:paraId="3A3C3CF3" w14:textId="36C0D1D0" w:rsidR="00D0595F" w:rsidRDefault="00D0595F" w:rsidP="00466AC0">
      <w:pPr>
        <w:spacing w:line="480" w:lineRule="auto"/>
      </w:pPr>
      <w:r>
        <w:tab/>
        <w:t xml:space="preserve">This study shows that aging population can reduce current account surpluses through a reduction in aggregate savings. The </w:t>
      </w:r>
      <w:r w:rsidR="00546A7A">
        <w:t xml:space="preserve">panel vector autoregressive model (PVAR) can also account for the dynamic properties of the demographic shift, particularly a shock in prime age saver (45 – 64 years old) population. The impulse-response function indicates that the responses of current account balance persists for more than 20 years after the shock is realized, and the peak of such the responses occur about 5 years after the shock. The magnitude of responses is not large with the maximum response about a half standard deviation of current account to GDP ratio given a standard deviation shock in prime saver population proportion. </w:t>
      </w:r>
      <w:r w:rsidR="00DF261C">
        <w:t xml:space="preserve">The magnitude of impact furthermore depends on characteristics of the macroeconomy. To be specific, a country with lower life expectancy and lower social security program coverage tends to </w:t>
      </w:r>
      <w:r w:rsidR="00AC3FA4">
        <w:t xml:space="preserve">present a weaker demographic impact on the current account balance to GDP ratio whereas a country with higher social security coverage and shallower finance tends to exhibit a stronger impact. </w:t>
      </w:r>
      <w:r w:rsidR="00C31A09">
        <w:t xml:space="preserve">Based on these findings, </w:t>
      </w:r>
      <w:r w:rsidR="00BB21FE">
        <w:t xml:space="preserve">China will see a relatively small demographic impact on current account compared to </w:t>
      </w:r>
      <w:r w:rsidR="00BB21FE">
        <w:lastRenderedPageBreak/>
        <w:t xml:space="preserve">the impact on current account for South Korea and Thailand. On annual basis, South Korea is likely to </w:t>
      </w:r>
      <w:r w:rsidR="00E770D4">
        <w:t>see</w:t>
      </w:r>
      <w:r w:rsidR="00BB21FE">
        <w:t xml:space="preserve">, on the average of a 20-year period after the shock, </w:t>
      </w:r>
      <w:r w:rsidR="00E770D4">
        <w:t xml:space="preserve">a drop in current account to GDP ratio at 0.84%, while such the average drops are 0.56% for Thailand, and 0.07% for China. While the size of decreases may not be large, the demographic impacts tend to last for at least 20 years after the shock, and this implies that a shift in demography leads to a permanent shift in the level of current account balance to GDP. With these projected values, the greying East Asia </w:t>
      </w:r>
      <w:r w:rsidR="000A33BA">
        <w:t>is not sufficient to erase total amount of the current account surpluses in East Asian countries, however, these countries, in the near future, will experience a “new normal” on the level of current account surpluses due to the level shifts implied by the projections. The new normal in this case is the situation where these countries cannot expect the same natural level of current account surplus. The lower level of current account balance to GDP will be the new normal and such the new norm will arrive as soon as 2040.</w:t>
      </w:r>
    </w:p>
    <w:p w14:paraId="1E3DDABA" w14:textId="10500C91" w:rsidR="000A33BA" w:rsidRDefault="000A33BA" w:rsidP="00466AC0">
      <w:pPr>
        <w:spacing w:line="480" w:lineRule="auto"/>
      </w:pPr>
      <w:r>
        <w:tab/>
        <w:t xml:space="preserve">The study builds on the number of literatures in the area in order to provide an extensive study regarding the demography and current account. It attempts to take advantage of the unconventional method of PVAR and use it extensively, however, </w:t>
      </w:r>
      <w:r w:rsidR="008F5354">
        <w:t xml:space="preserve">with limitations in data, the estimations are still far from optimality. The unbalanced panel is the key challenge in this study because it complicates the implementation of PVAR estimation largely </w:t>
      </w:r>
      <w:r w:rsidR="00390089">
        <w:t>since</w:t>
      </w:r>
      <w:r w:rsidR="008F5354">
        <w:t xml:space="preserve"> the model is </w:t>
      </w:r>
      <w:r w:rsidR="00390089">
        <w:t>dynamic,</w:t>
      </w:r>
      <w:r w:rsidR="008F5354">
        <w:t xml:space="preserve"> and </w:t>
      </w:r>
      <w:r w:rsidR="00210DCB">
        <w:t xml:space="preserve">the </w:t>
      </w:r>
      <w:r w:rsidR="008F5354">
        <w:t>long</w:t>
      </w:r>
      <w:r w:rsidR="00210DCB">
        <w:t xml:space="preserve"> and complete </w:t>
      </w:r>
      <w:r w:rsidR="008F5354">
        <w:t xml:space="preserve">time series </w:t>
      </w:r>
      <w:r w:rsidR="00210DCB">
        <w:t>are required</w:t>
      </w:r>
      <w:r w:rsidR="008F5354">
        <w:t xml:space="preserve">. </w:t>
      </w:r>
      <w:r w:rsidR="00390089">
        <w:t xml:space="preserve">With these limitations in mind, it is fair to say that the estimates may not be precise that they should dictate how the policy response be, or how should we establish the “new normal” for those countries. There are caveats about how the forecasts should be interpreted. First, the forecasts only show the changes due to demography while do not address any other key factors that play important roles in determining the nation’s external balance. Second, </w:t>
      </w:r>
      <w:r w:rsidR="00FB0215">
        <w:t xml:space="preserve">since the </w:t>
      </w:r>
      <w:r w:rsidR="00390089">
        <w:t>PVAR provides</w:t>
      </w:r>
      <w:r w:rsidR="00FB0215">
        <w:t xml:space="preserve"> only</w:t>
      </w:r>
      <w:r w:rsidR="00390089">
        <w:t xml:space="preserve"> a loose structure of the </w:t>
      </w:r>
      <w:r w:rsidR="00FB0215">
        <w:lastRenderedPageBreak/>
        <w:t>model</w:t>
      </w:r>
      <w:r w:rsidR="00390089">
        <w:t>,</w:t>
      </w:r>
      <w:r w:rsidR="00FB0215">
        <w:t xml:space="preserve"> the results can be sensitive given that more restrictions are imposed. This specification of PVAR thus may only provide one among many possible forecasts. And third, the study focuses on the partial equilibrium, and thus does not address how the surpluses and deficits in the current accounts balanced out. For example, if one country sees a current account surplus, such the surplus must be a deficit for some countries. But even with the precision and interpretation issues, this study shows roughly the trajectories of the current account balance </w:t>
      </w:r>
      <w:proofErr w:type="gramStart"/>
      <w:r w:rsidR="00FB0215">
        <w:t>in the near future</w:t>
      </w:r>
      <w:proofErr w:type="gramEnd"/>
      <w:r w:rsidR="00FB0215">
        <w:t xml:space="preserve"> given the demographic trends and. This study furthermore </w:t>
      </w:r>
      <w:r w:rsidR="006F4BAA">
        <w:t>analyzes how</w:t>
      </w:r>
      <w:r w:rsidR="00FB0215">
        <w:t xml:space="preserve"> those trajectories vary among the countries given </w:t>
      </w:r>
      <w:r w:rsidR="006F4BAA">
        <w:t xml:space="preserve">differences in economic characteristics based on large numbers of past studies. </w:t>
      </w:r>
    </w:p>
    <w:p w14:paraId="69FEC1FB" w14:textId="027A78FD" w:rsidR="006F4BAA" w:rsidRDefault="006F4BAA" w:rsidP="00466AC0">
      <w:pPr>
        <w:spacing w:line="480" w:lineRule="auto"/>
      </w:pPr>
      <w:r>
        <w:tab/>
        <w:t>This study is only one of the puzzle pieces that tell us how the future in global imbalances should look like given this huge wave demographic shift. The further questions that can be built on this study includes</w:t>
      </w:r>
      <w:r w:rsidR="00EA28F2">
        <w:t xml:space="preserve"> the study of dynamic panel method that addresses the problem of large panel but short time series,</w:t>
      </w:r>
      <w:r>
        <w:t xml:space="preserve"> how to address for the other regions of the world where the demography is at different stage, how would their current account balances change,</w:t>
      </w:r>
      <w:r w:rsidR="00EA28F2">
        <w:t xml:space="preserve"> and </w:t>
      </w:r>
      <w:r>
        <w:t xml:space="preserve">what kind of policies that are appropriate given the projections. This study again does not attempt to answer whether the current account surpluses should be eliminated </w:t>
      </w:r>
      <w:r w:rsidR="00EA28F2">
        <w:t xml:space="preserve">or maintained but to give insights into the future. The question of “should” the global imbalances exist cannot be informed by this study and is subjected to the long way of debates.  </w:t>
      </w:r>
    </w:p>
    <w:p w14:paraId="1E886363" w14:textId="7159866F" w:rsidR="00FB0215" w:rsidRDefault="00FB0215" w:rsidP="00466AC0">
      <w:pPr>
        <w:spacing w:line="480" w:lineRule="auto"/>
      </w:pPr>
      <w:r>
        <w:tab/>
      </w:r>
    </w:p>
    <w:p w14:paraId="21A61C5B" w14:textId="574E2B59" w:rsidR="000A33BA" w:rsidRDefault="000A33BA" w:rsidP="00466AC0">
      <w:pPr>
        <w:spacing w:line="480" w:lineRule="auto"/>
      </w:pPr>
      <w:r>
        <w:tab/>
      </w:r>
    </w:p>
    <w:p w14:paraId="15496420" w14:textId="3B92EE9A" w:rsidR="00F56766" w:rsidRDefault="00F56766" w:rsidP="00466AC0">
      <w:pPr>
        <w:spacing w:line="480" w:lineRule="auto"/>
      </w:pPr>
    </w:p>
    <w:p w14:paraId="0ED865A9" w14:textId="77777777" w:rsidR="00F56766" w:rsidRPr="00DF261C" w:rsidRDefault="00F56766" w:rsidP="00466AC0">
      <w:pPr>
        <w:spacing w:line="480" w:lineRule="auto"/>
      </w:pPr>
    </w:p>
    <w:p w14:paraId="468486B0" w14:textId="5B8C8E4E" w:rsidR="00AD09D8" w:rsidRPr="00401E3C" w:rsidRDefault="00401E3C" w:rsidP="00466AC0">
      <w:pPr>
        <w:spacing w:line="480" w:lineRule="auto"/>
      </w:pPr>
      <w:r>
        <w:tab/>
      </w:r>
      <w:r w:rsidR="00D0595F">
        <w:t xml:space="preserve">   </w:t>
      </w:r>
    </w:p>
    <w:p w14:paraId="434799FB" w14:textId="4CE34881" w:rsidR="00E20873" w:rsidRPr="00E20873" w:rsidRDefault="00123372" w:rsidP="00466AC0">
      <w:pPr>
        <w:spacing w:line="480" w:lineRule="auto"/>
        <w:rPr>
          <w:b/>
          <w:bCs/>
          <w:sz w:val="28"/>
          <w:szCs w:val="28"/>
        </w:rPr>
      </w:pPr>
      <w:r w:rsidRPr="00F56766">
        <w:rPr>
          <w:b/>
          <w:bCs/>
          <w:sz w:val="28"/>
          <w:szCs w:val="28"/>
        </w:rPr>
        <w:lastRenderedPageBreak/>
        <w:t>I</w:t>
      </w:r>
      <w:r w:rsidR="00F56766">
        <w:rPr>
          <w:b/>
          <w:bCs/>
          <w:sz w:val="28"/>
          <w:szCs w:val="28"/>
        </w:rPr>
        <w:t xml:space="preserve">X. </w:t>
      </w:r>
      <w:r w:rsidR="00EA3E2A" w:rsidRPr="00F56766">
        <w:rPr>
          <w:b/>
          <w:bCs/>
          <w:sz w:val="28"/>
          <w:szCs w:val="28"/>
        </w:rPr>
        <w:t>References</w:t>
      </w:r>
    </w:p>
    <w:p w14:paraId="29EDDB86" w14:textId="77777777" w:rsidR="00E20873" w:rsidRDefault="00E20873" w:rsidP="00E20873">
      <w:pPr>
        <w:spacing w:line="276" w:lineRule="auto"/>
        <w:rPr>
          <w:i/>
          <w:iCs/>
        </w:rPr>
      </w:pPr>
      <w:proofErr w:type="spellStart"/>
      <w:r w:rsidRPr="00E20873">
        <w:t>Abrigo</w:t>
      </w:r>
      <w:proofErr w:type="spellEnd"/>
      <w:r w:rsidRPr="00E20873">
        <w:t>, M. R. M., &amp; Love, I. (2016). Estimation of Panel Vector Autoregression in Stata. </w:t>
      </w:r>
      <w:r w:rsidRPr="00E20873">
        <w:rPr>
          <w:i/>
          <w:iCs/>
        </w:rPr>
        <w:t xml:space="preserve">The </w:t>
      </w:r>
    </w:p>
    <w:p w14:paraId="34D811D8" w14:textId="2ABD1E51" w:rsidR="00E20873" w:rsidRPr="00E20873" w:rsidRDefault="00E20873" w:rsidP="00E20873">
      <w:pPr>
        <w:spacing w:line="276" w:lineRule="auto"/>
      </w:pPr>
      <w:r>
        <w:rPr>
          <w:i/>
          <w:iCs/>
        </w:rPr>
        <w:t xml:space="preserve">     </w:t>
      </w:r>
      <w:r w:rsidRPr="00E20873">
        <w:rPr>
          <w:i/>
          <w:iCs/>
        </w:rPr>
        <w:t>Stata Journal: Promoting Communications on Statistics and Stata</w:t>
      </w:r>
      <w:r w:rsidRPr="00E20873">
        <w:t>, </w:t>
      </w:r>
      <w:r w:rsidRPr="00E20873">
        <w:rPr>
          <w:i/>
          <w:iCs/>
        </w:rPr>
        <w:t>16(3),</w:t>
      </w:r>
      <w:r w:rsidRPr="00E20873">
        <w:t xml:space="preserve"> 778–804. </w:t>
      </w:r>
    </w:p>
    <w:p w14:paraId="18CC9B93" w14:textId="77777777" w:rsidR="00E20873" w:rsidRPr="00E20873" w:rsidRDefault="00E20873" w:rsidP="00E20873">
      <w:pPr>
        <w:spacing w:line="276" w:lineRule="auto"/>
      </w:pPr>
    </w:p>
    <w:p w14:paraId="08731E04" w14:textId="77777777" w:rsidR="00E20873" w:rsidRDefault="00E20873" w:rsidP="00E20873">
      <w:pPr>
        <w:spacing w:line="276" w:lineRule="auto"/>
      </w:pPr>
      <w:r w:rsidRPr="00E20873">
        <w:t xml:space="preserve">Arellano, M., &amp; </w:t>
      </w:r>
      <w:proofErr w:type="spellStart"/>
      <w:r w:rsidRPr="00E20873">
        <w:t>Bover</w:t>
      </w:r>
      <w:proofErr w:type="spellEnd"/>
      <w:r w:rsidRPr="00E20873">
        <w:t xml:space="preserve">, O. (1995). Another look at the instrumental variable estimation of </w:t>
      </w:r>
    </w:p>
    <w:p w14:paraId="14B91A51" w14:textId="46F06060" w:rsidR="00E20873" w:rsidRPr="00E20873" w:rsidRDefault="00E20873" w:rsidP="00E20873">
      <w:pPr>
        <w:spacing w:line="276" w:lineRule="auto"/>
      </w:pPr>
      <w:r>
        <w:t xml:space="preserve">      </w:t>
      </w:r>
      <w:r w:rsidRPr="00E20873">
        <w:t>error-components models. </w:t>
      </w:r>
      <w:r w:rsidRPr="00E20873">
        <w:rPr>
          <w:i/>
          <w:iCs/>
        </w:rPr>
        <w:t>Journal of Econometrics,</w:t>
      </w:r>
      <w:r w:rsidRPr="00E20873">
        <w:t> </w:t>
      </w:r>
      <w:r w:rsidRPr="00E20873">
        <w:rPr>
          <w:i/>
          <w:iCs/>
        </w:rPr>
        <w:t>68(1),</w:t>
      </w:r>
      <w:r w:rsidRPr="00E20873">
        <w:t xml:space="preserve"> 29–51. </w:t>
      </w:r>
    </w:p>
    <w:p w14:paraId="1368EE21" w14:textId="77777777" w:rsidR="00E20873" w:rsidRPr="00E20873" w:rsidRDefault="00E20873" w:rsidP="00E20873">
      <w:pPr>
        <w:spacing w:line="276" w:lineRule="auto"/>
      </w:pPr>
    </w:p>
    <w:p w14:paraId="0FC5C549" w14:textId="77777777" w:rsidR="00E20873" w:rsidRDefault="00460506" w:rsidP="00E20873">
      <w:pPr>
        <w:spacing w:line="276" w:lineRule="auto"/>
      </w:pPr>
      <w:proofErr w:type="spellStart"/>
      <w:r w:rsidRPr="00E20873">
        <w:t>Bárány</w:t>
      </w:r>
      <w:proofErr w:type="spellEnd"/>
      <w:r w:rsidRPr="00E20873">
        <w:t xml:space="preserve">, Z., </w:t>
      </w:r>
      <w:proofErr w:type="spellStart"/>
      <w:r w:rsidRPr="00E20873">
        <w:t>Coeurdacier</w:t>
      </w:r>
      <w:proofErr w:type="spellEnd"/>
      <w:r w:rsidRPr="00E20873">
        <w:t xml:space="preserve">, N., &amp; </w:t>
      </w:r>
      <w:proofErr w:type="spellStart"/>
      <w:r w:rsidRPr="00E20873">
        <w:t>Guibaud</w:t>
      </w:r>
      <w:proofErr w:type="spellEnd"/>
      <w:r w:rsidRPr="00E20873">
        <w:t xml:space="preserve">, S. (2016). </w:t>
      </w:r>
      <w:r w:rsidRPr="00E20873">
        <w:rPr>
          <w:i/>
          <w:iCs/>
        </w:rPr>
        <w:t>Fertility, Longevity, and Capital</w:t>
      </w:r>
      <w:r w:rsidR="00E20873">
        <w:rPr>
          <w:i/>
          <w:iCs/>
        </w:rPr>
        <w:t xml:space="preserve"> </w:t>
      </w:r>
      <w:r w:rsidRPr="00E20873">
        <w:rPr>
          <w:i/>
          <w:iCs/>
        </w:rPr>
        <w:t>Flows</w:t>
      </w:r>
      <w:r w:rsidRPr="00E20873">
        <w:t>,</w:t>
      </w:r>
    </w:p>
    <w:p w14:paraId="54083140" w14:textId="27E8D0B8" w:rsidR="00460506" w:rsidRPr="00E20873" w:rsidRDefault="00E20873" w:rsidP="00E20873">
      <w:pPr>
        <w:spacing w:line="276" w:lineRule="auto"/>
      </w:pPr>
      <w:r>
        <w:t xml:space="preserve">      </w:t>
      </w:r>
      <w:r w:rsidR="00460506" w:rsidRPr="00E20873">
        <w:t>Economics Series 321, Institute for Advanced Studies.</w:t>
      </w:r>
    </w:p>
    <w:p w14:paraId="6C7B825B" w14:textId="77777777" w:rsidR="00E65224" w:rsidRPr="00E20873" w:rsidRDefault="00E65224" w:rsidP="00E20873">
      <w:pPr>
        <w:spacing w:line="276" w:lineRule="auto"/>
      </w:pPr>
    </w:p>
    <w:p w14:paraId="67450409" w14:textId="639A868D" w:rsidR="00E65224" w:rsidRPr="00E20873" w:rsidRDefault="00551B3D" w:rsidP="00E20873">
      <w:pPr>
        <w:pStyle w:val="NormalWeb"/>
        <w:spacing w:before="0" w:beforeAutospacing="0" w:after="0" w:afterAutospacing="0" w:line="276" w:lineRule="auto"/>
        <w:rPr>
          <w:i/>
          <w:iCs/>
        </w:rPr>
      </w:pPr>
      <w:r w:rsidRPr="00E20873">
        <w:t>Bloom, D</w:t>
      </w:r>
      <w:r w:rsidR="00E65224" w:rsidRPr="00E20873">
        <w:t>.</w:t>
      </w:r>
      <w:r w:rsidRPr="00E20873">
        <w:t>, et al.</w:t>
      </w:r>
      <w:r w:rsidR="006E511D" w:rsidRPr="00E20873">
        <w:t xml:space="preserve"> (2007).</w:t>
      </w:r>
      <w:r w:rsidRPr="00E20873">
        <w:t xml:space="preserve"> Demographic Change, Social Security Systems, and Savings</w:t>
      </w:r>
      <w:r w:rsidR="006E511D" w:rsidRPr="00E20873">
        <w:t xml:space="preserve">, </w:t>
      </w:r>
      <w:r w:rsidR="006E511D" w:rsidRPr="00E20873">
        <w:rPr>
          <w:i/>
          <w:iCs/>
        </w:rPr>
        <w:t>Journal</w:t>
      </w:r>
      <w:r w:rsidR="00E65224" w:rsidRPr="00E20873">
        <w:rPr>
          <w:i/>
          <w:iCs/>
        </w:rPr>
        <w:t xml:space="preserve"> of </w:t>
      </w:r>
    </w:p>
    <w:p w14:paraId="5B46FDED" w14:textId="5944CF9F" w:rsidR="00551B3D" w:rsidRPr="00E20873" w:rsidRDefault="00E65224" w:rsidP="00E20873">
      <w:pPr>
        <w:pStyle w:val="NormalWeb"/>
        <w:spacing w:before="0" w:beforeAutospacing="0" w:after="0" w:afterAutospacing="0" w:line="276" w:lineRule="auto"/>
      </w:pPr>
      <w:r w:rsidRPr="00E20873">
        <w:rPr>
          <w:i/>
          <w:iCs/>
        </w:rPr>
        <w:t xml:space="preserve">     </w:t>
      </w:r>
      <w:r w:rsidR="006E511D" w:rsidRPr="00E20873">
        <w:rPr>
          <w:i/>
          <w:iCs/>
        </w:rPr>
        <w:t>Monetary Economics</w:t>
      </w:r>
      <w:r w:rsidRPr="00E20873">
        <w:rPr>
          <w:i/>
          <w:iCs/>
        </w:rPr>
        <w:t>,</w:t>
      </w:r>
      <w:r w:rsidR="006E511D" w:rsidRPr="00E20873">
        <w:rPr>
          <w:i/>
          <w:iCs/>
        </w:rPr>
        <w:t xml:space="preserve"> 54</w:t>
      </w:r>
      <w:r w:rsidRPr="00E20873">
        <w:t xml:space="preserve">, </w:t>
      </w:r>
      <w:r w:rsidR="006E511D" w:rsidRPr="00E20873">
        <w:t>92–114</w:t>
      </w:r>
      <w:r w:rsidRPr="00E20873">
        <w:t>.</w:t>
      </w:r>
    </w:p>
    <w:p w14:paraId="3FDDFCA0" w14:textId="77777777" w:rsidR="00E65224" w:rsidRPr="00E20873" w:rsidRDefault="00E65224" w:rsidP="00E20873">
      <w:pPr>
        <w:pStyle w:val="NormalWeb"/>
        <w:spacing w:before="0" w:beforeAutospacing="0" w:after="0" w:afterAutospacing="0" w:line="276" w:lineRule="auto"/>
      </w:pPr>
    </w:p>
    <w:p w14:paraId="2AF2183F" w14:textId="77777777" w:rsidR="00E20873" w:rsidRDefault="00292350" w:rsidP="00E20873">
      <w:pPr>
        <w:spacing w:line="276" w:lineRule="auto"/>
      </w:pPr>
      <w:r w:rsidRPr="00E20873">
        <w:t>Brooks, R. (2003). </w:t>
      </w:r>
      <w:r w:rsidRPr="00E20873">
        <w:rPr>
          <w:i/>
          <w:iCs/>
        </w:rPr>
        <w:t>Population aging and global capital flows in a parallel universe</w:t>
      </w:r>
      <w:r w:rsidRPr="00E20873">
        <w:t xml:space="preserve">. </w:t>
      </w:r>
    </w:p>
    <w:p w14:paraId="5B0F595B" w14:textId="06A19310" w:rsidR="00292350" w:rsidRPr="00E20873" w:rsidRDefault="00E20873" w:rsidP="00E20873">
      <w:pPr>
        <w:spacing w:line="276" w:lineRule="auto"/>
      </w:pPr>
      <w:r>
        <w:t xml:space="preserve">     </w:t>
      </w:r>
      <w:r w:rsidR="00292350" w:rsidRPr="00E20873">
        <w:t>Washington, D.C.:</w:t>
      </w:r>
      <w:r>
        <w:t xml:space="preserve"> </w:t>
      </w:r>
      <w:r w:rsidR="00292350" w:rsidRPr="00E20873">
        <w:t>International Monetary Fund, Research Dept.</w:t>
      </w:r>
    </w:p>
    <w:p w14:paraId="335C2774" w14:textId="77777777" w:rsidR="00E65224" w:rsidRPr="00E20873" w:rsidRDefault="00E65224" w:rsidP="00E20873">
      <w:pPr>
        <w:spacing w:line="276" w:lineRule="auto"/>
      </w:pPr>
    </w:p>
    <w:p w14:paraId="070F3693" w14:textId="57DD9028" w:rsidR="00E65224" w:rsidRPr="00E20873" w:rsidRDefault="00551B3D" w:rsidP="00E20873">
      <w:pPr>
        <w:pStyle w:val="NormalWeb"/>
        <w:spacing w:before="0" w:beforeAutospacing="0" w:after="0" w:afterAutospacing="0" w:line="276" w:lineRule="auto"/>
        <w:ind w:left="567" w:hanging="567"/>
      </w:pPr>
      <w:r w:rsidRPr="00E20873">
        <w:t>Chai, H</w:t>
      </w:r>
      <w:r w:rsidR="00E65224" w:rsidRPr="00E20873">
        <w:t>.</w:t>
      </w:r>
      <w:r w:rsidRPr="00E20873">
        <w:t xml:space="preserve">, </w:t>
      </w:r>
      <w:r w:rsidR="00E65224" w:rsidRPr="00E20873">
        <w:t>&amp;</w:t>
      </w:r>
      <w:r w:rsidRPr="00E20873">
        <w:t xml:space="preserve"> Kim</w:t>
      </w:r>
      <w:r w:rsidR="00E65224" w:rsidRPr="00E20873">
        <w:t>, J</w:t>
      </w:r>
      <w:r w:rsidRPr="00E20873">
        <w:t>.</w:t>
      </w:r>
      <w:r w:rsidR="00E65224" w:rsidRPr="00E20873">
        <w:t xml:space="preserve"> (2018)</w:t>
      </w:r>
      <w:r w:rsidRPr="00E20873">
        <w:t xml:space="preserve"> </w:t>
      </w:r>
      <w:r w:rsidRPr="00E20873">
        <w:rPr>
          <w:i/>
          <w:iCs/>
        </w:rPr>
        <w:t>Demographics, Pension Systems and the Saving-Investment Balance</w:t>
      </w:r>
      <w:r w:rsidR="00E65224" w:rsidRPr="00E20873">
        <w:rPr>
          <w:i/>
          <w:iCs/>
        </w:rPr>
        <w:t>,</w:t>
      </w:r>
    </w:p>
    <w:p w14:paraId="19276242" w14:textId="6F35E193" w:rsidR="00E65224" w:rsidRPr="00E20873" w:rsidRDefault="00E65224" w:rsidP="00E20873">
      <w:pPr>
        <w:spacing w:line="276" w:lineRule="auto"/>
      </w:pPr>
      <w:r w:rsidRPr="00E20873">
        <w:rPr>
          <w:i/>
          <w:iCs/>
        </w:rPr>
        <w:t xml:space="preserve">     </w:t>
      </w:r>
      <w:r w:rsidR="00551B3D" w:rsidRPr="00E20873">
        <w:rPr>
          <w:i/>
          <w:iCs/>
        </w:rPr>
        <w:t>IMF Working Papers</w:t>
      </w:r>
      <w:r w:rsidRPr="00E20873">
        <w:rPr>
          <w:i/>
          <w:iCs/>
        </w:rPr>
        <w:t xml:space="preserve"> 18/265.</w:t>
      </w:r>
      <w:r w:rsidRPr="00E20873">
        <w:t xml:space="preserve"> Washington, D.C.: International Monetary Fund.</w:t>
      </w:r>
    </w:p>
    <w:p w14:paraId="06217CE1" w14:textId="77777777" w:rsidR="00084AD8" w:rsidRPr="00E20873" w:rsidRDefault="00084AD8" w:rsidP="00E20873">
      <w:pPr>
        <w:spacing w:line="276" w:lineRule="auto"/>
      </w:pPr>
    </w:p>
    <w:p w14:paraId="64CC2897" w14:textId="77777777" w:rsidR="00E20873" w:rsidRDefault="00292350" w:rsidP="00E20873">
      <w:pPr>
        <w:spacing w:line="276" w:lineRule="auto"/>
        <w:rPr>
          <w:i/>
          <w:iCs/>
        </w:rPr>
      </w:pPr>
      <w:r w:rsidRPr="00E20873">
        <w:t>Chinn, M. D., &amp; Ito, H. (2005). </w:t>
      </w:r>
      <w:r w:rsidRPr="00E20873">
        <w:rPr>
          <w:i/>
          <w:iCs/>
        </w:rPr>
        <w:t xml:space="preserve">Current account balances, financial development and </w:t>
      </w:r>
    </w:p>
    <w:p w14:paraId="5E07D138" w14:textId="77777777" w:rsidR="00E20873" w:rsidRDefault="00E20873" w:rsidP="00E20873">
      <w:pPr>
        <w:spacing w:line="276" w:lineRule="auto"/>
      </w:pPr>
      <w:r>
        <w:rPr>
          <w:i/>
          <w:iCs/>
        </w:rPr>
        <w:t xml:space="preserve">     </w:t>
      </w:r>
      <w:r w:rsidR="00292350" w:rsidRPr="00E20873">
        <w:rPr>
          <w:i/>
          <w:iCs/>
        </w:rPr>
        <w:t>institutions: assaying the world "savings glut"</w:t>
      </w:r>
      <w:r w:rsidR="00292350" w:rsidRPr="00E20873">
        <w:t xml:space="preserve">. Madison, WI: Social Systems Research </w:t>
      </w:r>
    </w:p>
    <w:p w14:paraId="1DBBAD6F" w14:textId="628A9182" w:rsidR="00292350" w:rsidRPr="00E20873" w:rsidRDefault="00E20873" w:rsidP="00E20873">
      <w:pPr>
        <w:spacing w:line="276" w:lineRule="auto"/>
        <w:rPr>
          <w:i/>
          <w:iCs/>
        </w:rPr>
      </w:pPr>
      <w:r>
        <w:t xml:space="preserve">     </w:t>
      </w:r>
      <w:r w:rsidR="00292350" w:rsidRPr="00E20873">
        <w:t>Institute, University of Wisconsin.</w:t>
      </w:r>
    </w:p>
    <w:p w14:paraId="550AC231" w14:textId="77777777" w:rsidR="00EE700D" w:rsidRPr="00E20873" w:rsidRDefault="00EE700D" w:rsidP="00E20873">
      <w:pPr>
        <w:spacing w:line="276" w:lineRule="auto"/>
      </w:pPr>
    </w:p>
    <w:p w14:paraId="7757C7CE" w14:textId="77777777" w:rsidR="00E20873" w:rsidRDefault="00EE700D" w:rsidP="00E20873">
      <w:pPr>
        <w:spacing w:line="276" w:lineRule="auto"/>
        <w:rPr>
          <w:i/>
          <w:iCs/>
        </w:rPr>
      </w:pPr>
      <w:r w:rsidRPr="00E20873">
        <w:t xml:space="preserve">Chinn, M. D., &amp; Ito, H. (2008). A New Measure of Financial Openness. </w:t>
      </w:r>
      <w:r w:rsidRPr="00E20873">
        <w:rPr>
          <w:i/>
          <w:iCs/>
        </w:rPr>
        <w:t xml:space="preserve">Journal of Comparative </w:t>
      </w:r>
    </w:p>
    <w:p w14:paraId="09114695" w14:textId="1D93899E" w:rsidR="00E65224" w:rsidRPr="00E20873" w:rsidRDefault="00E20873" w:rsidP="00E20873">
      <w:pPr>
        <w:spacing w:line="276" w:lineRule="auto"/>
        <w:rPr>
          <w:i/>
          <w:iCs/>
        </w:rPr>
      </w:pPr>
      <w:r>
        <w:rPr>
          <w:i/>
          <w:iCs/>
        </w:rPr>
        <w:t xml:space="preserve">     </w:t>
      </w:r>
      <w:r w:rsidR="00EE700D" w:rsidRPr="00E20873">
        <w:rPr>
          <w:i/>
          <w:iCs/>
        </w:rPr>
        <w:t>Policy Analysis, 10(3)</w:t>
      </w:r>
      <w:r w:rsidR="00EE700D" w:rsidRPr="00E20873">
        <w:t>, 309 – 322.</w:t>
      </w:r>
    </w:p>
    <w:p w14:paraId="42EB76CA" w14:textId="77777777" w:rsidR="00E20873" w:rsidRPr="00E20873" w:rsidRDefault="00E20873" w:rsidP="00E20873">
      <w:pPr>
        <w:pStyle w:val="NormalWeb"/>
        <w:spacing w:before="0" w:beforeAutospacing="0" w:after="0" w:afterAutospacing="0" w:line="276" w:lineRule="auto"/>
      </w:pPr>
    </w:p>
    <w:p w14:paraId="5E38FAD3" w14:textId="77777777" w:rsidR="00E20873" w:rsidRDefault="00E20873" w:rsidP="00E20873">
      <w:pPr>
        <w:spacing w:line="276" w:lineRule="auto"/>
      </w:pPr>
      <w:r w:rsidRPr="00E20873">
        <w:t>Chinn, M. D., &amp; and E. Prasad (2003),</w:t>
      </w:r>
      <w:r w:rsidRPr="00E20873">
        <w:rPr>
          <w:i/>
          <w:iCs/>
        </w:rPr>
        <w:t xml:space="preserve"> </w:t>
      </w:r>
      <w:r w:rsidRPr="00E20873">
        <w:t xml:space="preserve">Medium‐Term Determinants of Current Accounts in </w:t>
      </w:r>
    </w:p>
    <w:p w14:paraId="35A93138" w14:textId="25403721" w:rsidR="00EE700D" w:rsidRDefault="00E20873" w:rsidP="00E20873">
      <w:pPr>
        <w:spacing w:line="276" w:lineRule="auto"/>
      </w:pPr>
      <w:r>
        <w:t xml:space="preserve">     </w:t>
      </w:r>
      <w:r w:rsidRPr="00E20873">
        <w:t>Industrial and Developing Countries, </w:t>
      </w:r>
      <w:r w:rsidRPr="00E20873">
        <w:rPr>
          <w:i/>
          <w:iCs/>
        </w:rPr>
        <w:t>Journal of International Economics, 59, </w:t>
      </w:r>
      <w:r w:rsidRPr="00E20873">
        <w:t>47– 76.</w:t>
      </w:r>
    </w:p>
    <w:p w14:paraId="23BA7371" w14:textId="77777777" w:rsidR="00E20873" w:rsidRPr="00E20873" w:rsidRDefault="00E20873" w:rsidP="00E20873">
      <w:pPr>
        <w:spacing w:line="276" w:lineRule="auto"/>
      </w:pPr>
    </w:p>
    <w:p w14:paraId="46073BA6" w14:textId="77777777" w:rsidR="00E20873" w:rsidRDefault="00C0027A" w:rsidP="00E20873">
      <w:pPr>
        <w:spacing w:line="276" w:lineRule="auto"/>
        <w:rPr>
          <w:i/>
          <w:iCs/>
        </w:rPr>
      </w:pPr>
      <w:r w:rsidRPr="00E20873">
        <w:t xml:space="preserve">Dao, M. C., &amp; Jones, C. (2018). </w:t>
      </w:r>
      <w:r w:rsidRPr="00E20873">
        <w:rPr>
          <w:i/>
          <w:iCs/>
        </w:rPr>
        <w:t xml:space="preserve">Demographics, Old-Age Transfers and the Current </w:t>
      </w:r>
    </w:p>
    <w:p w14:paraId="3D73C334" w14:textId="13E02D1A" w:rsidR="00C0027A" w:rsidRPr="00E20873" w:rsidRDefault="00E20873" w:rsidP="00E20873">
      <w:pPr>
        <w:spacing w:line="276" w:lineRule="auto"/>
        <w:rPr>
          <w:i/>
          <w:iCs/>
        </w:rPr>
      </w:pPr>
      <w:r>
        <w:rPr>
          <w:i/>
          <w:iCs/>
        </w:rPr>
        <w:t xml:space="preserve">    </w:t>
      </w:r>
      <w:r w:rsidR="00C0027A" w:rsidRPr="00E20873">
        <w:rPr>
          <w:i/>
          <w:iCs/>
        </w:rPr>
        <w:t>Account</w:t>
      </w:r>
      <w:r w:rsidR="00C0027A" w:rsidRPr="00E20873">
        <w:t>, </w:t>
      </w:r>
      <w:r w:rsidR="00C0027A" w:rsidRPr="00E20873">
        <w:rPr>
          <w:i/>
          <w:iCs/>
        </w:rPr>
        <w:t>IMF Working Papers 18/264.</w:t>
      </w:r>
      <w:r w:rsidR="00C0027A" w:rsidRPr="00E20873">
        <w:t xml:space="preserve"> Washington, D.C.: International Monetary Fund.</w:t>
      </w:r>
    </w:p>
    <w:p w14:paraId="43DAA4D5" w14:textId="77777777" w:rsidR="00E65224" w:rsidRPr="00E20873" w:rsidRDefault="00E65224" w:rsidP="00E20873">
      <w:pPr>
        <w:spacing w:line="276" w:lineRule="auto"/>
      </w:pPr>
    </w:p>
    <w:p w14:paraId="78D04C3B" w14:textId="77777777" w:rsidR="00E20873" w:rsidRDefault="00292350" w:rsidP="00E20873">
      <w:pPr>
        <w:spacing w:line="276" w:lineRule="auto"/>
      </w:pPr>
      <w:proofErr w:type="spellStart"/>
      <w:r w:rsidRPr="00E20873">
        <w:t>Domeij</w:t>
      </w:r>
      <w:proofErr w:type="spellEnd"/>
      <w:r w:rsidRPr="00E20873">
        <w:t xml:space="preserve">, D., &amp; </w:t>
      </w:r>
      <w:proofErr w:type="spellStart"/>
      <w:r w:rsidRPr="00E20873">
        <w:t>Flodén</w:t>
      </w:r>
      <w:proofErr w:type="spellEnd"/>
      <w:r w:rsidR="002871F0" w:rsidRPr="00E20873">
        <w:t>,</w:t>
      </w:r>
      <w:r w:rsidRPr="00E20873">
        <w:t xml:space="preserve"> M. (2004). </w:t>
      </w:r>
      <w:r w:rsidRPr="00E20873">
        <w:rPr>
          <w:i/>
          <w:iCs/>
        </w:rPr>
        <w:t>Population ageing and international capital flows</w:t>
      </w:r>
      <w:r w:rsidRPr="00E20873">
        <w:t xml:space="preserve">. London: </w:t>
      </w:r>
    </w:p>
    <w:p w14:paraId="6BDFF295" w14:textId="3F008A9D" w:rsidR="000343F3" w:rsidRPr="00E20873" w:rsidRDefault="00E20873" w:rsidP="00E20873">
      <w:pPr>
        <w:spacing w:line="276" w:lineRule="auto"/>
      </w:pPr>
      <w:r>
        <w:t xml:space="preserve">     </w:t>
      </w:r>
      <w:r w:rsidR="00292350" w:rsidRPr="00E20873">
        <w:t>Centre</w:t>
      </w:r>
      <w:r w:rsidR="002871F0" w:rsidRPr="00E20873">
        <w:t xml:space="preserve"> </w:t>
      </w:r>
      <w:r w:rsidR="00292350" w:rsidRPr="00E20873">
        <w:t>for Economic Policy Research.</w:t>
      </w:r>
    </w:p>
    <w:p w14:paraId="2E9D3C46" w14:textId="77777777" w:rsidR="00E65224" w:rsidRPr="00E20873" w:rsidRDefault="00E65224" w:rsidP="00E20873">
      <w:pPr>
        <w:spacing w:line="276" w:lineRule="auto"/>
      </w:pPr>
    </w:p>
    <w:p w14:paraId="7E92BF51" w14:textId="77777777" w:rsidR="00E20873" w:rsidRDefault="002871F0" w:rsidP="00E20873">
      <w:pPr>
        <w:spacing w:line="276" w:lineRule="auto"/>
      </w:pPr>
      <w:r w:rsidRPr="00E20873">
        <w:t>Graff, M., Tang, K. K. &amp; Zhang</w:t>
      </w:r>
      <w:r w:rsidR="00E65224" w:rsidRPr="00E20873">
        <w:t>,</w:t>
      </w:r>
      <w:r w:rsidRPr="00E20873">
        <w:t xml:space="preserve"> J. (2012). Does Demographic Change Affect the Current </w:t>
      </w:r>
    </w:p>
    <w:p w14:paraId="2C769BA2" w14:textId="11779D53" w:rsidR="002871F0" w:rsidRPr="00E20873" w:rsidRDefault="00E20873" w:rsidP="00E20873">
      <w:pPr>
        <w:spacing w:line="276" w:lineRule="auto"/>
      </w:pPr>
      <w:r>
        <w:t xml:space="preserve">     </w:t>
      </w:r>
      <w:r w:rsidR="002871F0" w:rsidRPr="00E20873">
        <w:t>Account? A Reconsideration, </w:t>
      </w:r>
      <w:r w:rsidR="002871F0" w:rsidRPr="00E20873">
        <w:rPr>
          <w:i/>
          <w:iCs/>
        </w:rPr>
        <w:t xml:space="preserve">Global Economy Journal, De Gruyter, 12(4), </w:t>
      </w:r>
      <w:r w:rsidR="002871F0" w:rsidRPr="00E20873">
        <w:t>1 – 26.</w:t>
      </w:r>
      <w:r w:rsidR="002871F0" w:rsidRPr="00E20873">
        <w:rPr>
          <w:i/>
          <w:iCs/>
        </w:rPr>
        <w:t xml:space="preserve"> </w:t>
      </w:r>
    </w:p>
    <w:p w14:paraId="7BB05319" w14:textId="4A33F437" w:rsidR="00084AD8" w:rsidRDefault="00084AD8" w:rsidP="00E20873">
      <w:pPr>
        <w:spacing w:line="276" w:lineRule="auto"/>
      </w:pPr>
    </w:p>
    <w:p w14:paraId="462CCC87" w14:textId="77777777" w:rsidR="00E20873" w:rsidRPr="00E20873" w:rsidRDefault="00E20873" w:rsidP="00E20873">
      <w:pPr>
        <w:spacing w:line="276" w:lineRule="auto"/>
      </w:pPr>
    </w:p>
    <w:p w14:paraId="4344345F" w14:textId="77777777" w:rsidR="00E20873" w:rsidRDefault="00292350" w:rsidP="00E20873">
      <w:pPr>
        <w:spacing w:line="276" w:lineRule="auto"/>
      </w:pPr>
      <w:r w:rsidRPr="00E20873">
        <w:lastRenderedPageBreak/>
        <w:t>Higgins, M. (1997). </w:t>
      </w:r>
      <w:r w:rsidRPr="00E20873">
        <w:rPr>
          <w:i/>
          <w:iCs/>
        </w:rPr>
        <w:t>Demography, national savings and international capital flows</w:t>
      </w:r>
      <w:r w:rsidRPr="00E20873">
        <w:t xml:space="preserve">. New York, </w:t>
      </w:r>
    </w:p>
    <w:p w14:paraId="4D79129F" w14:textId="4AF593CD" w:rsidR="00292350" w:rsidRPr="00E20873" w:rsidRDefault="00E20873" w:rsidP="00E20873">
      <w:pPr>
        <w:spacing w:line="276" w:lineRule="auto"/>
      </w:pPr>
      <w:r>
        <w:t xml:space="preserve">    </w:t>
      </w:r>
      <w:r w:rsidR="00292350" w:rsidRPr="00E20873">
        <w:t>NY: Federal Reserve Bank of New York.</w:t>
      </w:r>
    </w:p>
    <w:p w14:paraId="56A133FC" w14:textId="0154218B" w:rsidR="00E20873" w:rsidRPr="00E20873" w:rsidRDefault="00E20873" w:rsidP="00E20873">
      <w:pPr>
        <w:spacing w:line="276" w:lineRule="auto"/>
      </w:pPr>
    </w:p>
    <w:p w14:paraId="40A24C60" w14:textId="77777777" w:rsidR="00E20873" w:rsidRDefault="00E20873" w:rsidP="00E20873">
      <w:pPr>
        <w:spacing w:line="276" w:lineRule="auto"/>
      </w:pPr>
      <w:r w:rsidRPr="00E20873">
        <w:t xml:space="preserve">Holtz-Eakin, D., Newey, W., &amp; Rosen, H. S. (1988). Estimating Vector Autoregressions with </w:t>
      </w:r>
    </w:p>
    <w:p w14:paraId="1397808E" w14:textId="6721AAA2" w:rsidR="00E20873" w:rsidRPr="00E20873" w:rsidRDefault="00E20873" w:rsidP="00E20873">
      <w:pPr>
        <w:spacing w:line="276" w:lineRule="auto"/>
      </w:pPr>
      <w:r>
        <w:t xml:space="preserve">     </w:t>
      </w:r>
      <w:r w:rsidRPr="00E20873">
        <w:t>Panel Data. </w:t>
      </w:r>
      <w:proofErr w:type="spellStart"/>
      <w:r w:rsidRPr="00E20873">
        <w:rPr>
          <w:i/>
          <w:iCs/>
        </w:rPr>
        <w:t>Econometrica</w:t>
      </w:r>
      <w:proofErr w:type="spellEnd"/>
      <w:r w:rsidRPr="00E20873">
        <w:rPr>
          <w:i/>
          <w:iCs/>
        </w:rPr>
        <w:t>, 56(6</w:t>
      </w:r>
      <w:r w:rsidRPr="00E20873">
        <w:t xml:space="preserve">), 1371. </w:t>
      </w:r>
    </w:p>
    <w:p w14:paraId="303B8AAF" w14:textId="77777777" w:rsidR="00ED3DA6" w:rsidRPr="00E20873" w:rsidRDefault="00ED3DA6" w:rsidP="00E20873">
      <w:pPr>
        <w:spacing w:line="276" w:lineRule="auto"/>
      </w:pPr>
    </w:p>
    <w:p w14:paraId="2310164B" w14:textId="77777777" w:rsidR="00E20873" w:rsidRDefault="00ED3DA6" w:rsidP="00E20873">
      <w:pPr>
        <w:spacing w:line="276" w:lineRule="auto"/>
      </w:pPr>
      <w:proofErr w:type="spellStart"/>
      <w:r w:rsidRPr="00E20873">
        <w:t>Im</w:t>
      </w:r>
      <w:proofErr w:type="spellEnd"/>
      <w:r w:rsidRPr="00E20873">
        <w:t xml:space="preserve">, K. S., </w:t>
      </w:r>
      <w:proofErr w:type="spellStart"/>
      <w:r w:rsidRPr="00E20873">
        <w:t>Pesaran</w:t>
      </w:r>
      <w:proofErr w:type="spellEnd"/>
      <w:r w:rsidRPr="00E20873">
        <w:t xml:space="preserve">, M., &amp; Shin, Y. (2003). Testing for unit roots in heterogeneous </w:t>
      </w:r>
    </w:p>
    <w:p w14:paraId="371AE762" w14:textId="00580D3B" w:rsidR="0001694C" w:rsidRPr="00E20873" w:rsidRDefault="00E20873" w:rsidP="00E20873">
      <w:pPr>
        <w:spacing w:line="276" w:lineRule="auto"/>
        <w:rPr>
          <w:i/>
          <w:iCs/>
        </w:rPr>
      </w:pPr>
      <w:r>
        <w:t xml:space="preserve">      </w:t>
      </w:r>
      <w:r w:rsidR="00ED3DA6" w:rsidRPr="00E20873">
        <w:t>panels. </w:t>
      </w:r>
      <w:r w:rsidR="00ED3DA6" w:rsidRPr="00E20873">
        <w:rPr>
          <w:i/>
          <w:iCs/>
        </w:rPr>
        <w:t>Journal</w:t>
      </w:r>
      <w:r w:rsidRPr="00E20873">
        <w:rPr>
          <w:i/>
          <w:iCs/>
        </w:rPr>
        <w:t xml:space="preserve"> </w:t>
      </w:r>
      <w:r w:rsidR="00ED3DA6" w:rsidRPr="00E20873">
        <w:rPr>
          <w:i/>
          <w:iCs/>
        </w:rPr>
        <w:t>of Econometrics, 115(1),</w:t>
      </w:r>
      <w:r w:rsidR="00ED3DA6" w:rsidRPr="00E20873">
        <w:t xml:space="preserve"> 53–74. </w:t>
      </w:r>
    </w:p>
    <w:p w14:paraId="3C0393DD" w14:textId="77777777" w:rsidR="00ED3DA6" w:rsidRPr="00E20873" w:rsidRDefault="00ED3DA6" w:rsidP="00E20873">
      <w:pPr>
        <w:spacing w:line="276" w:lineRule="auto"/>
      </w:pPr>
    </w:p>
    <w:p w14:paraId="641EB104" w14:textId="77777777" w:rsidR="00E20873" w:rsidRDefault="0001694C" w:rsidP="00E20873">
      <w:pPr>
        <w:spacing w:line="276" w:lineRule="auto"/>
      </w:pPr>
      <w:r w:rsidRPr="00E20873">
        <w:t xml:space="preserve">Jahan, S., &amp; Wang, D. (2016). Capital Account Openness in Low-income Developing Countries: </w:t>
      </w:r>
    </w:p>
    <w:p w14:paraId="01A3A14F" w14:textId="3615BDF9" w:rsidR="0001694C" w:rsidRPr="00E20873" w:rsidRDefault="00E20873" w:rsidP="00E20873">
      <w:pPr>
        <w:spacing w:line="276" w:lineRule="auto"/>
      </w:pPr>
      <w:r>
        <w:t xml:space="preserve">      </w:t>
      </w:r>
      <w:r w:rsidR="0001694C" w:rsidRPr="00E20873">
        <w:t>Evidence from a New Database</w:t>
      </w:r>
      <w:r w:rsidR="0001694C" w:rsidRPr="00E20873">
        <w:rPr>
          <w:i/>
          <w:iCs/>
        </w:rPr>
        <w:t>. IMF Working Papers</w:t>
      </w:r>
      <w:r w:rsidR="0001694C" w:rsidRPr="00E20873">
        <w:t>, </w:t>
      </w:r>
      <w:r w:rsidR="0001694C" w:rsidRPr="00E20873">
        <w:rPr>
          <w:i/>
          <w:iCs/>
        </w:rPr>
        <w:t>16(252),</w:t>
      </w:r>
      <w:r w:rsidR="0001694C" w:rsidRPr="00E20873">
        <w:t xml:space="preserve"> 1. </w:t>
      </w:r>
    </w:p>
    <w:p w14:paraId="5AC070CF" w14:textId="77777777" w:rsidR="00E65224" w:rsidRPr="00E20873" w:rsidRDefault="00E65224" w:rsidP="00E20873">
      <w:pPr>
        <w:spacing w:line="276" w:lineRule="auto"/>
        <w:rPr>
          <w:i/>
          <w:iCs/>
        </w:rPr>
      </w:pPr>
    </w:p>
    <w:p w14:paraId="6ED7DAF1" w14:textId="77777777" w:rsidR="00E20873" w:rsidRDefault="002871F0" w:rsidP="00E20873">
      <w:pPr>
        <w:spacing w:line="276" w:lineRule="auto"/>
      </w:pPr>
      <w:r w:rsidRPr="00E20873">
        <w:t xml:space="preserve">Kim, S., &amp; Lee, J. W. (2007). Demographic Changes, Saving, and Current Account in East </w:t>
      </w:r>
    </w:p>
    <w:p w14:paraId="5C1996E0" w14:textId="0B04C5C5" w:rsidR="002871F0" w:rsidRDefault="00E20873" w:rsidP="00E20873">
      <w:pPr>
        <w:spacing w:line="276" w:lineRule="auto"/>
      </w:pPr>
      <w:r>
        <w:t xml:space="preserve">      </w:t>
      </w:r>
      <w:r w:rsidR="002871F0" w:rsidRPr="00E20873">
        <w:t>Asia, </w:t>
      </w:r>
      <w:r w:rsidR="002871F0" w:rsidRPr="00E20873">
        <w:rPr>
          <w:i/>
          <w:iCs/>
        </w:rPr>
        <w:t>Asian Economic Papers, 6(2)</w:t>
      </w:r>
      <w:r w:rsidR="002871F0" w:rsidRPr="00E20873">
        <w:t>, 22– 53.</w:t>
      </w:r>
    </w:p>
    <w:p w14:paraId="5123DAD3" w14:textId="77777777" w:rsidR="00E20873" w:rsidRPr="00E20873" w:rsidRDefault="00E20873" w:rsidP="00E20873">
      <w:pPr>
        <w:spacing w:line="276" w:lineRule="auto"/>
        <w:rPr>
          <w:i/>
          <w:iCs/>
        </w:rPr>
      </w:pPr>
    </w:p>
    <w:p w14:paraId="783D01AC" w14:textId="77777777" w:rsidR="00E20873" w:rsidRDefault="00551B3D" w:rsidP="00E20873">
      <w:pPr>
        <w:pStyle w:val="NormalWeb"/>
        <w:spacing w:before="0" w:beforeAutospacing="0" w:after="0" w:afterAutospacing="0" w:line="276" w:lineRule="auto"/>
      </w:pPr>
      <w:r w:rsidRPr="00E20873">
        <w:t>Li, H</w:t>
      </w:r>
      <w:r w:rsidR="00EE700D" w:rsidRPr="00E20873">
        <w:t>.</w:t>
      </w:r>
      <w:r w:rsidRPr="00E20873">
        <w:t>,</w:t>
      </w:r>
      <w:r w:rsidR="00E65224" w:rsidRPr="00E20873">
        <w:t xml:space="preserve"> Zhang, J</w:t>
      </w:r>
      <w:r w:rsidR="00EE700D" w:rsidRPr="00E20873">
        <w:t>.</w:t>
      </w:r>
      <w:r w:rsidR="00E65224" w:rsidRPr="00E20873">
        <w:t xml:space="preserve">, &amp; </w:t>
      </w:r>
      <w:proofErr w:type="spellStart"/>
      <w:r w:rsidR="00E65224" w:rsidRPr="00E20873">
        <w:t>Zhanga</w:t>
      </w:r>
      <w:proofErr w:type="spellEnd"/>
      <w:r w:rsidR="00E65224" w:rsidRPr="00E20873">
        <w:t>, J</w:t>
      </w:r>
      <w:r w:rsidRPr="00E20873">
        <w:t xml:space="preserve">. </w:t>
      </w:r>
      <w:r w:rsidR="00E65224" w:rsidRPr="00E20873">
        <w:t xml:space="preserve">(2007). </w:t>
      </w:r>
      <w:r w:rsidRPr="00E20873">
        <w:t>Effects of Longevity and Dependency Rates on Saving</w:t>
      </w:r>
      <w:r w:rsidR="00E20873">
        <w:t xml:space="preserve"> </w:t>
      </w:r>
    </w:p>
    <w:p w14:paraId="69E9F604" w14:textId="77777777" w:rsidR="00E20873" w:rsidRDefault="00E20873" w:rsidP="00E20873">
      <w:pPr>
        <w:pStyle w:val="NormalWeb"/>
        <w:spacing w:before="0" w:beforeAutospacing="0" w:after="0" w:afterAutospacing="0" w:line="276" w:lineRule="auto"/>
        <w:rPr>
          <w:i/>
          <w:iCs/>
        </w:rPr>
      </w:pPr>
      <w:r>
        <w:t xml:space="preserve">        </w:t>
      </w:r>
      <w:r w:rsidR="00551B3D" w:rsidRPr="00E20873">
        <w:t xml:space="preserve">and Growth: Evidence from a Panel of Cross Countries. </w:t>
      </w:r>
      <w:r w:rsidR="00551B3D" w:rsidRPr="00E20873">
        <w:rPr>
          <w:i/>
          <w:iCs/>
        </w:rPr>
        <w:t xml:space="preserve">Journal of Development </w:t>
      </w:r>
    </w:p>
    <w:p w14:paraId="41643233" w14:textId="3D8F7BB9" w:rsidR="00551B3D" w:rsidRPr="00E20873" w:rsidRDefault="00E20873" w:rsidP="00E20873">
      <w:pPr>
        <w:pStyle w:val="NormalWeb"/>
        <w:spacing w:before="0" w:beforeAutospacing="0" w:after="0" w:afterAutospacing="0" w:line="276" w:lineRule="auto"/>
      </w:pPr>
      <w:r>
        <w:rPr>
          <w:i/>
          <w:iCs/>
        </w:rPr>
        <w:t xml:space="preserve">        </w:t>
      </w:r>
      <w:r w:rsidR="00551B3D" w:rsidRPr="00E20873">
        <w:rPr>
          <w:i/>
          <w:iCs/>
        </w:rPr>
        <w:t>Economics</w:t>
      </w:r>
      <w:r w:rsidR="00551B3D" w:rsidRPr="00E20873">
        <w:t xml:space="preserve">, </w:t>
      </w:r>
      <w:r w:rsidR="00551B3D" w:rsidRPr="00E20873">
        <w:rPr>
          <w:i/>
          <w:iCs/>
        </w:rPr>
        <w:t>84</w:t>
      </w:r>
      <w:r w:rsidR="00551B3D" w:rsidRPr="00E20873">
        <w:t>, 138–154</w:t>
      </w:r>
      <w:r w:rsidR="00E65224" w:rsidRPr="00E20873">
        <w:t>.</w:t>
      </w:r>
    </w:p>
    <w:p w14:paraId="2ED9970D" w14:textId="77777777" w:rsidR="00084AD8" w:rsidRPr="00E20873" w:rsidRDefault="00E65224" w:rsidP="00E20873">
      <w:pPr>
        <w:pStyle w:val="NormalWeb"/>
        <w:spacing w:line="276" w:lineRule="auto"/>
        <w:ind w:left="567" w:hanging="567"/>
      </w:pPr>
      <w:r w:rsidRPr="00E20873">
        <w:t>Mendoza, G., </w:t>
      </w:r>
      <w:proofErr w:type="spellStart"/>
      <w:r w:rsidRPr="00E20873">
        <w:t>Quadrini</w:t>
      </w:r>
      <w:proofErr w:type="spellEnd"/>
      <w:r w:rsidRPr="00E20873">
        <w:t>,</w:t>
      </w:r>
      <w:r w:rsidR="00EE700D" w:rsidRPr="00E20873">
        <w:t xml:space="preserve"> V.,</w:t>
      </w:r>
      <w:r w:rsidRPr="00E20873">
        <w:t xml:space="preserve"> </w:t>
      </w:r>
      <w:r w:rsidR="00EE700D" w:rsidRPr="00E20873">
        <w:t>&amp;</w:t>
      </w:r>
      <w:r w:rsidRPr="00E20873">
        <w:t> Ríos‐</w:t>
      </w:r>
      <w:proofErr w:type="spellStart"/>
      <w:r w:rsidRPr="00E20873">
        <w:t>Rull</w:t>
      </w:r>
      <w:proofErr w:type="spellEnd"/>
      <w:r w:rsidRPr="00E20873">
        <w:t xml:space="preserve">, </w:t>
      </w:r>
      <w:r w:rsidR="00EE700D" w:rsidRPr="00E20873">
        <w:t xml:space="preserve">J. (2007) </w:t>
      </w:r>
      <w:r w:rsidRPr="00E20873">
        <w:t xml:space="preserve">Financial Integration, Financial Development, and Global Imbalances, </w:t>
      </w:r>
      <w:r w:rsidRPr="00E20873">
        <w:rPr>
          <w:i/>
          <w:iCs/>
        </w:rPr>
        <w:t>Journal of Political Economy 117</w:t>
      </w:r>
      <w:r w:rsidRPr="00E20873">
        <w:t>, 371-416.</w:t>
      </w:r>
    </w:p>
    <w:p w14:paraId="5D84E51A" w14:textId="3711BD03" w:rsidR="00EE700D" w:rsidRPr="00E20873" w:rsidRDefault="002871F0" w:rsidP="00E20873">
      <w:pPr>
        <w:pStyle w:val="NormalWeb"/>
        <w:spacing w:line="276" w:lineRule="auto"/>
        <w:ind w:left="567" w:hanging="567"/>
      </w:pPr>
      <w:r w:rsidRPr="00E20873">
        <w:t xml:space="preserve">Modigliani, </w:t>
      </w:r>
      <w:r w:rsidR="00C0027A" w:rsidRPr="00E20873">
        <w:t>F</w:t>
      </w:r>
      <w:r w:rsidRPr="00E20873">
        <w:t xml:space="preserve">. (1966). </w:t>
      </w:r>
      <w:r w:rsidR="00C0027A" w:rsidRPr="00E20873">
        <w:t>T</w:t>
      </w:r>
      <w:r w:rsidRPr="00E20873">
        <w:t>he life cycle hypothesis of saving, the demand for wealth and the supply of capital. </w:t>
      </w:r>
      <w:r w:rsidRPr="00E20873">
        <w:rPr>
          <w:i/>
          <w:iCs/>
        </w:rPr>
        <w:t>Social Research, 33(2)</w:t>
      </w:r>
      <w:r w:rsidRPr="00E20873">
        <w:t xml:space="preserve">, 160-217. </w:t>
      </w:r>
    </w:p>
    <w:p w14:paraId="02B99986" w14:textId="77777777" w:rsidR="00C0027A" w:rsidRPr="00E20873" w:rsidRDefault="00C0027A" w:rsidP="00E20873">
      <w:pPr>
        <w:spacing w:line="276" w:lineRule="auto"/>
        <w:rPr>
          <w:i/>
          <w:iCs/>
        </w:rPr>
      </w:pPr>
      <w:r w:rsidRPr="00E20873">
        <w:t xml:space="preserve">United Nations, Department of Economic and Social Affairs, Population Division (2019). </w:t>
      </w:r>
      <w:r w:rsidRPr="00E20873">
        <w:rPr>
          <w:i/>
          <w:iCs/>
        </w:rPr>
        <w:t xml:space="preserve">World </w:t>
      </w:r>
    </w:p>
    <w:p w14:paraId="0905E1A9" w14:textId="77777777" w:rsidR="00E20873" w:rsidRDefault="00C0027A" w:rsidP="00E20873">
      <w:pPr>
        <w:spacing w:line="276" w:lineRule="auto"/>
      </w:pPr>
      <w:r w:rsidRPr="00E20873">
        <w:rPr>
          <w:i/>
          <w:iCs/>
        </w:rPr>
        <w:t xml:space="preserve">          Population Prospects 2019: Volume II: Demographic Profiles. </w:t>
      </w:r>
      <w:r w:rsidRPr="00E20873">
        <w:t xml:space="preserve">New York, NY: United </w:t>
      </w:r>
    </w:p>
    <w:p w14:paraId="75BC6021" w14:textId="61DF628B" w:rsidR="000343F3" w:rsidRDefault="00E20873" w:rsidP="00E20873">
      <w:pPr>
        <w:spacing w:line="276" w:lineRule="auto"/>
      </w:pPr>
      <w:r>
        <w:t xml:space="preserve">          </w:t>
      </w:r>
      <w:r w:rsidR="00C0027A" w:rsidRPr="00E20873">
        <w:t>Nations</w:t>
      </w:r>
    </w:p>
    <w:p w14:paraId="51D464CF" w14:textId="5C2C2BC5" w:rsidR="00BB6E7C" w:rsidRDefault="00BB6E7C" w:rsidP="00E20873">
      <w:pPr>
        <w:spacing w:line="276" w:lineRule="auto"/>
      </w:pPr>
    </w:p>
    <w:p w14:paraId="259804DA" w14:textId="53FEE255" w:rsidR="00BB6E7C" w:rsidRDefault="00BB6E7C" w:rsidP="00E20873">
      <w:pPr>
        <w:spacing w:line="276" w:lineRule="auto"/>
      </w:pPr>
    </w:p>
    <w:p w14:paraId="743DA720" w14:textId="7C416511" w:rsidR="00BB6E7C" w:rsidRDefault="00BB6E7C" w:rsidP="00E20873">
      <w:pPr>
        <w:spacing w:line="276" w:lineRule="auto"/>
      </w:pPr>
    </w:p>
    <w:p w14:paraId="73CF337C" w14:textId="6EF7150E" w:rsidR="00BB6E7C" w:rsidRDefault="00BB6E7C" w:rsidP="00E20873">
      <w:pPr>
        <w:spacing w:line="276" w:lineRule="auto"/>
      </w:pPr>
    </w:p>
    <w:p w14:paraId="17EFA16A" w14:textId="5F102590" w:rsidR="00BB6E7C" w:rsidRDefault="00BB6E7C" w:rsidP="00E20873">
      <w:pPr>
        <w:spacing w:line="276" w:lineRule="auto"/>
      </w:pPr>
    </w:p>
    <w:p w14:paraId="097DFF26" w14:textId="41B2159E" w:rsidR="00BB6E7C" w:rsidRDefault="00BB6E7C" w:rsidP="00E20873">
      <w:pPr>
        <w:spacing w:line="276" w:lineRule="auto"/>
      </w:pPr>
    </w:p>
    <w:p w14:paraId="67F42CCE" w14:textId="1D67D5F2" w:rsidR="00BB6E7C" w:rsidRDefault="00BB6E7C" w:rsidP="00E20873">
      <w:pPr>
        <w:spacing w:line="276" w:lineRule="auto"/>
      </w:pPr>
    </w:p>
    <w:p w14:paraId="3387691A" w14:textId="6CD7C928" w:rsidR="00BB6E7C" w:rsidRDefault="00BB6E7C" w:rsidP="00E20873">
      <w:pPr>
        <w:spacing w:line="276" w:lineRule="auto"/>
      </w:pPr>
    </w:p>
    <w:p w14:paraId="2D4D0502" w14:textId="7EC5F2C4" w:rsidR="00BB6E7C" w:rsidRDefault="00BB6E7C" w:rsidP="00E20873">
      <w:pPr>
        <w:spacing w:line="276" w:lineRule="auto"/>
      </w:pPr>
    </w:p>
    <w:p w14:paraId="0AFF4FA1" w14:textId="7F9E81DE" w:rsidR="00BB6E7C" w:rsidRDefault="00BB6E7C" w:rsidP="00E20873">
      <w:pPr>
        <w:spacing w:line="276" w:lineRule="auto"/>
      </w:pPr>
    </w:p>
    <w:p w14:paraId="7EE90C31" w14:textId="4D85BF64" w:rsidR="00BB6E7C" w:rsidRDefault="00BB6E7C" w:rsidP="00E20873">
      <w:pPr>
        <w:spacing w:line="276" w:lineRule="auto"/>
      </w:pPr>
    </w:p>
    <w:p w14:paraId="1F0C4874" w14:textId="77777777" w:rsidR="00BB6E7C" w:rsidRPr="00E20873" w:rsidRDefault="00BB6E7C" w:rsidP="00E20873">
      <w:pPr>
        <w:spacing w:line="276" w:lineRule="auto"/>
      </w:pPr>
    </w:p>
    <w:p w14:paraId="0E0089B5" w14:textId="77777777" w:rsidR="00345AB5" w:rsidRPr="00345AB5" w:rsidRDefault="00345AB5" w:rsidP="00466AC0">
      <w:pPr>
        <w:spacing w:line="480" w:lineRule="auto"/>
        <w:rPr>
          <w:sz w:val="8"/>
          <w:szCs w:val="12"/>
        </w:rPr>
      </w:pPr>
    </w:p>
    <w:p w14:paraId="61CF63AB" w14:textId="35445DE9" w:rsidR="000343F3" w:rsidRDefault="00C0027A" w:rsidP="004F78B3">
      <w:pPr>
        <w:spacing w:line="480" w:lineRule="auto"/>
        <w:rPr>
          <w:b/>
          <w:bCs/>
          <w:sz w:val="28"/>
          <w:szCs w:val="28"/>
        </w:rPr>
      </w:pPr>
      <w:r w:rsidRPr="00BB6E7C">
        <w:rPr>
          <w:b/>
          <w:bCs/>
          <w:sz w:val="28"/>
          <w:szCs w:val="28"/>
        </w:rPr>
        <w:lastRenderedPageBreak/>
        <w:t>Appendix</w:t>
      </w:r>
      <w:r w:rsidR="00650984" w:rsidRPr="00BB6E7C">
        <w:rPr>
          <w:b/>
          <w:bCs/>
          <w:sz w:val="28"/>
          <w:szCs w:val="28"/>
        </w:rPr>
        <w:t>: Tables and Figures</w:t>
      </w:r>
    </w:p>
    <w:p w14:paraId="1AD39055" w14:textId="77777777" w:rsidR="00BB6E7C" w:rsidRPr="00BB6E7C" w:rsidRDefault="00BB6E7C" w:rsidP="004F78B3">
      <w:pPr>
        <w:spacing w:line="480" w:lineRule="auto"/>
        <w:rPr>
          <w:b/>
          <w:bCs/>
          <w:sz w:val="28"/>
          <w:szCs w:val="28"/>
        </w:rPr>
      </w:pPr>
    </w:p>
    <w:p w14:paraId="697559FC" w14:textId="23116F89" w:rsidR="00C34D04" w:rsidRPr="004F78B3" w:rsidRDefault="004F78B3" w:rsidP="00466AC0">
      <w:pPr>
        <w:spacing w:line="480" w:lineRule="auto"/>
        <w:jc w:val="center"/>
      </w:pPr>
      <w:r>
        <w:rPr>
          <w:b/>
          <w:bCs/>
        </w:rPr>
        <w:t xml:space="preserve">Table 1: </w:t>
      </w:r>
      <w:r>
        <w:t>Summary of Variables Used in This Study</w:t>
      </w:r>
    </w:p>
    <w:tbl>
      <w:tblPr>
        <w:tblStyle w:val="TableGrid"/>
        <w:tblW w:w="0" w:type="auto"/>
        <w:tblLook w:val="04A0" w:firstRow="1" w:lastRow="0" w:firstColumn="1" w:lastColumn="0" w:noHBand="0" w:noVBand="1"/>
      </w:tblPr>
      <w:tblGrid>
        <w:gridCol w:w="1885"/>
        <w:gridCol w:w="5850"/>
        <w:gridCol w:w="1615"/>
      </w:tblGrid>
      <w:tr w:rsidR="004A17D4" w14:paraId="3B2DF4EE" w14:textId="77777777" w:rsidTr="00B9242A">
        <w:tc>
          <w:tcPr>
            <w:tcW w:w="1885" w:type="dxa"/>
            <w:vAlign w:val="center"/>
          </w:tcPr>
          <w:p w14:paraId="52BA5F2D" w14:textId="77777777" w:rsidR="004A17D4" w:rsidRDefault="004A17D4" w:rsidP="00BB6E7C">
            <w:pPr>
              <w:spacing w:line="276" w:lineRule="auto"/>
            </w:pPr>
          </w:p>
        </w:tc>
        <w:tc>
          <w:tcPr>
            <w:tcW w:w="5850" w:type="dxa"/>
            <w:vAlign w:val="center"/>
          </w:tcPr>
          <w:p w14:paraId="52E22AB2" w14:textId="77777777" w:rsidR="004A17D4" w:rsidRPr="004F78B3" w:rsidRDefault="004A17D4" w:rsidP="00BB6E7C">
            <w:pPr>
              <w:spacing w:line="276" w:lineRule="auto"/>
              <w:rPr>
                <w:b/>
                <w:bCs/>
              </w:rPr>
            </w:pPr>
            <w:r w:rsidRPr="004F78B3">
              <w:rPr>
                <w:b/>
                <w:bCs/>
              </w:rPr>
              <w:t>Variables</w:t>
            </w:r>
          </w:p>
        </w:tc>
        <w:tc>
          <w:tcPr>
            <w:tcW w:w="1615" w:type="dxa"/>
            <w:vAlign w:val="center"/>
          </w:tcPr>
          <w:p w14:paraId="498CD757" w14:textId="77777777" w:rsidR="004A17D4" w:rsidRPr="004F78B3" w:rsidRDefault="004A17D4" w:rsidP="00BB6E7C">
            <w:pPr>
              <w:spacing w:line="276" w:lineRule="auto"/>
              <w:rPr>
                <w:b/>
                <w:bCs/>
              </w:rPr>
            </w:pPr>
            <w:r w:rsidRPr="004F78B3">
              <w:rPr>
                <w:b/>
                <w:bCs/>
              </w:rPr>
              <w:t>Source</w:t>
            </w:r>
          </w:p>
        </w:tc>
      </w:tr>
      <w:tr w:rsidR="004A17D4" w14:paraId="1DEAF645" w14:textId="77777777" w:rsidTr="00B9242A">
        <w:tc>
          <w:tcPr>
            <w:tcW w:w="9350" w:type="dxa"/>
            <w:gridSpan w:val="3"/>
            <w:vAlign w:val="center"/>
          </w:tcPr>
          <w:p w14:paraId="6D1A1D82" w14:textId="79C95F73" w:rsidR="004A17D4" w:rsidRPr="00700E4F" w:rsidRDefault="004F78B3" w:rsidP="00BB6E7C">
            <w:pPr>
              <w:spacing w:line="276" w:lineRule="auto"/>
              <w:rPr>
                <w:b/>
                <w:bCs/>
              </w:rPr>
            </w:pPr>
            <w:r>
              <w:rPr>
                <w:b/>
                <w:bCs/>
              </w:rPr>
              <w:t xml:space="preserve">Main </w:t>
            </w:r>
            <w:r w:rsidR="004A17D4" w:rsidRPr="00700E4F">
              <w:rPr>
                <w:b/>
                <w:bCs/>
              </w:rPr>
              <w:t>Variables in PVAR</w:t>
            </w:r>
          </w:p>
        </w:tc>
      </w:tr>
      <w:tr w:rsidR="004A17D4" w14:paraId="33007F9C" w14:textId="77777777" w:rsidTr="00B9242A">
        <w:tc>
          <w:tcPr>
            <w:tcW w:w="1885" w:type="dxa"/>
            <w:vAlign w:val="center"/>
          </w:tcPr>
          <w:p w14:paraId="59F67A39" w14:textId="77777777" w:rsidR="004A17D4" w:rsidRDefault="004A17D4" w:rsidP="00BB6E7C">
            <w:pPr>
              <w:spacing w:line="276" w:lineRule="auto"/>
            </w:pPr>
            <w:r>
              <w:t>Demography</w:t>
            </w:r>
          </w:p>
        </w:tc>
        <w:tc>
          <w:tcPr>
            <w:tcW w:w="5850" w:type="dxa"/>
            <w:vAlign w:val="center"/>
          </w:tcPr>
          <w:p w14:paraId="5FBBCFA5" w14:textId="77777777" w:rsidR="004A17D4" w:rsidRDefault="004A17D4" w:rsidP="00BB6E7C">
            <w:pPr>
              <w:spacing w:line="276" w:lineRule="auto"/>
            </w:pPr>
            <w:r>
              <w:t>Prime-age (16 - 64) population (% of total population)</w:t>
            </w:r>
          </w:p>
          <w:p w14:paraId="4319DF35" w14:textId="77777777" w:rsidR="004A17D4" w:rsidRDefault="004A17D4" w:rsidP="00BB6E7C">
            <w:pPr>
              <w:spacing w:line="276" w:lineRule="auto"/>
            </w:pPr>
            <w:r>
              <w:t>Prime-age (41 – 64) saver (% of total population)</w:t>
            </w:r>
          </w:p>
          <w:p w14:paraId="5294CE2B" w14:textId="77777777" w:rsidR="004A17D4" w:rsidRDefault="004A17D4" w:rsidP="00BB6E7C">
            <w:pPr>
              <w:spacing w:line="276" w:lineRule="auto"/>
            </w:pPr>
            <w:r>
              <w:t xml:space="preserve">Old Age (65 and over) dependency ratio </w:t>
            </w:r>
          </w:p>
        </w:tc>
        <w:tc>
          <w:tcPr>
            <w:tcW w:w="1615" w:type="dxa"/>
            <w:vAlign w:val="center"/>
          </w:tcPr>
          <w:p w14:paraId="31B62043" w14:textId="77777777" w:rsidR="004A17D4" w:rsidRDefault="004A17D4" w:rsidP="00BB6E7C">
            <w:pPr>
              <w:spacing w:line="276" w:lineRule="auto"/>
            </w:pPr>
            <w:r>
              <w:t>WDI</w:t>
            </w:r>
          </w:p>
        </w:tc>
      </w:tr>
      <w:tr w:rsidR="004A17D4" w14:paraId="3ACE38AD" w14:textId="77777777" w:rsidTr="00B9242A">
        <w:tc>
          <w:tcPr>
            <w:tcW w:w="1885" w:type="dxa"/>
            <w:vAlign w:val="center"/>
          </w:tcPr>
          <w:p w14:paraId="352C5246" w14:textId="77777777" w:rsidR="004A17D4" w:rsidRDefault="004A17D4" w:rsidP="00BB6E7C">
            <w:pPr>
              <w:spacing w:line="276" w:lineRule="auto"/>
            </w:pPr>
            <w:r>
              <w:t>Current Account</w:t>
            </w:r>
          </w:p>
        </w:tc>
        <w:tc>
          <w:tcPr>
            <w:tcW w:w="5850" w:type="dxa"/>
            <w:vAlign w:val="center"/>
          </w:tcPr>
          <w:p w14:paraId="005D0FAA" w14:textId="77777777" w:rsidR="004A17D4" w:rsidRDefault="004A17D4" w:rsidP="00BB6E7C">
            <w:pPr>
              <w:spacing w:line="276" w:lineRule="auto"/>
            </w:pPr>
            <w:r>
              <w:t>Current Account Balance (</w:t>
            </w:r>
            <w:proofErr w:type="spellStart"/>
            <w:r>
              <w:t>BoP</w:t>
            </w:r>
            <w:proofErr w:type="spellEnd"/>
            <w:r>
              <w:t xml:space="preserve"> basis, USD)</w:t>
            </w:r>
          </w:p>
          <w:p w14:paraId="0D2EA422" w14:textId="77777777" w:rsidR="004A17D4" w:rsidRDefault="004A17D4" w:rsidP="00BB6E7C">
            <w:pPr>
              <w:spacing w:line="276" w:lineRule="auto"/>
            </w:pPr>
            <w:r>
              <w:t>Current Account Balance (% of GDP)</w:t>
            </w:r>
          </w:p>
        </w:tc>
        <w:tc>
          <w:tcPr>
            <w:tcW w:w="1615" w:type="dxa"/>
            <w:vAlign w:val="center"/>
          </w:tcPr>
          <w:p w14:paraId="515B68BF" w14:textId="77777777" w:rsidR="004A17D4" w:rsidRDefault="004A17D4" w:rsidP="00BB6E7C">
            <w:pPr>
              <w:spacing w:line="276" w:lineRule="auto"/>
            </w:pPr>
            <w:r>
              <w:t>WDI</w:t>
            </w:r>
          </w:p>
        </w:tc>
      </w:tr>
      <w:tr w:rsidR="004A17D4" w14:paraId="48A6961E" w14:textId="77777777" w:rsidTr="00B9242A">
        <w:tc>
          <w:tcPr>
            <w:tcW w:w="1885" w:type="dxa"/>
            <w:vAlign w:val="center"/>
          </w:tcPr>
          <w:p w14:paraId="1461127A" w14:textId="77777777" w:rsidR="004A17D4" w:rsidRDefault="004A17D4" w:rsidP="00BB6E7C">
            <w:pPr>
              <w:spacing w:line="276" w:lineRule="auto"/>
            </w:pPr>
            <w:r>
              <w:t>Other Endogenous Variables in VAR</w:t>
            </w:r>
          </w:p>
        </w:tc>
        <w:tc>
          <w:tcPr>
            <w:tcW w:w="5850" w:type="dxa"/>
            <w:vAlign w:val="center"/>
          </w:tcPr>
          <w:p w14:paraId="6B0E8CB0" w14:textId="77777777" w:rsidR="004A17D4" w:rsidRDefault="004A17D4" w:rsidP="00BB6E7C">
            <w:pPr>
              <w:spacing w:line="276" w:lineRule="auto"/>
            </w:pPr>
            <w:r>
              <w:t>Gross Savings (level and % of GDP)</w:t>
            </w:r>
          </w:p>
          <w:p w14:paraId="283828E3" w14:textId="77777777" w:rsidR="004A17D4" w:rsidRDefault="004A17D4" w:rsidP="00BB6E7C">
            <w:pPr>
              <w:spacing w:line="276" w:lineRule="auto"/>
            </w:pPr>
            <w:r>
              <w:t>Gross Capital Formation (level and % of GDP)</w:t>
            </w:r>
          </w:p>
          <w:p w14:paraId="0D854424" w14:textId="77777777" w:rsidR="004A17D4" w:rsidRDefault="004A17D4" w:rsidP="00BB6E7C">
            <w:pPr>
              <w:spacing w:line="276" w:lineRule="auto"/>
            </w:pPr>
            <w:r>
              <w:t>GDP</w:t>
            </w:r>
          </w:p>
          <w:p w14:paraId="4C93CAFB" w14:textId="77777777" w:rsidR="004A17D4" w:rsidRDefault="004A17D4" w:rsidP="00BB6E7C">
            <w:pPr>
              <w:spacing w:line="276" w:lineRule="auto"/>
            </w:pPr>
            <w:r>
              <w:t>Real Interest Rate</w:t>
            </w:r>
          </w:p>
          <w:p w14:paraId="5CDED7F9" w14:textId="77777777" w:rsidR="004A17D4" w:rsidRDefault="004A17D4" w:rsidP="00BB6E7C">
            <w:pPr>
              <w:spacing w:line="276" w:lineRule="auto"/>
            </w:pPr>
            <w:r>
              <w:t>Inflation Rate</w:t>
            </w:r>
          </w:p>
        </w:tc>
        <w:tc>
          <w:tcPr>
            <w:tcW w:w="1615" w:type="dxa"/>
            <w:vAlign w:val="center"/>
          </w:tcPr>
          <w:p w14:paraId="6C104EA9" w14:textId="77777777" w:rsidR="004A17D4" w:rsidRDefault="004A17D4" w:rsidP="00BB6E7C">
            <w:pPr>
              <w:spacing w:line="276" w:lineRule="auto"/>
            </w:pPr>
            <w:r>
              <w:t>WDI</w:t>
            </w:r>
          </w:p>
        </w:tc>
      </w:tr>
      <w:tr w:rsidR="004A17D4" w14:paraId="728BFF4C" w14:textId="77777777" w:rsidTr="00B9242A">
        <w:tc>
          <w:tcPr>
            <w:tcW w:w="9350" w:type="dxa"/>
            <w:gridSpan w:val="3"/>
            <w:vAlign w:val="center"/>
          </w:tcPr>
          <w:p w14:paraId="39D9C5F4" w14:textId="6EF08FF7" w:rsidR="004A17D4" w:rsidRPr="00700E4F" w:rsidRDefault="004A17D4" w:rsidP="00BB6E7C">
            <w:pPr>
              <w:spacing w:line="276" w:lineRule="auto"/>
              <w:rPr>
                <w:b/>
                <w:bCs/>
              </w:rPr>
            </w:pPr>
            <w:r w:rsidRPr="00700E4F">
              <w:rPr>
                <w:b/>
                <w:bCs/>
              </w:rPr>
              <w:t>Control Variables for Classification</w:t>
            </w:r>
            <w:r w:rsidR="004F78B3">
              <w:rPr>
                <w:b/>
                <w:bCs/>
              </w:rPr>
              <w:t>s</w:t>
            </w:r>
          </w:p>
        </w:tc>
      </w:tr>
      <w:tr w:rsidR="004A17D4" w14:paraId="7349E96B" w14:textId="77777777" w:rsidTr="00B9242A">
        <w:tc>
          <w:tcPr>
            <w:tcW w:w="1885" w:type="dxa"/>
            <w:vAlign w:val="center"/>
          </w:tcPr>
          <w:p w14:paraId="7FCE08C2" w14:textId="77777777" w:rsidR="004A17D4" w:rsidRDefault="004A17D4" w:rsidP="00BB6E7C">
            <w:pPr>
              <w:spacing w:line="276" w:lineRule="auto"/>
            </w:pPr>
            <w:r>
              <w:t>Pension</w:t>
            </w:r>
          </w:p>
        </w:tc>
        <w:tc>
          <w:tcPr>
            <w:tcW w:w="5850" w:type="dxa"/>
            <w:vAlign w:val="center"/>
          </w:tcPr>
          <w:p w14:paraId="4E0D42E6" w14:textId="0AD8CAAE" w:rsidR="004F78B3" w:rsidRDefault="004F78B3" w:rsidP="00BB6E7C">
            <w:pPr>
              <w:spacing w:line="276" w:lineRule="auto"/>
            </w:pPr>
            <w:r>
              <w:t>Coverage of Social Security Program (% Population)</w:t>
            </w:r>
          </w:p>
          <w:p w14:paraId="5F44E168" w14:textId="77777777" w:rsidR="004F78B3" w:rsidRDefault="004F78B3" w:rsidP="00BB6E7C">
            <w:pPr>
              <w:spacing w:line="276" w:lineRule="auto"/>
            </w:pPr>
          </w:p>
          <w:p w14:paraId="1E32E7F3" w14:textId="6239D247" w:rsidR="004A17D4" w:rsidRDefault="004A17D4" w:rsidP="00BB6E7C">
            <w:pPr>
              <w:spacing w:line="276" w:lineRule="auto"/>
            </w:pPr>
            <w:r w:rsidRPr="00700E4F">
              <w:t>Mandatory old-age income security programs</w:t>
            </w:r>
            <w:r>
              <w:t xml:space="preserve"> (Indexing TBD)</w:t>
            </w:r>
          </w:p>
          <w:p w14:paraId="21F9174B" w14:textId="77777777" w:rsidR="004A17D4" w:rsidRDefault="004A17D4" w:rsidP="00BB6E7C">
            <w:pPr>
              <w:spacing w:line="276" w:lineRule="auto"/>
            </w:pPr>
            <w:r>
              <w:t>(Universal, Non-universal, Retirement Age, Early Pensionable Age)</w:t>
            </w:r>
          </w:p>
          <w:p w14:paraId="6BFF4CB2" w14:textId="77777777" w:rsidR="004A17D4" w:rsidRDefault="004A17D4" w:rsidP="00BB6E7C">
            <w:pPr>
              <w:spacing w:line="276" w:lineRule="auto"/>
            </w:pPr>
            <w:r>
              <w:t>Pension Fund Assets (% of GDP)</w:t>
            </w:r>
          </w:p>
        </w:tc>
        <w:tc>
          <w:tcPr>
            <w:tcW w:w="1615" w:type="dxa"/>
            <w:vAlign w:val="center"/>
          </w:tcPr>
          <w:p w14:paraId="6A3A7305" w14:textId="77777777" w:rsidR="004F78B3" w:rsidRDefault="004F78B3" w:rsidP="00BB6E7C">
            <w:pPr>
              <w:spacing w:line="276" w:lineRule="auto"/>
            </w:pPr>
            <w:r>
              <w:t>T</w:t>
            </w:r>
            <w:r w:rsidRPr="005E6521">
              <w:t>he Atlas of Social Protection</w:t>
            </w:r>
            <w:r>
              <w:t xml:space="preserve"> </w:t>
            </w:r>
          </w:p>
          <w:p w14:paraId="5429CA11" w14:textId="77777777" w:rsidR="004F78B3" w:rsidRDefault="004F78B3" w:rsidP="00BB6E7C">
            <w:pPr>
              <w:spacing w:line="276" w:lineRule="auto"/>
            </w:pPr>
          </w:p>
          <w:p w14:paraId="51C8F6C8" w14:textId="5F5B7F26" w:rsidR="004A17D4" w:rsidRDefault="004A17D4" w:rsidP="00BB6E7C">
            <w:pPr>
              <w:spacing w:line="276" w:lineRule="auto"/>
            </w:pPr>
            <w:r>
              <w:t>World Bank’s</w:t>
            </w:r>
          </w:p>
          <w:p w14:paraId="25B030B9" w14:textId="77777777" w:rsidR="004A17D4" w:rsidRPr="006D7B42" w:rsidRDefault="004A17D4" w:rsidP="00BB6E7C">
            <w:pPr>
              <w:spacing w:line="276" w:lineRule="auto"/>
              <w:rPr>
                <w:i/>
                <w:iCs/>
              </w:rPr>
            </w:pPr>
            <w:r>
              <w:rPr>
                <w:i/>
                <w:iCs/>
              </w:rPr>
              <w:t>Global Financial Development</w:t>
            </w:r>
          </w:p>
        </w:tc>
      </w:tr>
      <w:tr w:rsidR="004A17D4" w14:paraId="4B56AFCC" w14:textId="77777777" w:rsidTr="00B9242A">
        <w:tc>
          <w:tcPr>
            <w:tcW w:w="1885" w:type="dxa"/>
            <w:vAlign w:val="center"/>
          </w:tcPr>
          <w:p w14:paraId="758CA142" w14:textId="77777777" w:rsidR="004A17D4" w:rsidRPr="006D7B42" w:rsidRDefault="004A17D4" w:rsidP="00BB6E7C">
            <w:pPr>
              <w:spacing w:line="276" w:lineRule="auto"/>
            </w:pPr>
            <w:r w:rsidRPr="006D7B42">
              <w:t>Longevity</w:t>
            </w:r>
          </w:p>
          <w:p w14:paraId="2F1356B1" w14:textId="77777777" w:rsidR="004A17D4" w:rsidRDefault="004A17D4" w:rsidP="00BB6E7C">
            <w:pPr>
              <w:spacing w:line="276" w:lineRule="auto"/>
            </w:pPr>
          </w:p>
        </w:tc>
        <w:tc>
          <w:tcPr>
            <w:tcW w:w="5850" w:type="dxa"/>
            <w:vAlign w:val="center"/>
          </w:tcPr>
          <w:p w14:paraId="13F18591" w14:textId="77777777" w:rsidR="004A17D4" w:rsidRDefault="004A17D4" w:rsidP="00BB6E7C">
            <w:pPr>
              <w:spacing w:line="276" w:lineRule="auto"/>
            </w:pPr>
            <w:r>
              <w:t>Life expectancy at birth</w:t>
            </w:r>
          </w:p>
          <w:p w14:paraId="339DC72C" w14:textId="77777777" w:rsidR="004A17D4" w:rsidRPr="00700E4F" w:rsidRDefault="004A17D4" w:rsidP="00BB6E7C">
            <w:pPr>
              <w:spacing w:line="276" w:lineRule="auto"/>
            </w:pPr>
            <w:r>
              <w:t>Life expectancy at age of 65</w:t>
            </w:r>
          </w:p>
        </w:tc>
        <w:tc>
          <w:tcPr>
            <w:tcW w:w="1615" w:type="dxa"/>
            <w:vAlign w:val="center"/>
          </w:tcPr>
          <w:p w14:paraId="46EE9F00" w14:textId="77777777" w:rsidR="004A17D4" w:rsidRDefault="004A17D4" w:rsidP="00BB6E7C">
            <w:pPr>
              <w:spacing w:line="276" w:lineRule="auto"/>
            </w:pPr>
            <w:r>
              <w:t>WDI</w:t>
            </w:r>
          </w:p>
        </w:tc>
      </w:tr>
      <w:tr w:rsidR="004A17D4" w14:paraId="4B6F49BD" w14:textId="77777777" w:rsidTr="00B9242A">
        <w:tc>
          <w:tcPr>
            <w:tcW w:w="1885" w:type="dxa"/>
            <w:vAlign w:val="center"/>
          </w:tcPr>
          <w:p w14:paraId="57A2F50F" w14:textId="77777777" w:rsidR="004A17D4" w:rsidRPr="006D7B42" w:rsidRDefault="004A17D4" w:rsidP="00BB6E7C">
            <w:pPr>
              <w:spacing w:line="276" w:lineRule="auto"/>
            </w:pPr>
            <w:r>
              <w:t>Financial Development</w:t>
            </w:r>
          </w:p>
        </w:tc>
        <w:tc>
          <w:tcPr>
            <w:tcW w:w="5850" w:type="dxa"/>
            <w:vAlign w:val="center"/>
          </w:tcPr>
          <w:p w14:paraId="21A01306" w14:textId="77777777" w:rsidR="004A17D4" w:rsidRDefault="004A17D4" w:rsidP="00BB6E7C">
            <w:pPr>
              <w:spacing w:line="276" w:lineRule="auto"/>
            </w:pPr>
            <w:r>
              <w:t>Financial Deepening (M2-to-GDP)</w:t>
            </w:r>
          </w:p>
          <w:p w14:paraId="1506871A" w14:textId="77777777" w:rsidR="004A17D4" w:rsidRDefault="004A17D4" w:rsidP="00BB6E7C">
            <w:pPr>
              <w:spacing w:line="276" w:lineRule="auto"/>
            </w:pPr>
            <w:r>
              <w:t xml:space="preserve">Bank Accounts per 1,000 People  </w:t>
            </w:r>
          </w:p>
          <w:p w14:paraId="3679B395" w14:textId="77777777" w:rsidR="004A17D4" w:rsidRDefault="004A17D4" w:rsidP="00BB6E7C">
            <w:pPr>
              <w:spacing w:line="276" w:lineRule="auto"/>
            </w:pPr>
          </w:p>
        </w:tc>
        <w:tc>
          <w:tcPr>
            <w:tcW w:w="1615" w:type="dxa"/>
            <w:vAlign w:val="center"/>
          </w:tcPr>
          <w:p w14:paraId="75EB2B60" w14:textId="77777777" w:rsidR="004A17D4" w:rsidRDefault="004A17D4" w:rsidP="00BB6E7C">
            <w:pPr>
              <w:spacing w:line="276" w:lineRule="auto"/>
            </w:pPr>
            <w:r>
              <w:t>World Bank’s</w:t>
            </w:r>
          </w:p>
          <w:p w14:paraId="59EBF051" w14:textId="77777777" w:rsidR="004A17D4" w:rsidRDefault="004A17D4" w:rsidP="00BB6E7C">
            <w:pPr>
              <w:spacing w:line="276" w:lineRule="auto"/>
            </w:pPr>
            <w:r>
              <w:rPr>
                <w:i/>
                <w:iCs/>
              </w:rPr>
              <w:t>Global Financial Development</w:t>
            </w:r>
          </w:p>
        </w:tc>
      </w:tr>
      <w:tr w:rsidR="004A17D4" w14:paraId="728E4F6E" w14:textId="77777777" w:rsidTr="00B9242A">
        <w:tc>
          <w:tcPr>
            <w:tcW w:w="1885" w:type="dxa"/>
            <w:vAlign w:val="center"/>
          </w:tcPr>
          <w:p w14:paraId="076CAA3C" w14:textId="77777777" w:rsidR="004A17D4" w:rsidRDefault="004A17D4" w:rsidP="00BB6E7C">
            <w:pPr>
              <w:spacing w:line="276" w:lineRule="auto"/>
            </w:pPr>
            <w:r>
              <w:t>Capital Openness</w:t>
            </w:r>
          </w:p>
        </w:tc>
        <w:tc>
          <w:tcPr>
            <w:tcW w:w="5850" w:type="dxa"/>
            <w:vAlign w:val="center"/>
          </w:tcPr>
          <w:p w14:paraId="6ECB79B7" w14:textId="77777777" w:rsidR="004A17D4" w:rsidRDefault="004A17D4" w:rsidP="00BB6E7C">
            <w:pPr>
              <w:spacing w:line="276" w:lineRule="auto"/>
            </w:pPr>
            <w:r>
              <w:t>Ito-Chinn Index</w:t>
            </w:r>
          </w:p>
        </w:tc>
        <w:tc>
          <w:tcPr>
            <w:tcW w:w="1615" w:type="dxa"/>
            <w:vAlign w:val="center"/>
          </w:tcPr>
          <w:p w14:paraId="0F094AFC" w14:textId="47F645BC" w:rsidR="004A17D4" w:rsidRDefault="004F78B3" w:rsidP="00BB6E7C">
            <w:pPr>
              <w:spacing w:line="276" w:lineRule="auto"/>
            </w:pPr>
            <w:r>
              <w:t>Chinn, Ito (2008)</w:t>
            </w:r>
          </w:p>
        </w:tc>
      </w:tr>
      <w:tr w:rsidR="004A17D4" w14:paraId="2C3D8B26" w14:textId="77777777" w:rsidTr="00B9242A">
        <w:tc>
          <w:tcPr>
            <w:tcW w:w="1885" w:type="dxa"/>
            <w:vAlign w:val="center"/>
          </w:tcPr>
          <w:p w14:paraId="588A1D67" w14:textId="77777777" w:rsidR="004A17D4" w:rsidRDefault="004A17D4" w:rsidP="00BB6E7C">
            <w:pPr>
              <w:spacing w:line="276" w:lineRule="auto"/>
            </w:pPr>
            <w:r>
              <w:t>Region Control</w:t>
            </w:r>
          </w:p>
        </w:tc>
        <w:tc>
          <w:tcPr>
            <w:tcW w:w="5850" w:type="dxa"/>
            <w:vAlign w:val="center"/>
          </w:tcPr>
          <w:p w14:paraId="4596EEBB" w14:textId="77777777" w:rsidR="004A17D4" w:rsidRDefault="004A17D4" w:rsidP="00BB6E7C">
            <w:pPr>
              <w:spacing w:line="276" w:lineRule="auto"/>
            </w:pPr>
          </w:p>
        </w:tc>
        <w:tc>
          <w:tcPr>
            <w:tcW w:w="1615" w:type="dxa"/>
            <w:vAlign w:val="center"/>
          </w:tcPr>
          <w:p w14:paraId="4A514E81" w14:textId="77777777" w:rsidR="004A17D4" w:rsidRDefault="004A17D4" w:rsidP="00BB6E7C">
            <w:pPr>
              <w:spacing w:line="276" w:lineRule="auto"/>
            </w:pPr>
            <w:r>
              <w:t>World Bank</w:t>
            </w:r>
          </w:p>
        </w:tc>
      </w:tr>
      <w:tr w:rsidR="004A17D4" w14:paraId="097A6B63" w14:textId="77777777" w:rsidTr="00B9242A">
        <w:tc>
          <w:tcPr>
            <w:tcW w:w="1885" w:type="dxa"/>
            <w:vAlign w:val="center"/>
          </w:tcPr>
          <w:p w14:paraId="500FF3F1" w14:textId="77777777" w:rsidR="004A17D4" w:rsidRDefault="004A17D4" w:rsidP="00BB6E7C">
            <w:pPr>
              <w:spacing w:line="276" w:lineRule="auto"/>
            </w:pPr>
            <w:r>
              <w:t>Income Group</w:t>
            </w:r>
          </w:p>
        </w:tc>
        <w:tc>
          <w:tcPr>
            <w:tcW w:w="5850" w:type="dxa"/>
            <w:vAlign w:val="center"/>
          </w:tcPr>
          <w:p w14:paraId="0F0E34CD" w14:textId="77777777" w:rsidR="004A17D4" w:rsidRDefault="004A17D4" w:rsidP="00BB6E7C">
            <w:pPr>
              <w:spacing w:line="276" w:lineRule="auto"/>
            </w:pPr>
          </w:p>
        </w:tc>
        <w:tc>
          <w:tcPr>
            <w:tcW w:w="1615" w:type="dxa"/>
            <w:vAlign w:val="center"/>
          </w:tcPr>
          <w:p w14:paraId="2F0C648E" w14:textId="77777777" w:rsidR="004A17D4" w:rsidRDefault="004A17D4" w:rsidP="00BB6E7C">
            <w:pPr>
              <w:spacing w:line="276" w:lineRule="auto"/>
            </w:pPr>
            <w:r>
              <w:t>World Bank</w:t>
            </w:r>
          </w:p>
        </w:tc>
      </w:tr>
    </w:tbl>
    <w:p w14:paraId="207DF302" w14:textId="77777777" w:rsidR="00BB6E7C" w:rsidRDefault="00BB6E7C" w:rsidP="00084AD8">
      <w:pPr>
        <w:spacing w:line="480" w:lineRule="auto"/>
        <w:jc w:val="center"/>
        <w:rPr>
          <w:b/>
          <w:bCs/>
        </w:rPr>
      </w:pPr>
    </w:p>
    <w:p w14:paraId="2BA20A56" w14:textId="77777777" w:rsidR="00BB6E7C" w:rsidRDefault="00BB6E7C" w:rsidP="00084AD8">
      <w:pPr>
        <w:spacing w:line="480" w:lineRule="auto"/>
        <w:jc w:val="center"/>
        <w:rPr>
          <w:b/>
          <w:bCs/>
        </w:rPr>
      </w:pPr>
    </w:p>
    <w:p w14:paraId="1D6A0D72" w14:textId="77777777" w:rsidR="00BB6E7C" w:rsidRDefault="00BB6E7C" w:rsidP="00084AD8">
      <w:pPr>
        <w:spacing w:line="480" w:lineRule="auto"/>
        <w:jc w:val="center"/>
        <w:rPr>
          <w:b/>
          <w:bCs/>
        </w:rPr>
      </w:pPr>
    </w:p>
    <w:p w14:paraId="76E73800" w14:textId="77777777" w:rsidR="00BB6E7C" w:rsidRDefault="00BB6E7C" w:rsidP="00084AD8">
      <w:pPr>
        <w:spacing w:line="480" w:lineRule="auto"/>
        <w:jc w:val="center"/>
        <w:rPr>
          <w:b/>
          <w:bCs/>
        </w:rPr>
      </w:pPr>
    </w:p>
    <w:p w14:paraId="649EBD7E" w14:textId="08927D8D" w:rsidR="0035674B" w:rsidRDefault="004F78B3" w:rsidP="00084AD8">
      <w:pPr>
        <w:spacing w:line="480" w:lineRule="auto"/>
        <w:jc w:val="center"/>
      </w:pPr>
      <w:r>
        <w:rPr>
          <w:b/>
          <w:bCs/>
        </w:rPr>
        <w:t xml:space="preserve">Table 2: </w:t>
      </w:r>
      <w:r>
        <w:t>Descriptive Statistics of Variables Used in This Study</w:t>
      </w:r>
    </w:p>
    <w:tbl>
      <w:tblPr>
        <w:tblW w:w="10511" w:type="dxa"/>
        <w:tblInd w:w="-581" w:type="dxa"/>
        <w:tblLook w:val="04A0" w:firstRow="1" w:lastRow="0" w:firstColumn="1" w:lastColumn="0" w:noHBand="0" w:noVBand="1"/>
      </w:tblPr>
      <w:tblGrid>
        <w:gridCol w:w="3680"/>
        <w:gridCol w:w="1880"/>
        <w:gridCol w:w="980"/>
        <w:gridCol w:w="1260"/>
        <w:gridCol w:w="1151"/>
        <w:gridCol w:w="1560"/>
      </w:tblGrid>
      <w:tr w:rsidR="00C20AD7" w:rsidRPr="00C20AD7" w14:paraId="0D9F6B77" w14:textId="77777777" w:rsidTr="006B2E4E">
        <w:trPr>
          <w:trHeight w:val="276"/>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9C4E20" w14:textId="77777777" w:rsidR="00C20AD7" w:rsidRPr="007E42F8" w:rsidRDefault="00C20AD7" w:rsidP="006B2E4E">
            <w:pPr>
              <w:jc w:val="center"/>
              <w:rPr>
                <w:b/>
                <w:bCs/>
                <w:color w:val="000000"/>
                <w:sz w:val="20"/>
                <w:szCs w:val="20"/>
              </w:rPr>
            </w:pPr>
            <w:r w:rsidRPr="007E42F8">
              <w:rPr>
                <w:b/>
                <w:bCs/>
                <w:color w:val="000000"/>
                <w:sz w:val="20"/>
                <w:szCs w:val="20"/>
              </w:rPr>
              <w:t>Variable</w:t>
            </w:r>
          </w:p>
        </w:tc>
        <w:tc>
          <w:tcPr>
            <w:tcW w:w="1880" w:type="dxa"/>
            <w:tcBorders>
              <w:top w:val="single" w:sz="4" w:space="0" w:color="auto"/>
              <w:left w:val="nil"/>
              <w:bottom w:val="single" w:sz="4" w:space="0" w:color="auto"/>
              <w:right w:val="single" w:sz="4" w:space="0" w:color="auto"/>
            </w:tcBorders>
            <w:shd w:val="clear" w:color="auto" w:fill="auto"/>
            <w:noWrap/>
            <w:vAlign w:val="center"/>
            <w:hideMark/>
          </w:tcPr>
          <w:p w14:paraId="47DECE24" w14:textId="7360FF8B" w:rsidR="00C20AD7" w:rsidRPr="007E42F8" w:rsidRDefault="00C20AD7" w:rsidP="006B2E4E">
            <w:pPr>
              <w:jc w:val="center"/>
              <w:rPr>
                <w:b/>
                <w:bCs/>
                <w:color w:val="000000"/>
                <w:sz w:val="20"/>
                <w:szCs w:val="20"/>
              </w:rPr>
            </w:pPr>
            <w:r w:rsidRPr="007E42F8">
              <w:rPr>
                <w:b/>
                <w:bCs/>
                <w:color w:val="000000"/>
                <w:sz w:val="20"/>
                <w:szCs w:val="20"/>
              </w:rPr>
              <w:t>Observ</w:t>
            </w:r>
            <w:r w:rsidR="006B2E4E" w:rsidRPr="007E42F8">
              <w:rPr>
                <w:b/>
                <w:bCs/>
                <w:color w:val="000000"/>
                <w:sz w:val="20"/>
                <w:szCs w:val="20"/>
              </w:rPr>
              <w:t>ation</w:t>
            </w:r>
          </w:p>
          <w:p w14:paraId="246E0A74" w14:textId="23B09207" w:rsidR="00C20AD7" w:rsidRPr="007E42F8" w:rsidRDefault="00C20AD7" w:rsidP="006B2E4E">
            <w:pPr>
              <w:jc w:val="center"/>
              <w:rPr>
                <w:b/>
                <w:bCs/>
                <w:color w:val="000000"/>
                <w:sz w:val="20"/>
                <w:szCs w:val="20"/>
              </w:rPr>
            </w:pPr>
            <w:r w:rsidRPr="007E42F8">
              <w:rPr>
                <w:b/>
                <w:bCs/>
                <w:color w:val="000000"/>
                <w:sz w:val="20"/>
                <w:szCs w:val="20"/>
              </w:rPr>
              <w:t>(County-year)</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2C93BC0A" w14:textId="77777777" w:rsidR="00C20AD7" w:rsidRPr="007E42F8" w:rsidRDefault="00C20AD7" w:rsidP="006B2E4E">
            <w:pPr>
              <w:jc w:val="center"/>
              <w:rPr>
                <w:b/>
                <w:bCs/>
                <w:color w:val="000000"/>
                <w:sz w:val="20"/>
                <w:szCs w:val="20"/>
              </w:rPr>
            </w:pPr>
            <w:r w:rsidRPr="007E42F8">
              <w:rPr>
                <w:b/>
                <w:bCs/>
                <w:color w:val="000000"/>
                <w:sz w:val="20"/>
                <w:szCs w:val="20"/>
              </w:rPr>
              <w:t>Mean</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AA19271" w14:textId="77777777" w:rsidR="00C20AD7" w:rsidRPr="007E42F8" w:rsidRDefault="00C20AD7" w:rsidP="006B2E4E">
            <w:pPr>
              <w:jc w:val="center"/>
              <w:rPr>
                <w:b/>
                <w:bCs/>
                <w:color w:val="000000"/>
                <w:sz w:val="20"/>
                <w:szCs w:val="20"/>
              </w:rPr>
            </w:pPr>
            <w:r w:rsidRPr="007E42F8">
              <w:rPr>
                <w:b/>
                <w:bCs/>
                <w:color w:val="000000"/>
                <w:sz w:val="20"/>
                <w:szCs w:val="20"/>
              </w:rPr>
              <w:t>Std. Dev.</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14:paraId="637BC57A" w14:textId="77777777" w:rsidR="00C20AD7" w:rsidRPr="007E42F8" w:rsidRDefault="00C20AD7" w:rsidP="006B2E4E">
            <w:pPr>
              <w:jc w:val="center"/>
              <w:rPr>
                <w:b/>
                <w:bCs/>
                <w:color w:val="000000"/>
                <w:sz w:val="20"/>
                <w:szCs w:val="20"/>
              </w:rPr>
            </w:pPr>
            <w:r w:rsidRPr="007E42F8">
              <w:rPr>
                <w:b/>
                <w:bCs/>
                <w:color w:val="000000"/>
                <w:sz w:val="20"/>
                <w:szCs w:val="20"/>
              </w:rPr>
              <w:t>Min</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E53BDA7" w14:textId="77777777" w:rsidR="00C20AD7" w:rsidRPr="007E42F8" w:rsidRDefault="00C20AD7" w:rsidP="006B2E4E">
            <w:pPr>
              <w:jc w:val="center"/>
              <w:rPr>
                <w:b/>
                <w:bCs/>
                <w:color w:val="000000"/>
                <w:sz w:val="20"/>
                <w:szCs w:val="20"/>
              </w:rPr>
            </w:pPr>
            <w:r w:rsidRPr="007E42F8">
              <w:rPr>
                <w:b/>
                <w:bCs/>
                <w:color w:val="000000"/>
                <w:sz w:val="20"/>
                <w:szCs w:val="20"/>
              </w:rPr>
              <w:t>Max</w:t>
            </w:r>
          </w:p>
        </w:tc>
      </w:tr>
      <w:tr w:rsidR="00C20AD7" w:rsidRPr="00C20AD7" w14:paraId="364E9FCA" w14:textId="77777777" w:rsidTr="00C20AD7">
        <w:trPr>
          <w:trHeight w:val="276"/>
        </w:trPr>
        <w:tc>
          <w:tcPr>
            <w:tcW w:w="1051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A65C2" w14:textId="77777777" w:rsidR="00C20AD7" w:rsidRPr="007E42F8" w:rsidRDefault="00C20AD7" w:rsidP="00C20AD7">
            <w:pPr>
              <w:jc w:val="center"/>
              <w:rPr>
                <w:b/>
                <w:bCs/>
                <w:color w:val="000000"/>
                <w:sz w:val="20"/>
                <w:szCs w:val="20"/>
              </w:rPr>
            </w:pPr>
            <w:r w:rsidRPr="007E42F8">
              <w:rPr>
                <w:b/>
                <w:bCs/>
                <w:color w:val="000000"/>
                <w:sz w:val="20"/>
                <w:szCs w:val="20"/>
              </w:rPr>
              <w:t>Demographic Variables</w:t>
            </w:r>
          </w:p>
        </w:tc>
      </w:tr>
      <w:tr w:rsidR="00C20AD7" w:rsidRPr="00C20AD7" w14:paraId="19B7E593"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154D9D6" w14:textId="77777777" w:rsidR="00C20AD7" w:rsidRPr="007E42F8" w:rsidRDefault="00C20AD7" w:rsidP="00C20AD7">
            <w:pPr>
              <w:rPr>
                <w:color w:val="000000"/>
                <w:sz w:val="20"/>
                <w:szCs w:val="20"/>
              </w:rPr>
            </w:pPr>
            <w:r w:rsidRPr="007E42F8">
              <w:rPr>
                <w:color w:val="000000"/>
                <w:sz w:val="20"/>
                <w:szCs w:val="20"/>
              </w:rPr>
              <w:t>Dependency Ratio</w:t>
            </w:r>
          </w:p>
        </w:tc>
        <w:tc>
          <w:tcPr>
            <w:tcW w:w="1880" w:type="dxa"/>
            <w:tcBorders>
              <w:top w:val="nil"/>
              <w:left w:val="nil"/>
              <w:bottom w:val="single" w:sz="4" w:space="0" w:color="auto"/>
              <w:right w:val="single" w:sz="4" w:space="0" w:color="auto"/>
            </w:tcBorders>
            <w:shd w:val="clear" w:color="auto" w:fill="auto"/>
            <w:noWrap/>
            <w:vAlign w:val="bottom"/>
            <w:hideMark/>
          </w:tcPr>
          <w:p w14:paraId="2F3584DD" w14:textId="1DC5921E" w:rsidR="00C20AD7" w:rsidRPr="007E42F8" w:rsidRDefault="00C20AD7" w:rsidP="00C20AD7">
            <w:pPr>
              <w:jc w:val="right"/>
              <w:rPr>
                <w:color w:val="000000"/>
                <w:sz w:val="20"/>
                <w:szCs w:val="20"/>
              </w:rPr>
            </w:pPr>
            <w:r w:rsidRPr="007E42F8">
              <w:rPr>
                <w:color w:val="000000"/>
                <w:sz w:val="20"/>
                <w:szCs w:val="20"/>
              </w:rPr>
              <w:t>8957</w:t>
            </w:r>
          </w:p>
        </w:tc>
        <w:tc>
          <w:tcPr>
            <w:tcW w:w="980" w:type="dxa"/>
            <w:tcBorders>
              <w:top w:val="nil"/>
              <w:left w:val="nil"/>
              <w:bottom w:val="single" w:sz="4" w:space="0" w:color="auto"/>
              <w:right w:val="single" w:sz="4" w:space="0" w:color="auto"/>
            </w:tcBorders>
            <w:shd w:val="clear" w:color="auto" w:fill="auto"/>
            <w:noWrap/>
            <w:vAlign w:val="bottom"/>
            <w:hideMark/>
          </w:tcPr>
          <w:p w14:paraId="3336ECE0" w14:textId="77777777" w:rsidR="00C20AD7" w:rsidRPr="007E42F8" w:rsidRDefault="00C20AD7" w:rsidP="00C20AD7">
            <w:pPr>
              <w:jc w:val="right"/>
              <w:rPr>
                <w:color w:val="000000"/>
                <w:sz w:val="20"/>
                <w:szCs w:val="20"/>
              </w:rPr>
            </w:pPr>
            <w:r w:rsidRPr="007E42F8">
              <w:rPr>
                <w:color w:val="000000"/>
                <w:sz w:val="20"/>
                <w:szCs w:val="20"/>
              </w:rPr>
              <w:t>70.42</w:t>
            </w:r>
          </w:p>
        </w:tc>
        <w:tc>
          <w:tcPr>
            <w:tcW w:w="1260" w:type="dxa"/>
            <w:tcBorders>
              <w:top w:val="nil"/>
              <w:left w:val="nil"/>
              <w:bottom w:val="single" w:sz="4" w:space="0" w:color="auto"/>
              <w:right w:val="single" w:sz="4" w:space="0" w:color="auto"/>
            </w:tcBorders>
            <w:shd w:val="clear" w:color="auto" w:fill="auto"/>
            <w:noWrap/>
            <w:vAlign w:val="bottom"/>
            <w:hideMark/>
          </w:tcPr>
          <w:p w14:paraId="5D2A2381" w14:textId="77777777" w:rsidR="00C20AD7" w:rsidRPr="007E42F8" w:rsidRDefault="00C20AD7" w:rsidP="00C20AD7">
            <w:pPr>
              <w:jc w:val="right"/>
              <w:rPr>
                <w:color w:val="000000"/>
                <w:sz w:val="20"/>
                <w:szCs w:val="20"/>
              </w:rPr>
            </w:pPr>
            <w:r w:rsidRPr="007E42F8">
              <w:rPr>
                <w:color w:val="000000"/>
                <w:sz w:val="20"/>
                <w:szCs w:val="20"/>
              </w:rPr>
              <w:t>20.45</w:t>
            </w:r>
          </w:p>
        </w:tc>
        <w:tc>
          <w:tcPr>
            <w:tcW w:w="1151" w:type="dxa"/>
            <w:tcBorders>
              <w:top w:val="nil"/>
              <w:left w:val="nil"/>
              <w:bottom w:val="single" w:sz="4" w:space="0" w:color="auto"/>
              <w:right w:val="single" w:sz="4" w:space="0" w:color="auto"/>
            </w:tcBorders>
            <w:shd w:val="clear" w:color="auto" w:fill="auto"/>
            <w:noWrap/>
            <w:vAlign w:val="bottom"/>
            <w:hideMark/>
          </w:tcPr>
          <w:p w14:paraId="34A0F10E" w14:textId="77777777" w:rsidR="00C20AD7" w:rsidRPr="007E42F8" w:rsidRDefault="00C20AD7" w:rsidP="00C20AD7">
            <w:pPr>
              <w:jc w:val="right"/>
              <w:rPr>
                <w:color w:val="000000"/>
                <w:sz w:val="20"/>
                <w:szCs w:val="20"/>
              </w:rPr>
            </w:pPr>
            <w:r w:rsidRPr="007E42F8">
              <w:rPr>
                <w:color w:val="000000"/>
                <w:sz w:val="20"/>
                <w:szCs w:val="20"/>
              </w:rPr>
              <w:t>15.74</w:t>
            </w:r>
          </w:p>
        </w:tc>
        <w:tc>
          <w:tcPr>
            <w:tcW w:w="1560" w:type="dxa"/>
            <w:tcBorders>
              <w:top w:val="nil"/>
              <w:left w:val="nil"/>
              <w:bottom w:val="single" w:sz="4" w:space="0" w:color="auto"/>
              <w:right w:val="single" w:sz="4" w:space="0" w:color="auto"/>
            </w:tcBorders>
            <w:shd w:val="clear" w:color="auto" w:fill="auto"/>
            <w:noWrap/>
            <w:vAlign w:val="bottom"/>
            <w:hideMark/>
          </w:tcPr>
          <w:p w14:paraId="1D4C7882" w14:textId="77777777" w:rsidR="00C20AD7" w:rsidRPr="007E42F8" w:rsidRDefault="00C20AD7" w:rsidP="00C20AD7">
            <w:pPr>
              <w:jc w:val="right"/>
              <w:rPr>
                <w:color w:val="000000"/>
                <w:sz w:val="20"/>
                <w:szCs w:val="20"/>
              </w:rPr>
            </w:pPr>
            <w:r w:rsidRPr="007E42F8">
              <w:rPr>
                <w:color w:val="000000"/>
                <w:sz w:val="20"/>
                <w:szCs w:val="20"/>
              </w:rPr>
              <w:t>120.52</w:t>
            </w:r>
          </w:p>
        </w:tc>
      </w:tr>
      <w:tr w:rsidR="00C20AD7" w:rsidRPr="00C20AD7" w14:paraId="15D5BC62"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EEF03C8" w14:textId="77777777" w:rsidR="00C20AD7" w:rsidRPr="007E42F8" w:rsidRDefault="00C20AD7" w:rsidP="00C20AD7">
            <w:pPr>
              <w:rPr>
                <w:color w:val="000000"/>
                <w:sz w:val="20"/>
                <w:szCs w:val="20"/>
              </w:rPr>
            </w:pPr>
            <w:r w:rsidRPr="007E42F8">
              <w:rPr>
                <w:color w:val="000000"/>
                <w:sz w:val="20"/>
                <w:szCs w:val="20"/>
              </w:rPr>
              <w:t>Old Dependency Ratio</w:t>
            </w:r>
          </w:p>
        </w:tc>
        <w:tc>
          <w:tcPr>
            <w:tcW w:w="1880" w:type="dxa"/>
            <w:tcBorders>
              <w:top w:val="nil"/>
              <w:left w:val="nil"/>
              <w:bottom w:val="single" w:sz="4" w:space="0" w:color="auto"/>
              <w:right w:val="single" w:sz="4" w:space="0" w:color="auto"/>
            </w:tcBorders>
            <w:shd w:val="clear" w:color="auto" w:fill="auto"/>
            <w:noWrap/>
            <w:vAlign w:val="bottom"/>
            <w:hideMark/>
          </w:tcPr>
          <w:p w14:paraId="7270DF27" w14:textId="0522A94D" w:rsidR="00C20AD7" w:rsidRPr="007E42F8" w:rsidRDefault="00C20AD7" w:rsidP="00C20AD7">
            <w:pPr>
              <w:jc w:val="right"/>
              <w:rPr>
                <w:color w:val="000000"/>
                <w:sz w:val="20"/>
                <w:szCs w:val="20"/>
              </w:rPr>
            </w:pPr>
            <w:r w:rsidRPr="007E42F8">
              <w:rPr>
                <w:color w:val="000000"/>
                <w:sz w:val="20"/>
                <w:szCs w:val="20"/>
              </w:rPr>
              <w:t>8957</w:t>
            </w:r>
          </w:p>
        </w:tc>
        <w:tc>
          <w:tcPr>
            <w:tcW w:w="980" w:type="dxa"/>
            <w:tcBorders>
              <w:top w:val="nil"/>
              <w:left w:val="nil"/>
              <w:bottom w:val="single" w:sz="4" w:space="0" w:color="auto"/>
              <w:right w:val="single" w:sz="4" w:space="0" w:color="auto"/>
            </w:tcBorders>
            <w:shd w:val="clear" w:color="auto" w:fill="auto"/>
            <w:noWrap/>
            <w:vAlign w:val="bottom"/>
            <w:hideMark/>
          </w:tcPr>
          <w:p w14:paraId="6F2DD0A7" w14:textId="77777777" w:rsidR="00C20AD7" w:rsidRPr="007E42F8" w:rsidRDefault="00C20AD7" w:rsidP="00C20AD7">
            <w:pPr>
              <w:jc w:val="right"/>
              <w:rPr>
                <w:color w:val="000000"/>
                <w:sz w:val="20"/>
                <w:szCs w:val="20"/>
              </w:rPr>
            </w:pPr>
            <w:r w:rsidRPr="007E42F8">
              <w:rPr>
                <w:color w:val="000000"/>
                <w:sz w:val="20"/>
                <w:szCs w:val="20"/>
              </w:rPr>
              <w:t>10.54</w:t>
            </w:r>
          </w:p>
        </w:tc>
        <w:tc>
          <w:tcPr>
            <w:tcW w:w="1260" w:type="dxa"/>
            <w:tcBorders>
              <w:top w:val="nil"/>
              <w:left w:val="nil"/>
              <w:bottom w:val="single" w:sz="4" w:space="0" w:color="auto"/>
              <w:right w:val="single" w:sz="4" w:space="0" w:color="auto"/>
            </w:tcBorders>
            <w:shd w:val="clear" w:color="auto" w:fill="auto"/>
            <w:noWrap/>
            <w:vAlign w:val="bottom"/>
            <w:hideMark/>
          </w:tcPr>
          <w:p w14:paraId="4BAA8FAD" w14:textId="77777777" w:rsidR="00C20AD7" w:rsidRPr="007E42F8" w:rsidRDefault="00C20AD7" w:rsidP="00C20AD7">
            <w:pPr>
              <w:jc w:val="right"/>
              <w:rPr>
                <w:color w:val="000000"/>
                <w:sz w:val="20"/>
                <w:szCs w:val="20"/>
              </w:rPr>
            </w:pPr>
            <w:r w:rsidRPr="007E42F8">
              <w:rPr>
                <w:color w:val="000000"/>
                <w:sz w:val="20"/>
                <w:szCs w:val="20"/>
              </w:rPr>
              <w:t>6.49</w:t>
            </w:r>
          </w:p>
        </w:tc>
        <w:tc>
          <w:tcPr>
            <w:tcW w:w="1151" w:type="dxa"/>
            <w:tcBorders>
              <w:top w:val="nil"/>
              <w:left w:val="nil"/>
              <w:bottom w:val="single" w:sz="4" w:space="0" w:color="auto"/>
              <w:right w:val="single" w:sz="4" w:space="0" w:color="auto"/>
            </w:tcBorders>
            <w:shd w:val="clear" w:color="auto" w:fill="auto"/>
            <w:noWrap/>
            <w:vAlign w:val="bottom"/>
            <w:hideMark/>
          </w:tcPr>
          <w:p w14:paraId="6956C72C" w14:textId="77777777" w:rsidR="00C20AD7" w:rsidRPr="007E42F8" w:rsidRDefault="00C20AD7" w:rsidP="00C20AD7">
            <w:pPr>
              <w:jc w:val="right"/>
              <w:rPr>
                <w:color w:val="000000"/>
                <w:sz w:val="20"/>
                <w:szCs w:val="20"/>
              </w:rPr>
            </w:pPr>
            <w:r w:rsidRPr="007E42F8">
              <w:rPr>
                <w:color w:val="000000"/>
                <w:sz w:val="20"/>
                <w:szCs w:val="20"/>
              </w:rPr>
              <w:t>0.80</w:t>
            </w:r>
          </w:p>
        </w:tc>
        <w:tc>
          <w:tcPr>
            <w:tcW w:w="1560" w:type="dxa"/>
            <w:tcBorders>
              <w:top w:val="nil"/>
              <w:left w:val="nil"/>
              <w:bottom w:val="single" w:sz="4" w:space="0" w:color="auto"/>
              <w:right w:val="single" w:sz="4" w:space="0" w:color="auto"/>
            </w:tcBorders>
            <w:shd w:val="clear" w:color="auto" w:fill="auto"/>
            <w:noWrap/>
            <w:vAlign w:val="bottom"/>
            <w:hideMark/>
          </w:tcPr>
          <w:p w14:paraId="4123CF55" w14:textId="77777777" w:rsidR="00C20AD7" w:rsidRPr="007E42F8" w:rsidRDefault="00C20AD7" w:rsidP="00C20AD7">
            <w:pPr>
              <w:jc w:val="right"/>
              <w:rPr>
                <w:color w:val="000000"/>
                <w:sz w:val="20"/>
                <w:szCs w:val="20"/>
              </w:rPr>
            </w:pPr>
            <w:r w:rsidRPr="007E42F8">
              <w:rPr>
                <w:color w:val="000000"/>
                <w:sz w:val="20"/>
                <w:szCs w:val="20"/>
              </w:rPr>
              <w:t>46.17</w:t>
            </w:r>
          </w:p>
        </w:tc>
      </w:tr>
      <w:tr w:rsidR="00C20AD7" w:rsidRPr="00C20AD7" w14:paraId="40D34530"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3A8C089" w14:textId="77777777" w:rsidR="00C20AD7" w:rsidRPr="007E42F8" w:rsidRDefault="00C20AD7" w:rsidP="00C20AD7">
            <w:pPr>
              <w:rPr>
                <w:color w:val="000000"/>
                <w:sz w:val="20"/>
                <w:szCs w:val="20"/>
              </w:rPr>
            </w:pPr>
            <w:r w:rsidRPr="007E42F8">
              <w:rPr>
                <w:color w:val="000000"/>
                <w:sz w:val="20"/>
                <w:szCs w:val="20"/>
              </w:rPr>
              <w:t>Young Dependency Ratio</w:t>
            </w:r>
          </w:p>
        </w:tc>
        <w:tc>
          <w:tcPr>
            <w:tcW w:w="1880" w:type="dxa"/>
            <w:tcBorders>
              <w:top w:val="nil"/>
              <w:left w:val="nil"/>
              <w:bottom w:val="single" w:sz="4" w:space="0" w:color="auto"/>
              <w:right w:val="single" w:sz="4" w:space="0" w:color="auto"/>
            </w:tcBorders>
            <w:shd w:val="clear" w:color="auto" w:fill="auto"/>
            <w:noWrap/>
            <w:vAlign w:val="bottom"/>
            <w:hideMark/>
          </w:tcPr>
          <w:p w14:paraId="3BEF25CE" w14:textId="26F0F639" w:rsidR="00C20AD7" w:rsidRPr="007E42F8" w:rsidRDefault="00C20AD7" w:rsidP="00C20AD7">
            <w:pPr>
              <w:jc w:val="right"/>
              <w:rPr>
                <w:color w:val="000000"/>
                <w:sz w:val="20"/>
                <w:szCs w:val="20"/>
              </w:rPr>
            </w:pPr>
            <w:r w:rsidRPr="007E42F8">
              <w:rPr>
                <w:color w:val="000000"/>
                <w:sz w:val="20"/>
                <w:szCs w:val="20"/>
              </w:rPr>
              <w:t>8957</w:t>
            </w:r>
          </w:p>
        </w:tc>
        <w:tc>
          <w:tcPr>
            <w:tcW w:w="980" w:type="dxa"/>
            <w:tcBorders>
              <w:top w:val="nil"/>
              <w:left w:val="nil"/>
              <w:bottom w:val="single" w:sz="4" w:space="0" w:color="auto"/>
              <w:right w:val="single" w:sz="4" w:space="0" w:color="auto"/>
            </w:tcBorders>
            <w:shd w:val="clear" w:color="auto" w:fill="auto"/>
            <w:noWrap/>
            <w:vAlign w:val="bottom"/>
            <w:hideMark/>
          </w:tcPr>
          <w:p w14:paraId="608A281A" w14:textId="77777777" w:rsidR="00C20AD7" w:rsidRPr="007E42F8" w:rsidRDefault="00C20AD7" w:rsidP="00C20AD7">
            <w:pPr>
              <w:jc w:val="right"/>
              <w:rPr>
                <w:color w:val="000000"/>
                <w:sz w:val="20"/>
                <w:szCs w:val="20"/>
              </w:rPr>
            </w:pPr>
            <w:r w:rsidRPr="007E42F8">
              <w:rPr>
                <w:color w:val="000000"/>
                <w:sz w:val="20"/>
                <w:szCs w:val="20"/>
              </w:rPr>
              <w:t>59.88</w:t>
            </w:r>
          </w:p>
        </w:tc>
        <w:tc>
          <w:tcPr>
            <w:tcW w:w="1260" w:type="dxa"/>
            <w:tcBorders>
              <w:top w:val="nil"/>
              <w:left w:val="nil"/>
              <w:bottom w:val="single" w:sz="4" w:space="0" w:color="auto"/>
              <w:right w:val="single" w:sz="4" w:space="0" w:color="auto"/>
            </w:tcBorders>
            <w:shd w:val="clear" w:color="auto" w:fill="auto"/>
            <w:noWrap/>
            <w:vAlign w:val="bottom"/>
            <w:hideMark/>
          </w:tcPr>
          <w:p w14:paraId="2F31463D" w14:textId="77777777" w:rsidR="00C20AD7" w:rsidRPr="007E42F8" w:rsidRDefault="00C20AD7" w:rsidP="00C20AD7">
            <w:pPr>
              <w:jc w:val="right"/>
              <w:rPr>
                <w:color w:val="000000"/>
                <w:sz w:val="20"/>
                <w:szCs w:val="20"/>
              </w:rPr>
            </w:pPr>
            <w:r w:rsidRPr="007E42F8">
              <w:rPr>
                <w:color w:val="000000"/>
                <w:sz w:val="20"/>
                <w:szCs w:val="20"/>
              </w:rPr>
              <w:t>24.74</w:t>
            </w:r>
          </w:p>
        </w:tc>
        <w:tc>
          <w:tcPr>
            <w:tcW w:w="1151" w:type="dxa"/>
            <w:tcBorders>
              <w:top w:val="nil"/>
              <w:left w:val="nil"/>
              <w:bottom w:val="single" w:sz="4" w:space="0" w:color="auto"/>
              <w:right w:val="single" w:sz="4" w:space="0" w:color="auto"/>
            </w:tcBorders>
            <w:shd w:val="clear" w:color="auto" w:fill="auto"/>
            <w:noWrap/>
            <w:vAlign w:val="bottom"/>
            <w:hideMark/>
          </w:tcPr>
          <w:p w14:paraId="10604F01" w14:textId="77777777" w:rsidR="00C20AD7" w:rsidRPr="007E42F8" w:rsidRDefault="00C20AD7" w:rsidP="00C20AD7">
            <w:pPr>
              <w:jc w:val="right"/>
              <w:rPr>
                <w:color w:val="000000"/>
                <w:sz w:val="20"/>
                <w:szCs w:val="20"/>
              </w:rPr>
            </w:pPr>
            <w:r w:rsidRPr="007E42F8">
              <w:rPr>
                <w:color w:val="000000"/>
                <w:sz w:val="20"/>
                <w:szCs w:val="20"/>
              </w:rPr>
              <w:t>14.87</w:t>
            </w:r>
          </w:p>
        </w:tc>
        <w:tc>
          <w:tcPr>
            <w:tcW w:w="1560" w:type="dxa"/>
            <w:tcBorders>
              <w:top w:val="nil"/>
              <w:left w:val="nil"/>
              <w:bottom w:val="single" w:sz="4" w:space="0" w:color="auto"/>
              <w:right w:val="single" w:sz="4" w:space="0" w:color="auto"/>
            </w:tcBorders>
            <w:shd w:val="clear" w:color="auto" w:fill="auto"/>
            <w:noWrap/>
            <w:vAlign w:val="bottom"/>
            <w:hideMark/>
          </w:tcPr>
          <w:p w14:paraId="59C39FB8" w14:textId="77777777" w:rsidR="00C20AD7" w:rsidRPr="007E42F8" w:rsidRDefault="00C20AD7" w:rsidP="00C20AD7">
            <w:pPr>
              <w:jc w:val="right"/>
              <w:rPr>
                <w:color w:val="000000"/>
                <w:sz w:val="20"/>
                <w:szCs w:val="20"/>
              </w:rPr>
            </w:pPr>
            <w:r w:rsidRPr="007E42F8">
              <w:rPr>
                <w:color w:val="000000"/>
                <w:sz w:val="20"/>
                <w:szCs w:val="20"/>
              </w:rPr>
              <w:t>112.37</w:t>
            </w:r>
          </w:p>
        </w:tc>
      </w:tr>
      <w:tr w:rsidR="00C20AD7" w:rsidRPr="00C20AD7" w14:paraId="5C0CF4B1"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4121922" w14:textId="77777777" w:rsidR="00C20AD7" w:rsidRPr="007E42F8" w:rsidRDefault="00C20AD7" w:rsidP="00C20AD7">
            <w:pPr>
              <w:rPr>
                <w:color w:val="000000"/>
                <w:sz w:val="20"/>
                <w:szCs w:val="20"/>
              </w:rPr>
            </w:pPr>
            <w:r w:rsidRPr="007E42F8">
              <w:rPr>
                <w:color w:val="000000"/>
                <w:sz w:val="20"/>
                <w:szCs w:val="20"/>
              </w:rPr>
              <w:t>Young Population Ratio</w:t>
            </w:r>
          </w:p>
        </w:tc>
        <w:tc>
          <w:tcPr>
            <w:tcW w:w="1880" w:type="dxa"/>
            <w:tcBorders>
              <w:top w:val="nil"/>
              <w:left w:val="nil"/>
              <w:bottom w:val="single" w:sz="4" w:space="0" w:color="auto"/>
              <w:right w:val="single" w:sz="4" w:space="0" w:color="auto"/>
            </w:tcBorders>
            <w:shd w:val="clear" w:color="auto" w:fill="auto"/>
            <w:noWrap/>
            <w:vAlign w:val="bottom"/>
            <w:hideMark/>
          </w:tcPr>
          <w:p w14:paraId="455AE6E6" w14:textId="4BBFF3A5" w:rsidR="00C20AD7" w:rsidRPr="007E42F8" w:rsidRDefault="00C20AD7" w:rsidP="00C20AD7">
            <w:pPr>
              <w:jc w:val="right"/>
              <w:rPr>
                <w:color w:val="000000"/>
                <w:sz w:val="20"/>
                <w:szCs w:val="20"/>
              </w:rPr>
            </w:pPr>
            <w:r w:rsidRPr="007E42F8">
              <w:rPr>
                <w:color w:val="000000"/>
                <w:sz w:val="20"/>
                <w:szCs w:val="20"/>
              </w:rPr>
              <w:t>8960</w:t>
            </w:r>
          </w:p>
        </w:tc>
        <w:tc>
          <w:tcPr>
            <w:tcW w:w="980" w:type="dxa"/>
            <w:tcBorders>
              <w:top w:val="nil"/>
              <w:left w:val="nil"/>
              <w:bottom w:val="single" w:sz="4" w:space="0" w:color="auto"/>
              <w:right w:val="single" w:sz="4" w:space="0" w:color="auto"/>
            </w:tcBorders>
            <w:shd w:val="clear" w:color="auto" w:fill="auto"/>
            <w:noWrap/>
            <w:vAlign w:val="bottom"/>
            <w:hideMark/>
          </w:tcPr>
          <w:p w14:paraId="4B58CC36" w14:textId="77777777" w:rsidR="00C20AD7" w:rsidRPr="007E42F8" w:rsidRDefault="00C20AD7" w:rsidP="00C20AD7">
            <w:pPr>
              <w:jc w:val="right"/>
              <w:rPr>
                <w:color w:val="000000"/>
                <w:sz w:val="20"/>
                <w:szCs w:val="20"/>
              </w:rPr>
            </w:pPr>
            <w:r w:rsidRPr="007E42F8">
              <w:rPr>
                <w:color w:val="000000"/>
                <w:sz w:val="20"/>
                <w:szCs w:val="20"/>
              </w:rPr>
              <w:t>59.54</w:t>
            </w:r>
          </w:p>
        </w:tc>
        <w:tc>
          <w:tcPr>
            <w:tcW w:w="1260" w:type="dxa"/>
            <w:tcBorders>
              <w:top w:val="nil"/>
              <w:left w:val="nil"/>
              <w:bottom w:val="single" w:sz="4" w:space="0" w:color="auto"/>
              <w:right w:val="single" w:sz="4" w:space="0" w:color="auto"/>
            </w:tcBorders>
            <w:shd w:val="clear" w:color="auto" w:fill="auto"/>
            <w:noWrap/>
            <w:vAlign w:val="bottom"/>
            <w:hideMark/>
          </w:tcPr>
          <w:p w14:paraId="289F1879" w14:textId="77777777" w:rsidR="00C20AD7" w:rsidRPr="007E42F8" w:rsidRDefault="00C20AD7" w:rsidP="00C20AD7">
            <w:pPr>
              <w:jc w:val="right"/>
              <w:rPr>
                <w:color w:val="000000"/>
                <w:sz w:val="20"/>
                <w:szCs w:val="20"/>
              </w:rPr>
            </w:pPr>
            <w:r w:rsidRPr="007E42F8">
              <w:rPr>
                <w:color w:val="000000"/>
                <w:sz w:val="20"/>
                <w:szCs w:val="20"/>
              </w:rPr>
              <w:t>7.18</w:t>
            </w:r>
          </w:p>
        </w:tc>
        <w:tc>
          <w:tcPr>
            <w:tcW w:w="1151" w:type="dxa"/>
            <w:tcBorders>
              <w:top w:val="nil"/>
              <w:left w:val="nil"/>
              <w:bottom w:val="single" w:sz="4" w:space="0" w:color="auto"/>
              <w:right w:val="single" w:sz="4" w:space="0" w:color="auto"/>
            </w:tcBorders>
            <w:shd w:val="clear" w:color="auto" w:fill="auto"/>
            <w:noWrap/>
            <w:vAlign w:val="bottom"/>
            <w:hideMark/>
          </w:tcPr>
          <w:p w14:paraId="7A7AA029" w14:textId="77777777" w:rsidR="00C20AD7" w:rsidRPr="007E42F8" w:rsidRDefault="00C20AD7" w:rsidP="00C20AD7">
            <w:pPr>
              <w:jc w:val="right"/>
              <w:rPr>
                <w:color w:val="000000"/>
                <w:sz w:val="20"/>
                <w:szCs w:val="20"/>
              </w:rPr>
            </w:pPr>
            <w:r w:rsidRPr="007E42F8">
              <w:rPr>
                <w:color w:val="000000"/>
                <w:sz w:val="20"/>
                <w:szCs w:val="20"/>
              </w:rPr>
              <w:t>45.35</w:t>
            </w:r>
          </w:p>
        </w:tc>
        <w:tc>
          <w:tcPr>
            <w:tcW w:w="1560" w:type="dxa"/>
            <w:tcBorders>
              <w:top w:val="nil"/>
              <w:left w:val="nil"/>
              <w:bottom w:val="single" w:sz="4" w:space="0" w:color="auto"/>
              <w:right w:val="single" w:sz="4" w:space="0" w:color="auto"/>
            </w:tcBorders>
            <w:shd w:val="clear" w:color="auto" w:fill="auto"/>
            <w:noWrap/>
            <w:vAlign w:val="bottom"/>
            <w:hideMark/>
          </w:tcPr>
          <w:p w14:paraId="4D5F4CAA" w14:textId="77777777" w:rsidR="00C20AD7" w:rsidRPr="007E42F8" w:rsidRDefault="00C20AD7" w:rsidP="00C20AD7">
            <w:pPr>
              <w:jc w:val="right"/>
              <w:rPr>
                <w:color w:val="000000"/>
                <w:sz w:val="20"/>
                <w:szCs w:val="20"/>
              </w:rPr>
            </w:pPr>
            <w:r w:rsidRPr="007E42F8">
              <w:rPr>
                <w:color w:val="000000"/>
                <w:sz w:val="20"/>
                <w:szCs w:val="20"/>
              </w:rPr>
              <w:t>86.40</w:t>
            </w:r>
          </w:p>
        </w:tc>
      </w:tr>
      <w:tr w:rsidR="00C20AD7" w:rsidRPr="00C20AD7" w14:paraId="293AD240"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8140975" w14:textId="77777777" w:rsidR="00C20AD7" w:rsidRPr="007E42F8" w:rsidRDefault="00C20AD7" w:rsidP="00C20AD7">
            <w:pPr>
              <w:rPr>
                <w:color w:val="000000"/>
                <w:sz w:val="20"/>
                <w:szCs w:val="20"/>
              </w:rPr>
            </w:pPr>
            <w:r w:rsidRPr="007E42F8">
              <w:rPr>
                <w:color w:val="000000"/>
                <w:sz w:val="20"/>
                <w:szCs w:val="20"/>
              </w:rPr>
              <w:t>Old Population Ratio</w:t>
            </w:r>
          </w:p>
        </w:tc>
        <w:tc>
          <w:tcPr>
            <w:tcW w:w="1880" w:type="dxa"/>
            <w:tcBorders>
              <w:top w:val="nil"/>
              <w:left w:val="nil"/>
              <w:bottom w:val="single" w:sz="4" w:space="0" w:color="auto"/>
              <w:right w:val="single" w:sz="4" w:space="0" w:color="auto"/>
            </w:tcBorders>
            <w:shd w:val="clear" w:color="auto" w:fill="auto"/>
            <w:noWrap/>
            <w:vAlign w:val="bottom"/>
            <w:hideMark/>
          </w:tcPr>
          <w:p w14:paraId="33BBC192" w14:textId="6230B3CD" w:rsidR="00C20AD7" w:rsidRPr="007E42F8" w:rsidRDefault="00C20AD7" w:rsidP="00C20AD7">
            <w:pPr>
              <w:jc w:val="right"/>
              <w:rPr>
                <w:color w:val="000000"/>
                <w:sz w:val="20"/>
                <w:szCs w:val="20"/>
              </w:rPr>
            </w:pPr>
            <w:r w:rsidRPr="007E42F8">
              <w:rPr>
                <w:color w:val="000000"/>
                <w:sz w:val="20"/>
                <w:szCs w:val="20"/>
              </w:rPr>
              <w:t>8960</w:t>
            </w:r>
          </w:p>
        </w:tc>
        <w:tc>
          <w:tcPr>
            <w:tcW w:w="980" w:type="dxa"/>
            <w:tcBorders>
              <w:top w:val="nil"/>
              <w:left w:val="nil"/>
              <w:bottom w:val="single" w:sz="4" w:space="0" w:color="auto"/>
              <w:right w:val="single" w:sz="4" w:space="0" w:color="auto"/>
            </w:tcBorders>
            <w:shd w:val="clear" w:color="auto" w:fill="auto"/>
            <w:noWrap/>
            <w:vAlign w:val="bottom"/>
            <w:hideMark/>
          </w:tcPr>
          <w:p w14:paraId="44FDBF74" w14:textId="77777777" w:rsidR="00C20AD7" w:rsidRPr="007E42F8" w:rsidRDefault="00C20AD7" w:rsidP="00C20AD7">
            <w:pPr>
              <w:jc w:val="right"/>
              <w:rPr>
                <w:color w:val="000000"/>
                <w:sz w:val="20"/>
                <w:szCs w:val="20"/>
              </w:rPr>
            </w:pPr>
            <w:r w:rsidRPr="007E42F8">
              <w:rPr>
                <w:color w:val="000000"/>
                <w:sz w:val="20"/>
                <w:szCs w:val="20"/>
              </w:rPr>
              <w:t>6.53</w:t>
            </w:r>
          </w:p>
        </w:tc>
        <w:tc>
          <w:tcPr>
            <w:tcW w:w="1260" w:type="dxa"/>
            <w:tcBorders>
              <w:top w:val="nil"/>
              <w:left w:val="nil"/>
              <w:bottom w:val="single" w:sz="4" w:space="0" w:color="auto"/>
              <w:right w:val="single" w:sz="4" w:space="0" w:color="auto"/>
            </w:tcBorders>
            <w:shd w:val="clear" w:color="auto" w:fill="auto"/>
            <w:noWrap/>
            <w:vAlign w:val="bottom"/>
            <w:hideMark/>
          </w:tcPr>
          <w:p w14:paraId="55A68E92" w14:textId="77777777" w:rsidR="00C20AD7" w:rsidRPr="007E42F8" w:rsidRDefault="00C20AD7" w:rsidP="00C20AD7">
            <w:pPr>
              <w:jc w:val="right"/>
              <w:rPr>
                <w:color w:val="000000"/>
                <w:sz w:val="20"/>
                <w:szCs w:val="20"/>
              </w:rPr>
            </w:pPr>
            <w:r w:rsidRPr="007E42F8">
              <w:rPr>
                <w:color w:val="000000"/>
                <w:sz w:val="20"/>
                <w:szCs w:val="20"/>
              </w:rPr>
              <w:t>4.56</w:t>
            </w:r>
          </w:p>
        </w:tc>
        <w:tc>
          <w:tcPr>
            <w:tcW w:w="1151" w:type="dxa"/>
            <w:tcBorders>
              <w:top w:val="nil"/>
              <w:left w:val="nil"/>
              <w:bottom w:val="single" w:sz="4" w:space="0" w:color="auto"/>
              <w:right w:val="single" w:sz="4" w:space="0" w:color="auto"/>
            </w:tcBorders>
            <w:shd w:val="clear" w:color="auto" w:fill="auto"/>
            <w:noWrap/>
            <w:vAlign w:val="bottom"/>
            <w:hideMark/>
          </w:tcPr>
          <w:p w14:paraId="71B8512D" w14:textId="77777777" w:rsidR="00C20AD7" w:rsidRPr="007E42F8" w:rsidRDefault="00C20AD7" w:rsidP="00C20AD7">
            <w:pPr>
              <w:jc w:val="right"/>
              <w:rPr>
                <w:color w:val="000000"/>
                <w:sz w:val="20"/>
                <w:szCs w:val="20"/>
              </w:rPr>
            </w:pPr>
            <w:r w:rsidRPr="007E42F8">
              <w:rPr>
                <w:color w:val="000000"/>
                <w:sz w:val="20"/>
                <w:szCs w:val="20"/>
              </w:rPr>
              <w:t>0.69</w:t>
            </w:r>
          </w:p>
        </w:tc>
        <w:tc>
          <w:tcPr>
            <w:tcW w:w="1560" w:type="dxa"/>
            <w:tcBorders>
              <w:top w:val="nil"/>
              <w:left w:val="nil"/>
              <w:bottom w:val="single" w:sz="4" w:space="0" w:color="auto"/>
              <w:right w:val="single" w:sz="4" w:space="0" w:color="auto"/>
            </w:tcBorders>
            <w:shd w:val="clear" w:color="auto" w:fill="auto"/>
            <w:noWrap/>
            <w:vAlign w:val="bottom"/>
            <w:hideMark/>
          </w:tcPr>
          <w:p w14:paraId="470F18E5" w14:textId="77777777" w:rsidR="00C20AD7" w:rsidRPr="007E42F8" w:rsidRDefault="00C20AD7" w:rsidP="00C20AD7">
            <w:pPr>
              <w:jc w:val="right"/>
              <w:rPr>
                <w:color w:val="000000"/>
                <w:sz w:val="20"/>
                <w:szCs w:val="20"/>
              </w:rPr>
            </w:pPr>
            <w:r w:rsidRPr="007E42F8">
              <w:rPr>
                <w:color w:val="000000"/>
                <w:sz w:val="20"/>
                <w:szCs w:val="20"/>
              </w:rPr>
              <w:t>27.58</w:t>
            </w:r>
          </w:p>
        </w:tc>
      </w:tr>
      <w:tr w:rsidR="00C20AD7" w:rsidRPr="00C20AD7" w14:paraId="061CF64A"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0A0988C" w14:textId="50D571A3" w:rsidR="00C20AD7" w:rsidRPr="007E42F8" w:rsidRDefault="00C20AD7" w:rsidP="00C20AD7">
            <w:pPr>
              <w:rPr>
                <w:color w:val="000000"/>
                <w:sz w:val="20"/>
                <w:szCs w:val="20"/>
              </w:rPr>
            </w:pPr>
            <w:r w:rsidRPr="007E42F8">
              <w:rPr>
                <w:color w:val="000000"/>
                <w:sz w:val="20"/>
                <w:szCs w:val="20"/>
              </w:rPr>
              <w:t>Employment-to-Population Ratio</w:t>
            </w:r>
          </w:p>
        </w:tc>
        <w:tc>
          <w:tcPr>
            <w:tcW w:w="1880" w:type="dxa"/>
            <w:tcBorders>
              <w:top w:val="nil"/>
              <w:left w:val="nil"/>
              <w:bottom w:val="single" w:sz="4" w:space="0" w:color="auto"/>
              <w:right w:val="single" w:sz="4" w:space="0" w:color="auto"/>
            </w:tcBorders>
            <w:shd w:val="clear" w:color="auto" w:fill="auto"/>
            <w:noWrap/>
            <w:vAlign w:val="bottom"/>
            <w:hideMark/>
          </w:tcPr>
          <w:p w14:paraId="3C090EA6" w14:textId="7317CF30" w:rsidR="00C20AD7" w:rsidRPr="007E42F8" w:rsidRDefault="00C20AD7" w:rsidP="00C20AD7">
            <w:pPr>
              <w:jc w:val="right"/>
              <w:rPr>
                <w:color w:val="000000"/>
                <w:sz w:val="20"/>
                <w:szCs w:val="20"/>
              </w:rPr>
            </w:pPr>
            <w:r w:rsidRPr="007E42F8">
              <w:rPr>
                <w:color w:val="000000"/>
                <w:sz w:val="20"/>
                <w:szCs w:val="20"/>
              </w:rPr>
              <w:t>4928</w:t>
            </w:r>
          </w:p>
        </w:tc>
        <w:tc>
          <w:tcPr>
            <w:tcW w:w="980" w:type="dxa"/>
            <w:tcBorders>
              <w:top w:val="nil"/>
              <w:left w:val="nil"/>
              <w:bottom w:val="single" w:sz="4" w:space="0" w:color="auto"/>
              <w:right w:val="single" w:sz="4" w:space="0" w:color="auto"/>
            </w:tcBorders>
            <w:shd w:val="clear" w:color="auto" w:fill="auto"/>
            <w:noWrap/>
            <w:vAlign w:val="bottom"/>
            <w:hideMark/>
          </w:tcPr>
          <w:p w14:paraId="4283BD56" w14:textId="77777777" w:rsidR="00C20AD7" w:rsidRPr="007E42F8" w:rsidRDefault="00C20AD7" w:rsidP="00C20AD7">
            <w:pPr>
              <w:jc w:val="right"/>
              <w:rPr>
                <w:color w:val="000000"/>
                <w:sz w:val="20"/>
                <w:szCs w:val="20"/>
              </w:rPr>
            </w:pPr>
            <w:r w:rsidRPr="007E42F8">
              <w:rPr>
                <w:color w:val="000000"/>
                <w:sz w:val="20"/>
                <w:szCs w:val="20"/>
              </w:rPr>
              <w:t>57.75</w:t>
            </w:r>
          </w:p>
        </w:tc>
        <w:tc>
          <w:tcPr>
            <w:tcW w:w="1260" w:type="dxa"/>
            <w:tcBorders>
              <w:top w:val="nil"/>
              <w:left w:val="nil"/>
              <w:bottom w:val="single" w:sz="4" w:space="0" w:color="auto"/>
              <w:right w:val="single" w:sz="4" w:space="0" w:color="auto"/>
            </w:tcBorders>
            <w:shd w:val="clear" w:color="auto" w:fill="auto"/>
            <w:noWrap/>
            <w:vAlign w:val="bottom"/>
            <w:hideMark/>
          </w:tcPr>
          <w:p w14:paraId="53036D93" w14:textId="77777777" w:rsidR="00C20AD7" w:rsidRPr="007E42F8" w:rsidRDefault="00C20AD7" w:rsidP="00C20AD7">
            <w:pPr>
              <w:jc w:val="right"/>
              <w:rPr>
                <w:color w:val="000000"/>
                <w:sz w:val="20"/>
                <w:szCs w:val="20"/>
              </w:rPr>
            </w:pPr>
            <w:r w:rsidRPr="007E42F8">
              <w:rPr>
                <w:color w:val="000000"/>
                <w:sz w:val="20"/>
                <w:szCs w:val="20"/>
              </w:rPr>
              <w:t>11.64</w:t>
            </w:r>
          </w:p>
        </w:tc>
        <w:tc>
          <w:tcPr>
            <w:tcW w:w="1151" w:type="dxa"/>
            <w:tcBorders>
              <w:top w:val="nil"/>
              <w:left w:val="nil"/>
              <w:bottom w:val="single" w:sz="4" w:space="0" w:color="auto"/>
              <w:right w:val="single" w:sz="4" w:space="0" w:color="auto"/>
            </w:tcBorders>
            <w:shd w:val="clear" w:color="auto" w:fill="auto"/>
            <w:noWrap/>
            <w:vAlign w:val="bottom"/>
            <w:hideMark/>
          </w:tcPr>
          <w:p w14:paraId="458F785E" w14:textId="77777777" w:rsidR="00C20AD7" w:rsidRPr="007E42F8" w:rsidRDefault="00C20AD7" w:rsidP="00C20AD7">
            <w:pPr>
              <w:jc w:val="right"/>
              <w:rPr>
                <w:color w:val="000000"/>
                <w:sz w:val="20"/>
                <w:szCs w:val="20"/>
              </w:rPr>
            </w:pPr>
            <w:r w:rsidRPr="007E42F8">
              <w:rPr>
                <w:color w:val="000000"/>
                <w:sz w:val="20"/>
                <w:szCs w:val="20"/>
              </w:rPr>
              <w:t>28.76</w:t>
            </w:r>
          </w:p>
        </w:tc>
        <w:tc>
          <w:tcPr>
            <w:tcW w:w="1560" w:type="dxa"/>
            <w:tcBorders>
              <w:top w:val="nil"/>
              <w:left w:val="nil"/>
              <w:bottom w:val="single" w:sz="4" w:space="0" w:color="auto"/>
              <w:right w:val="single" w:sz="4" w:space="0" w:color="auto"/>
            </w:tcBorders>
            <w:shd w:val="clear" w:color="auto" w:fill="auto"/>
            <w:noWrap/>
            <w:vAlign w:val="bottom"/>
            <w:hideMark/>
          </w:tcPr>
          <w:p w14:paraId="2C09916E" w14:textId="77777777" w:rsidR="00C20AD7" w:rsidRPr="007E42F8" w:rsidRDefault="00C20AD7" w:rsidP="00C20AD7">
            <w:pPr>
              <w:jc w:val="right"/>
              <w:rPr>
                <w:color w:val="000000"/>
                <w:sz w:val="20"/>
                <w:szCs w:val="20"/>
              </w:rPr>
            </w:pPr>
            <w:r w:rsidRPr="007E42F8">
              <w:rPr>
                <w:color w:val="000000"/>
                <w:sz w:val="20"/>
                <w:szCs w:val="20"/>
              </w:rPr>
              <w:t>88.99</w:t>
            </w:r>
          </w:p>
        </w:tc>
      </w:tr>
      <w:tr w:rsidR="00C20AD7" w:rsidRPr="00C20AD7" w14:paraId="35B10517" w14:textId="77777777" w:rsidTr="00C20AD7">
        <w:trPr>
          <w:trHeight w:val="276"/>
        </w:trPr>
        <w:tc>
          <w:tcPr>
            <w:tcW w:w="1051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139BF" w14:textId="77777777" w:rsidR="00C20AD7" w:rsidRPr="007E42F8" w:rsidRDefault="00C20AD7" w:rsidP="00C20AD7">
            <w:pPr>
              <w:jc w:val="center"/>
              <w:rPr>
                <w:b/>
                <w:bCs/>
                <w:color w:val="000000"/>
                <w:sz w:val="20"/>
                <w:szCs w:val="20"/>
              </w:rPr>
            </w:pPr>
            <w:r w:rsidRPr="007E42F8">
              <w:rPr>
                <w:b/>
                <w:bCs/>
                <w:color w:val="000000"/>
                <w:sz w:val="20"/>
                <w:szCs w:val="20"/>
              </w:rPr>
              <w:t>Current Account Variables</w:t>
            </w:r>
          </w:p>
        </w:tc>
      </w:tr>
      <w:tr w:rsidR="00C20AD7" w:rsidRPr="00C20AD7" w14:paraId="606B5795"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31D1FBE" w14:textId="77777777" w:rsidR="00C20AD7" w:rsidRPr="007E42F8" w:rsidRDefault="00C20AD7" w:rsidP="00C20AD7">
            <w:pPr>
              <w:rPr>
                <w:color w:val="000000"/>
                <w:sz w:val="20"/>
                <w:szCs w:val="20"/>
              </w:rPr>
            </w:pPr>
            <w:r w:rsidRPr="007E42F8">
              <w:rPr>
                <w:color w:val="000000"/>
                <w:sz w:val="20"/>
                <w:szCs w:val="20"/>
              </w:rPr>
              <w:t>Current Account Balance to GDP</w:t>
            </w:r>
          </w:p>
        </w:tc>
        <w:tc>
          <w:tcPr>
            <w:tcW w:w="1880" w:type="dxa"/>
            <w:tcBorders>
              <w:top w:val="nil"/>
              <w:left w:val="nil"/>
              <w:bottom w:val="single" w:sz="4" w:space="0" w:color="auto"/>
              <w:right w:val="single" w:sz="4" w:space="0" w:color="auto"/>
            </w:tcBorders>
            <w:shd w:val="clear" w:color="auto" w:fill="auto"/>
            <w:noWrap/>
            <w:vAlign w:val="bottom"/>
            <w:hideMark/>
          </w:tcPr>
          <w:p w14:paraId="6F579470" w14:textId="41188B19" w:rsidR="00C20AD7" w:rsidRPr="007E42F8" w:rsidRDefault="00C20AD7" w:rsidP="00C20AD7">
            <w:pPr>
              <w:jc w:val="right"/>
              <w:rPr>
                <w:color w:val="000000"/>
                <w:sz w:val="20"/>
                <w:szCs w:val="20"/>
              </w:rPr>
            </w:pPr>
            <w:r w:rsidRPr="007E42F8">
              <w:rPr>
                <w:color w:val="000000"/>
                <w:sz w:val="20"/>
                <w:szCs w:val="20"/>
              </w:rPr>
              <w:t>6083</w:t>
            </w:r>
          </w:p>
        </w:tc>
        <w:tc>
          <w:tcPr>
            <w:tcW w:w="980" w:type="dxa"/>
            <w:tcBorders>
              <w:top w:val="nil"/>
              <w:left w:val="nil"/>
              <w:bottom w:val="single" w:sz="4" w:space="0" w:color="auto"/>
              <w:right w:val="single" w:sz="4" w:space="0" w:color="auto"/>
            </w:tcBorders>
            <w:shd w:val="clear" w:color="auto" w:fill="auto"/>
            <w:noWrap/>
            <w:vAlign w:val="bottom"/>
            <w:hideMark/>
          </w:tcPr>
          <w:p w14:paraId="0DE6736B" w14:textId="77777777" w:rsidR="00C20AD7" w:rsidRPr="007E42F8" w:rsidRDefault="00C20AD7" w:rsidP="00C20AD7">
            <w:pPr>
              <w:jc w:val="right"/>
              <w:rPr>
                <w:color w:val="000000"/>
                <w:sz w:val="20"/>
                <w:szCs w:val="20"/>
              </w:rPr>
            </w:pPr>
            <w:r w:rsidRPr="007E42F8">
              <w:rPr>
                <w:color w:val="000000"/>
                <w:sz w:val="20"/>
                <w:szCs w:val="20"/>
              </w:rPr>
              <w:t>-3.09</w:t>
            </w:r>
          </w:p>
        </w:tc>
        <w:tc>
          <w:tcPr>
            <w:tcW w:w="1260" w:type="dxa"/>
            <w:tcBorders>
              <w:top w:val="nil"/>
              <w:left w:val="nil"/>
              <w:bottom w:val="single" w:sz="4" w:space="0" w:color="auto"/>
              <w:right w:val="single" w:sz="4" w:space="0" w:color="auto"/>
            </w:tcBorders>
            <w:shd w:val="clear" w:color="auto" w:fill="auto"/>
            <w:noWrap/>
            <w:vAlign w:val="bottom"/>
            <w:hideMark/>
          </w:tcPr>
          <w:p w14:paraId="5CE6848B" w14:textId="77777777" w:rsidR="00C20AD7" w:rsidRPr="007E42F8" w:rsidRDefault="00C20AD7" w:rsidP="00C20AD7">
            <w:pPr>
              <w:jc w:val="right"/>
              <w:rPr>
                <w:color w:val="000000"/>
                <w:sz w:val="20"/>
                <w:szCs w:val="20"/>
              </w:rPr>
            </w:pPr>
            <w:r w:rsidRPr="007E42F8">
              <w:rPr>
                <w:color w:val="000000"/>
                <w:sz w:val="20"/>
                <w:szCs w:val="20"/>
              </w:rPr>
              <w:t>10.69</w:t>
            </w:r>
          </w:p>
        </w:tc>
        <w:tc>
          <w:tcPr>
            <w:tcW w:w="1151" w:type="dxa"/>
            <w:tcBorders>
              <w:top w:val="nil"/>
              <w:left w:val="nil"/>
              <w:bottom w:val="single" w:sz="4" w:space="0" w:color="auto"/>
              <w:right w:val="single" w:sz="4" w:space="0" w:color="auto"/>
            </w:tcBorders>
            <w:shd w:val="clear" w:color="auto" w:fill="auto"/>
            <w:noWrap/>
            <w:vAlign w:val="bottom"/>
            <w:hideMark/>
          </w:tcPr>
          <w:p w14:paraId="1277BCF0" w14:textId="77777777" w:rsidR="00C20AD7" w:rsidRPr="007E42F8" w:rsidRDefault="00C20AD7" w:rsidP="00C20AD7">
            <w:pPr>
              <w:jc w:val="right"/>
              <w:rPr>
                <w:color w:val="000000"/>
                <w:sz w:val="20"/>
                <w:szCs w:val="20"/>
              </w:rPr>
            </w:pPr>
            <w:r w:rsidRPr="007E42F8">
              <w:rPr>
                <w:color w:val="000000"/>
                <w:sz w:val="20"/>
                <w:szCs w:val="20"/>
              </w:rPr>
              <w:t>-240.52</w:t>
            </w:r>
          </w:p>
        </w:tc>
        <w:tc>
          <w:tcPr>
            <w:tcW w:w="1560" w:type="dxa"/>
            <w:tcBorders>
              <w:top w:val="nil"/>
              <w:left w:val="nil"/>
              <w:bottom w:val="single" w:sz="4" w:space="0" w:color="auto"/>
              <w:right w:val="single" w:sz="4" w:space="0" w:color="auto"/>
            </w:tcBorders>
            <w:shd w:val="clear" w:color="auto" w:fill="auto"/>
            <w:noWrap/>
            <w:vAlign w:val="bottom"/>
            <w:hideMark/>
          </w:tcPr>
          <w:p w14:paraId="16980102" w14:textId="77777777" w:rsidR="00C20AD7" w:rsidRPr="007E42F8" w:rsidRDefault="00C20AD7" w:rsidP="00C20AD7">
            <w:pPr>
              <w:jc w:val="right"/>
              <w:rPr>
                <w:color w:val="000000"/>
                <w:sz w:val="20"/>
                <w:szCs w:val="20"/>
              </w:rPr>
            </w:pPr>
            <w:r w:rsidRPr="007E42F8">
              <w:rPr>
                <w:color w:val="000000"/>
                <w:sz w:val="20"/>
                <w:szCs w:val="20"/>
              </w:rPr>
              <w:t>62.30</w:t>
            </w:r>
          </w:p>
        </w:tc>
      </w:tr>
      <w:tr w:rsidR="00C20AD7" w:rsidRPr="00C20AD7" w14:paraId="54EA3570"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A050077" w14:textId="77777777" w:rsidR="00C20AD7" w:rsidRPr="007E42F8" w:rsidRDefault="00C20AD7" w:rsidP="00C20AD7">
            <w:pPr>
              <w:rPr>
                <w:color w:val="000000"/>
                <w:sz w:val="20"/>
                <w:szCs w:val="20"/>
              </w:rPr>
            </w:pPr>
            <w:r w:rsidRPr="007E42F8">
              <w:rPr>
                <w:color w:val="000000"/>
                <w:sz w:val="20"/>
                <w:szCs w:val="20"/>
              </w:rPr>
              <w:t xml:space="preserve">Current Account Balance </w:t>
            </w:r>
          </w:p>
          <w:p w14:paraId="110BCF44" w14:textId="2F8C722D" w:rsidR="00C20AD7" w:rsidRPr="007E42F8" w:rsidRDefault="00C20AD7" w:rsidP="00C20AD7">
            <w:pPr>
              <w:rPr>
                <w:color w:val="000000"/>
                <w:sz w:val="20"/>
                <w:szCs w:val="20"/>
              </w:rPr>
            </w:pPr>
            <w:r w:rsidRPr="007E42F8">
              <w:rPr>
                <w:color w:val="000000"/>
                <w:sz w:val="20"/>
                <w:szCs w:val="20"/>
              </w:rPr>
              <w:t>(Million USD)</w:t>
            </w:r>
          </w:p>
        </w:tc>
        <w:tc>
          <w:tcPr>
            <w:tcW w:w="1880" w:type="dxa"/>
            <w:tcBorders>
              <w:top w:val="nil"/>
              <w:left w:val="nil"/>
              <w:bottom w:val="single" w:sz="4" w:space="0" w:color="auto"/>
              <w:right w:val="single" w:sz="4" w:space="0" w:color="auto"/>
            </w:tcBorders>
            <w:shd w:val="clear" w:color="auto" w:fill="auto"/>
            <w:noWrap/>
            <w:vAlign w:val="bottom"/>
            <w:hideMark/>
          </w:tcPr>
          <w:p w14:paraId="0D1B18E8" w14:textId="6C3E2BE8" w:rsidR="00C20AD7" w:rsidRPr="007E42F8" w:rsidRDefault="00C20AD7" w:rsidP="00C20AD7">
            <w:pPr>
              <w:jc w:val="right"/>
              <w:rPr>
                <w:color w:val="000000"/>
                <w:sz w:val="20"/>
                <w:szCs w:val="20"/>
              </w:rPr>
            </w:pPr>
            <w:r w:rsidRPr="007E42F8">
              <w:rPr>
                <w:color w:val="000000"/>
                <w:sz w:val="20"/>
                <w:szCs w:val="20"/>
              </w:rPr>
              <w:t>6155</w:t>
            </w:r>
          </w:p>
        </w:tc>
        <w:tc>
          <w:tcPr>
            <w:tcW w:w="980" w:type="dxa"/>
            <w:tcBorders>
              <w:top w:val="nil"/>
              <w:left w:val="nil"/>
              <w:bottom w:val="single" w:sz="4" w:space="0" w:color="auto"/>
              <w:right w:val="single" w:sz="4" w:space="0" w:color="auto"/>
            </w:tcBorders>
            <w:shd w:val="clear" w:color="auto" w:fill="auto"/>
            <w:noWrap/>
            <w:vAlign w:val="bottom"/>
            <w:hideMark/>
          </w:tcPr>
          <w:p w14:paraId="63972E68" w14:textId="77777777" w:rsidR="00C20AD7" w:rsidRPr="007E42F8" w:rsidRDefault="00C20AD7" w:rsidP="00C20AD7">
            <w:pPr>
              <w:jc w:val="right"/>
              <w:rPr>
                <w:color w:val="000000"/>
                <w:sz w:val="20"/>
                <w:szCs w:val="20"/>
              </w:rPr>
            </w:pPr>
            <w:r w:rsidRPr="007E42F8">
              <w:rPr>
                <w:color w:val="000000"/>
                <w:sz w:val="20"/>
                <w:szCs w:val="20"/>
              </w:rPr>
              <w:t>-118.00</w:t>
            </w:r>
          </w:p>
        </w:tc>
        <w:tc>
          <w:tcPr>
            <w:tcW w:w="1260" w:type="dxa"/>
            <w:tcBorders>
              <w:top w:val="nil"/>
              <w:left w:val="nil"/>
              <w:bottom w:val="single" w:sz="4" w:space="0" w:color="auto"/>
              <w:right w:val="single" w:sz="4" w:space="0" w:color="auto"/>
            </w:tcBorders>
            <w:shd w:val="clear" w:color="auto" w:fill="auto"/>
            <w:noWrap/>
            <w:vAlign w:val="bottom"/>
            <w:hideMark/>
          </w:tcPr>
          <w:p w14:paraId="39DC397A" w14:textId="77777777" w:rsidR="00C20AD7" w:rsidRPr="007E42F8" w:rsidRDefault="00C20AD7" w:rsidP="00C20AD7">
            <w:pPr>
              <w:jc w:val="right"/>
              <w:rPr>
                <w:color w:val="000000"/>
                <w:sz w:val="20"/>
                <w:szCs w:val="20"/>
              </w:rPr>
            </w:pPr>
            <w:r w:rsidRPr="007E42F8">
              <w:rPr>
                <w:color w:val="000000"/>
                <w:sz w:val="20"/>
                <w:szCs w:val="20"/>
              </w:rPr>
              <w:t>37700.00</w:t>
            </w:r>
          </w:p>
        </w:tc>
        <w:tc>
          <w:tcPr>
            <w:tcW w:w="1151" w:type="dxa"/>
            <w:tcBorders>
              <w:top w:val="nil"/>
              <w:left w:val="nil"/>
              <w:bottom w:val="single" w:sz="4" w:space="0" w:color="auto"/>
              <w:right w:val="single" w:sz="4" w:space="0" w:color="auto"/>
            </w:tcBorders>
            <w:shd w:val="clear" w:color="auto" w:fill="auto"/>
            <w:noWrap/>
            <w:vAlign w:val="bottom"/>
            <w:hideMark/>
          </w:tcPr>
          <w:p w14:paraId="5095D429" w14:textId="77777777" w:rsidR="00C20AD7" w:rsidRPr="007E42F8" w:rsidRDefault="00C20AD7" w:rsidP="00C20AD7">
            <w:pPr>
              <w:jc w:val="right"/>
              <w:rPr>
                <w:color w:val="000000"/>
                <w:sz w:val="20"/>
                <w:szCs w:val="20"/>
              </w:rPr>
            </w:pPr>
            <w:r w:rsidRPr="007E42F8">
              <w:rPr>
                <w:color w:val="000000"/>
                <w:sz w:val="20"/>
                <w:szCs w:val="20"/>
              </w:rPr>
              <w:t>-806000.00</w:t>
            </w:r>
          </w:p>
        </w:tc>
        <w:tc>
          <w:tcPr>
            <w:tcW w:w="1560" w:type="dxa"/>
            <w:tcBorders>
              <w:top w:val="nil"/>
              <w:left w:val="nil"/>
              <w:bottom w:val="single" w:sz="4" w:space="0" w:color="auto"/>
              <w:right w:val="single" w:sz="4" w:space="0" w:color="auto"/>
            </w:tcBorders>
            <w:shd w:val="clear" w:color="auto" w:fill="auto"/>
            <w:noWrap/>
            <w:vAlign w:val="bottom"/>
            <w:hideMark/>
          </w:tcPr>
          <w:p w14:paraId="1EF916BE" w14:textId="77777777" w:rsidR="00C20AD7" w:rsidRPr="007E42F8" w:rsidRDefault="00C20AD7" w:rsidP="00C20AD7">
            <w:pPr>
              <w:jc w:val="right"/>
              <w:rPr>
                <w:color w:val="000000"/>
                <w:sz w:val="20"/>
                <w:szCs w:val="20"/>
              </w:rPr>
            </w:pPr>
            <w:r w:rsidRPr="007E42F8">
              <w:rPr>
                <w:color w:val="000000"/>
                <w:sz w:val="20"/>
                <w:szCs w:val="20"/>
              </w:rPr>
              <w:t>421000.00</w:t>
            </w:r>
          </w:p>
        </w:tc>
      </w:tr>
      <w:tr w:rsidR="00C20AD7" w:rsidRPr="00C20AD7" w14:paraId="7CB8CF68" w14:textId="77777777" w:rsidTr="00C20AD7">
        <w:trPr>
          <w:trHeight w:val="276"/>
        </w:trPr>
        <w:tc>
          <w:tcPr>
            <w:tcW w:w="1051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0EF4B" w14:textId="5A4BF896" w:rsidR="00C20AD7" w:rsidRPr="007E42F8" w:rsidRDefault="00C20AD7" w:rsidP="00C20AD7">
            <w:pPr>
              <w:jc w:val="center"/>
              <w:rPr>
                <w:b/>
                <w:bCs/>
                <w:color w:val="000000"/>
                <w:sz w:val="20"/>
                <w:szCs w:val="20"/>
              </w:rPr>
            </w:pPr>
            <w:r w:rsidRPr="007E42F8">
              <w:rPr>
                <w:b/>
                <w:bCs/>
                <w:color w:val="000000"/>
                <w:sz w:val="20"/>
                <w:szCs w:val="20"/>
              </w:rPr>
              <w:t>Other Potential Variables in PVAR (to maintain economic structure)</w:t>
            </w:r>
          </w:p>
        </w:tc>
      </w:tr>
      <w:tr w:rsidR="00C20AD7" w:rsidRPr="00C20AD7" w14:paraId="23C934D6"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8F9CDB4" w14:textId="77777777" w:rsidR="00C20AD7" w:rsidRPr="007E42F8" w:rsidRDefault="00C20AD7" w:rsidP="00C20AD7">
            <w:pPr>
              <w:rPr>
                <w:color w:val="000000"/>
                <w:sz w:val="20"/>
                <w:szCs w:val="20"/>
              </w:rPr>
            </w:pPr>
            <w:r w:rsidRPr="007E42F8">
              <w:rPr>
                <w:color w:val="000000"/>
                <w:sz w:val="20"/>
                <w:szCs w:val="20"/>
              </w:rPr>
              <w:t>Gross Saving (% GDP)</w:t>
            </w:r>
          </w:p>
        </w:tc>
        <w:tc>
          <w:tcPr>
            <w:tcW w:w="1880" w:type="dxa"/>
            <w:tcBorders>
              <w:top w:val="nil"/>
              <w:left w:val="nil"/>
              <w:bottom w:val="single" w:sz="4" w:space="0" w:color="auto"/>
              <w:right w:val="single" w:sz="4" w:space="0" w:color="auto"/>
            </w:tcBorders>
            <w:shd w:val="clear" w:color="auto" w:fill="auto"/>
            <w:noWrap/>
            <w:vAlign w:val="bottom"/>
            <w:hideMark/>
          </w:tcPr>
          <w:p w14:paraId="0255553A" w14:textId="0821686B" w:rsidR="00C20AD7" w:rsidRPr="007E42F8" w:rsidRDefault="00C20AD7" w:rsidP="00C20AD7">
            <w:pPr>
              <w:jc w:val="right"/>
              <w:rPr>
                <w:color w:val="000000"/>
                <w:sz w:val="20"/>
                <w:szCs w:val="20"/>
              </w:rPr>
            </w:pPr>
            <w:r w:rsidRPr="007E42F8">
              <w:rPr>
                <w:color w:val="000000"/>
                <w:sz w:val="20"/>
                <w:szCs w:val="20"/>
              </w:rPr>
              <w:t>6792</w:t>
            </w:r>
          </w:p>
        </w:tc>
        <w:tc>
          <w:tcPr>
            <w:tcW w:w="980" w:type="dxa"/>
            <w:tcBorders>
              <w:top w:val="nil"/>
              <w:left w:val="nil"/>
              <w:bottom w:val="single" w:sz="4" w:space="0" w:color="auto"/>
              <w:right w:val="single" w:sz="4" w:space="0" w:color="auto"/>
            </w:tcBorders>
            <w:shd w:val="clear" w:color="auto" w:fill="auto"/>
            <w:noWrap/>
            <w:vAlign w:val="bottom"/>
            <w:hideMark/>
          </w:tcPr>
          <w:p w14:paraId="1EB33597" w14:textId="77777777" w:rsidR="00C20AD7" w:rsidRPr="007E42F8" w:rsidRDefault="00C20AD7" w:rsidP="00C20AD7">
            <w:pPr>
              <w:jc w:val="right"/>
              <w:rPr>
                <w:color w:val="000000"/>
                <w:sz w:val="20"/>
                <w:szCs w:val="20"/>
              </w:rPr>
            </w:pPr>
            <w:r w:rsidRPr="007E42F8">
              <w:rPr>
                <w:color w:val="000000"/>
                <w:sz w:val="20"/>
                <w:szCs w:val="20"/>
              </w:rPr>
              <w:t>23.61</w:t>
            </w:r>
          </w:p>
        </w:tc>
        <w:tc>
          <w:tcPr>
            <w:tcW w:w="1260" w:type="dxa"/>
            <w:tcBorders>
              <w:top w:val="nil"/>
              <w:left w:val="nil"/>
              <w:bottom w:val="single" w:sz="4" w:space="0" w:color="auto"/>
              <w:right w:val="single" w:sz="4" w:space="0" w:color="auto"/>
            </w:tcBorders>
            <w:shd w:val="clear" w:color="auto" w:fill="auto"/>
            <w:noWrap/>
            <w:vAlign w:val="bottom"/>
            <w:hideMark/>
          </w:tcPr>
          <w:p w14:paraId="5C1B9914" w14:textId="77777777" w:rsidR="00C20AD7" w:rsidRPr="007E42F8" w:rsidRDefault="00C20AD7" w:rsidP="00C20AD7">
            <w:pPr>
              <w:jc w:val="right"/>
              <w:rPr>
                <w:color w:val="000000"/>
                <w:sz w:val="20"/>
                <w:szCs w:val="20"/>
              </w:rPr>
            </w:pPr>
            <w:r w:rsidRPr="007E42F8">
              <w:rPr>
                <w:color w:val="000000"/>
                <w:sz w:val="20"/>
                <w:szCs w:val="20"/>
              </w:rPr>
              <w:t>8.61</w:t>
            </w:r>
          </w:p>
        </w:tc>
        <w:tc>
          <w:tcPr>
            <w:tcW w:w="1151" w:type="dxa"/>
            <w:tcBorders>
              <w:top w:val="nil"/>
              <w:left w:val="nil"/>
              <w:bottom w:val="single" w:sz="4" w:space="0" w:color="auto"/>
              <w:right w:val="single" w:sz="4" w:space="0" w:color="auto"/>
            </w:tcBorders>
            <w:shd w:val="clear" w:color="auto" w:fill="auto"/>
            <w:noWrap/>
            <w:vAlign w:val="bottom"/>
            <w:hideMark/>
          </w:tcPr>
          <w:p w14:paraId="29CC8017" w14:textId="77777777" w:rsidR="00C20AD7" w:rsidRPr="007E42F8" w:rsidRDefault="00C20AD7" w:rsidP="00C20AD7">
            <w:pPr>
              <w:jc w:val="right"/>
              <w:rPr>
                <w:color w:val="000000"/>
                <w:sz w:val="20"/>
                <w:szCs w:val="20"/>
              </w:rPr>
            </w:pPr>
            <w:r w:rsidRPr="007E42F8">
              <w:rPr>
                <w:color w:val="000000"/>
                <w:sz w:val="20"/>
                <w:szCs w:val="20"/>
              </w:rPr>
              <w:t>-13.41</w:t>
            </w:r>
          </w:p>
        </w:tc>
        <w:tc>
          <w:tcPr>
            <w:tcW w:w="1560" w:type="dxa"/>
            <w:tcBorders>
              <w:top w:val="nil"/>
              <w:left w:val="nil"/>
              <w:bottom w:val="single" w:sz="4" w:space="0" w:color="auto"/>
              <w:right w:val="single" w:sz="4" w:space="0" w:color="auto"/>
            </w:tcBorders>
            <w:shd w:val="clear" w:color="auto" w:fill="auto"/>
            <w:noWrap/>
            <w:vAlign w:val="bottom"/>
            <w:hideMark/>
          </w:tcPr>
          <w:p w14:paraId="255AB472" w14:textId="77777777" w:rsidR="00C20AD7" w:rsidRPr="007E42F8" w:rsidRDefault="00C20AD7" w:rsidP="00C20AD7">
            <w:pPr>
              <w:jc w:val="right"/>
              <w:rPr>
                <w:color w:val="000000"/>
                <w:sz w:val="20"/>
                <w:szCs w:val="20"/>
              </w:rPr>
            </w:pPr>
            <w:r w:rsidRPr="007E42F8">
              <w:rPr>
                <w:color w:val="000000"/>
                <w:sz w:val="20"/>
                <w:szCs w:val="20"/>
              </w:rPr>
              <w:t>89.38</w:t>
            </w:r>
          </w:p>
        </w:tc>
      </w:tr>
      <w:tr w:rsidR="00C20AD7" w:rsidRPr="00C20AD7" w14:paraId="6F6C8932"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8FCAACA" w14:textId="77777777" w:rsidR="00C20AD7" w:rsidRPr="007E42F8" w:rsidRDefault="00C20AD7" w:rsidP="00C20AD7">
            <w:pPr>
              <w:rPr>
                <w:color w:val="000000"/>
                <w:sz w:val="20"/>
                <w:szCs w:val="20"/>
              </w:rPr>
            </w:pPr>
            <w:r w:rsidRPr="007E42F8">
              <w:rPr>
                <w:color w:val="000000"/>
                <w:sz w:val="20"/>
                <w:szCs w:val="20"/>
              </w:rPr>
              <w:t>Gross Investment (% GDP)</w:t>
            </w:r>
          </w:p>
        </w:tc>
        <w:tc>
          <w:tcPr>
            <w:tcW w:w="1880" w:type="dxa"/>
            <w:tcBorders>
              <w:top w:val="nil"/>
              <w:left w:val="nil"/>
              <w:bottom w:val="single" w:sz="4" w:space="0" w:color="auto"/>
              <w:right w:val="single" w:sz="4" w:space="0" w:color="auto"/>
            </w:tcBorders>
            <w:shd w:val="clear" w:color="auto" w:fill="auto"/>
            <w:noWrap/>
            <w:vAlign w:val="bottom"/>
            <w:hideMark/>
          </w:tcPr>
          <w:p w14:paraId="1030F84E" w14:textId="0EEF29C0" w:rsidR="00C20AD7" w:rsidRPr="007E42F8" w:rsidRDefault="00C20AD7" w:rsidP="00C20AD7">
            <w:pPr>
              <w:jc w:val="right"/>
              <w:rPr>
                <w:color w:val="000000"/>
                <w:sz w:val="20"/>
                <w:szCs w:val="20"/>
              </w:rPr>
            </w:pPr>
            <w:r w:rsidRPr="007E42F8">
              <w:rPr>
                <w:color w:val="000000"/>
                <w:sz w:val="20"/>
                <w:szCs w:val="20"/>
              </w:rPr>
              <w:t>5338</w:t>
            </w:r>
          </w:p>
        </w:tc>
        <w:tc>
          <w:tcPr>
            <w:tcW w:w="980" w:type="dxa"/>
            <w:tcBorders>
              <w:top w:val="nil"/>
              <w:left w:val="nil"/>
              <w:bottom w:val="single" w:sz="4" w:space="0" w:color="auto"/>
              <w:right w:val="single" w:sz="4" w:space="0" w:color="auto"/>
            </w:tcBorders>
            <w:shd w:val="clear" w:color="auto" w:fill="auto"/>
            <w:noWrap/>
            <w:vAlign w:val="bottom"/>
            <w:hideMark/>
          </w:tcPr>
          <w:p w14:paraId="41B2719F" w14:textId="77777777" w:rsidR="00C20AD7" w:rsidRPr="007E42F8" w:rsidRDefault="00C20AD7" w:rsidP="00C20AD7">
            <w:pPr>
              <w:jc w:val="right"/>
              <w:rPr>
                <w:color w:val="000000"/>
                <w:sz w:val="20"/>
                <w:szCs w:val="20"/>
              </w:rPr>
            </w:pPr>
            <w:r w:rsidRPr="007E42F8">
              <w:rPr>
                <w:color w:val="000000"/>
                <w:sz w:val="20"/>
                <w:szCs w:val="20"/>
              </w:rPr>
              <w:t>21.27</w:t>
            </w:r>
          </w:p>
        </w:tc>
        <w:tc>
          <w:tcPr>
            <w:tcW w:w="1260" w:type="dxa"/>
            <w:tcBorders>
              <w:top w:val="nil"/>
              <w:left w:val="nil"/>
              <w:bottom w:val="single" w:sz="4" w:space="0" w:color="auto"/>
              <w:right w:val="single" w:sz="4" w:space="0" w:color="auto"/>
            </w:tcBorders>
            <w:shd w:val="clear" w:color="auto" w:fill="auto"/>
            <w:noWrap/>
            <w:vAlign w:val="bottom"/>
            <w:hideMark/>
          </w:tcPr>
          <w:p w14:paraId="75BDBDD2" w14:textId="77777777" w:rsidR="00C20AD7" w:rsidRPr="007E42F8" w:rsidRDefault="00C20AD7" w:rsidP="00C20AD7">
            <w:pPr>
              <w:jc w:val="right"/>
              <w:rPr>
                <w:color w:val="000000"/>
                <w:sz w:val="20"/>
                <w:szCs w:val="20"/>
              </w:rPr>
            </w:pPr>
            <w:r w:rsidRPr="007E42F8">
              <w:rPr>
                <w:color w:val="000000"/>
                <w:sz w:val="20"/>
                <w:szCs w:val="20"/>
              </w:rPr>
              <w:t>12.35</w:t>
            </w:r>
          </w:p>
        </w:tc>
        <w:tc>
          <w:tcPr>
            <w:tcW w:w="1151" w:type="dxa"/>
            <w:tcBorders>
              <w:top w:val="nil"/>
              <w:left w:val="nil"/>
              <w:bottom w:val="single" w:sz="4" w:space="0" w:color="auto"/>
              <w:right w:val="single" w:sz="4" w:space="0" w:color="auto"/>
            </w:tcBorders>
            <w:shd w:val="clear" w:color="auto" w:fill="auto"/>
            <w:noWrap/>
            <w:vAlign w:val="bottom"/>
            <w:hideMark/>
          </w:tcPr>
          <w:p w14:paraId="0B28120F" w14:textId="77777777" w:rsidR="00C20AD7" w:rsidRPr="007E42F8" w:rsidRDefault="00C20AD7" w:rsidP="00C20AD7">
            <w:pPr>
              <w:jc w:val="right"/>
              <w:rPr>
                <w:color w:val="000000"/>
                <w:sz w:val="20"/>
                <w:szCs w:val="20"/>
              </w:rPr>
            </w:pPr>
            <w:r w:rsidRPr="007E42F8">
              <w:rPr>
                <w:color w:val="000000"/>
                <w:sz w:val="20"/>
                <w:szCs w:val="20"/>
              </w:rPr>
              <w:t>-236.27</w:t>
            </w:r>
          </w:p>
        </w:tc>
        <w:tc>
          <w:tcPr>
            <w:tcW w:w="1560" w:type="dxa"/>
            <w:tcBorders>
              <w:top w:val="nil"/>
              <w:left w:val="nil"/>
              <w:bottom w:val="single" w:sz="4" w:space="0" w:color="auto"/>
              <w:right w:val="single" w:sz="4" w:space="0" w:color="auto"/>
            </w:tcBorders>
            <w:shd w:val="clear" w:color="auto" w:fill="auto"/>
            <w:noWrap/>
            <w:vAlign w:val="bottom"/>
            <w:hideMark/>
          </w:tcPr>
          <w:p w14:paraId="1B498B2A" w14:textId="77777777" w:rsidR="00C20AD7" w:rsidRPr="007E42F8" w:rsidRDefault="00C20AD7" w:rsidP="00C20AD7">
            <w:pPr>
              <w:jc w:val="right"/>
              <w:rPr>
                <w:color w:val="000000"/>
                <w:sz w:val="20"/>
                <w:szCs w:val="20"/>
              </w:rPr>
            </w:pPr>
            <w:r w:rsidRPr="007E42F8">
              <w:rPr>
                <w:color w:val="000000"/>
                <w:sz w:val="20"/>
                <w:szCs w:val="20"/>
              </w:rPr>
              <w:t>100.67</w:t>
            </w:r>
          </w:p>
        </w:tc>
      </w:tr>
      <w:tr w:rsidR="00C20AD7" w:rsidRPr="00C20AD7" w14:paraId="17681DF9"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1D8332F" w14:textId="77777777" w:rsidR="00C20AD7" w:rsidRPr="007E42F8" w:rsidRDefault="00C20AD7" w:rsidP="00C20AD7">
            <w:pPr>
              <w:rPr>
                <w:color w:val="000000"/>
                <w:sz w:val="20"/>
                <w:szCs w:val="20"/>
              </w:rPr>
            </w:pPr>
            <w:r w:rsidRPr="007E42F8">
              <w:rPr>
                <w:color w:val="000000"/>
                <w:sz w:val="20"/>
                <w:szCs w:val="20"/>
              </w:rPr>
              <w:t>GDP (Constant Million USD)</w:t>
            </w:r>
          </w:p>
        </w:tc>
        <w:tc>
          <w:tcPr>
            <w:tcW w:w="1880" w:type="dxa"/>
            <w:tcBorders>
              <w:top w:val="nil"/>
              <w:left w:val="nil"/>
              <w:bottom w:val="single" w:sz="4" w:space="0" w:color="auto"/>
              <w:right w:val="single" w:sz="4" w:space="0" w:color="auto"/>
            </w:tcBorders>
            <w:shd w:val="clear" w:color="auto" w:fill="auto"/>
            <w:noWrap/>
            <w:vAlign w:val="bottom"/>
            <w:hideMark/>
          </w:tcPr>
          <w:p w14:paraId="4E305AD4" w14:textId="32C9FE4F" w:rsidR="00C20AD7" w:rsidRPr="007E42F8" w:rsidRDefault="00C20AD7" w:rsidP="00C20AD7">
            <w:pPr>
              <w:jc w:val="right"/>
              <w:rPr>
                <w:color w:val="000000"/>
                <w:sz w:val="20"/>
                <w:szCs w:val="20"/>
              </w:rPr>
            </w:pPr>
            <w:r w:rsidRPr="007E42F8">
              <w:rPr>
                <w:color w:val="000000"/>
                <w:sz w:val="20"/>
                <w:szCs w:val="20"/>
              </w:rPr>
              <w:t>7614</w:t>
            </w:r>
          </w:p>
        </w:tc>
        <w:tc>
          <w:tcPr>
            <w:tcW w:w="980" w:type="dxa"/>
            <w:tcBorders>
              <w:top w:val="nil"/>
              <w:left w:val="nil"/>
              <w:bottom w:val="single" w:sz="4" w:space="0" w:color="auto"/>
              <w:right w:val="single" w:sz="4" w:space="0" w:color="auto"/>
            </w:tcBorders>
            <w:shd w:val="clear" w:color="auto" w:fill="auto"/>
            <w:noWrap/>
            <w:vAlign w:val="bottom"/>
            <w:hideMark/>
          </w:tcPr>
          <w:p w14:paraId="30195F2B" w14:textId="77777777" w:rsidR="00C20AD7" w:rsidRPr="007E42F8" w:rsidRDefault="00C20AD7" w:rsidP="00C20AD7">
            <w:pPr>
              <w:rPr>
                <w:color w:val="000000"/>
                <w:sz w:val="20"/>
                <w:szCs w:val="20"/>
              </w:rPr>
            </w:pPr>
            <w:r w:rsidRPr="007E42F8">
              <w:rPr>
                <w:color w:val="000000"/>
                <w:sz w:val="20"/>
                <w:szCs w:val="20"/>
              </w:rPr>
              <w:t xml:space="preserve">  281,000 </w:t>
            </w:r>
          </w:p>
        </w:tc>
        <w:tc>
          <w:tcPr>
            <w:tcW w:w="1260" w:type="dxa"/>
            <w:tcBorders>
              <w:top w:val="nil"/>
              <w:left w:val="nil"/>
              <w:bottom w:val="single" w:sz="4" w:space="0" w:color="auto"/>
              <w:right w:val="single" w:sz="4" w:space="0" w:color="auto"/>
            </w:tcBorders>
            <w:shd w:val="clear" w:color="auto" w:fill="auto"/>
            <w:noWrap/>
            <w:vAlign w:val="bottom"/>
            <w:hideMark/>
          </w:tcPr>
          <w:p w14:paraId="5864BA87" w14:textId="77777777" w:rsidR="00C20AD7" w:rsidRPr="007E42F8" w:rsidRDefault="00C20AD7" w:rsidP="006B2E4E">
            <w:pPr>
              <w:jc w:val="right"/>
              <w:rPr>
                <w:color w:val="000000"/>
                <w:sz w:val="20"/>
                <w:szCs w:val="20"/>
              </w:rPr>
            </w:pPr>
            <w:r w:rsidRPr="007E42F8">
              <w:rPr>
                <w:color w:val="000000"/>
                <w:sz w:val="20"/>
                <w:szCs w:val="20"/>
              </w:rPr>
              <w:t xml:space="preserve">    1,090,000 </w:t>
            </w:r>
          </w:p>
        </w:tc>
        <w:tc>
          <w:tcPr>
            <w:tcW w:w="1151" w:type="dxa"/>
            <w:tcBorders>
              <w:top w:val="nil"/>
              <w:left w:val="nil"/>
              <w:bottom w:val="single" w:sz="4" w:space="0" w:color="auto"/>
              <w:right w:val="single" w:sz="4" w:space="0" w:color="auto"/>
            </w:tcBorders>
            <w:shd w:val="clear" w:color="auto" w:fill="auto"/>
            <w:noWrap/>
            <w:vAlign w:val="bottom"/>
            <w:hideMark/>
          </w:tcPr>
          <w:p w14:paraId="2B54B8F1" w14:textId="77777777" w:rsidR="00C20AD7" w:rsidRPr="007E42F8" w:rsidRDefault="00C20AD7" w:rsidP="006B2E4E">
            <w:pPr>
              <w:jc w:val="right"/>
              <w:rPr>
                <w:color w:val="000000"/>
                <w:sz w:val="20"/>
                <w:szCs w:val="20"/>
              </w:rPr>
            </w:pPr>
            <w:r w:rsidRPr="007E42F8">
              <w:rPr>
                <w:color w:val="000000"/>
                <w:sz w:val="20"/>
                <w:szCs w:val="20"/>
              </w:rPr>
              <w:t xml:space="preserve">           117 </w:t>
            </w:r>
          </w:p>
        </w:tc>
        <w:tc>
          <w:tcPr>
            <w:tcW w:w="1560" w:type="dxa"/>
            <w:tcBorders>
              <w:top w:val="nil"/>
              <w:left w:val="nil"/>
              <w:bottom w:val="single" w:sz="4" w:space="0" w:color="auto"/>
              <w:right w:val="single" w:sz="4" w:space="0" w:color="auto"/>
            </w:tcBorders>
            <w:shd w:val="clear" w:color="auto" w:fill="auto"/>
            <w:noWrap/>
            <w:vAlign w:val="bottom"/>
            <w:hideMark/>
          </w:tcPr>
          <w:p w14:paraId="6C47BE9A" w14:textId="77777777" w:rsidR="00C20AD7" w:rsidRPr="007E42F8" w:rsidRDefault="00C20AD7" w:rsidP="006B2E4E">
            <w:pPr>
              <w:jc w:val="right"/>
              <w:rPr>
                <w:color w:val="000000"/>
                <w:sz w:val="20"/>
                <w:szCs w:val="20"/>
              </w:rPr>
            </w:pPr>
            <w:r w:rsidRPr="007E42F8">
              <w:rPr>
                <w:color w:val="000000"/>
                <w:sz w:val="20"/>
                <w:szCs w:val="20"/>
              </w:rPr>
              <w:t xml:space="preserve">       17,900,000 </w:t>
            </w:r>
          </w:p>
        </w:tc>
      </w:tr>
      <w:tr w:rsidR="00C20AD7" w:rsidRPr="00C20AD7" w14:paraId="78D4FFE8"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0528F09" w14:textId="77777777" w:rsidR="00C20AD7" w:rsidRPr="007E42F8" w:rsidRDefault="00C20AD7" w:rsidP="00C20AD7">
            <w:pPr>
              <w:rPr>
                <w:color w:val="000000"/>
                <w:sz w:val="20"/>
                <w:szCs w:val="20"/>
              </w:rPr>
            </w:pPr>
            <w:r w:rsidRPr="007E42F8">
              <w:rPr>
                <w:color w:val="000000"/>
                <w:sz w:val="20"/>
                <w:szCs w:val="20"/>
              </w:rPr>
              <w:t>Exchange Rate (LCU to USD)</w:t>
            </w:r>
          </w:p>
        </w:tc>
        <w:tc>
          <w:tcPr>
            <w:tcW w:w="1880" w:type="dxa"/>
            <w:tcBorders>
              <w:top w:val="nil"/>
              <w:left w:val="nil"/>
              <w:bottom w:val="single" w:sz="4" w:space="0" w:color="auto"/>
              <w:right w:val="single" w:sz="4" w:space="0" w:color="auto"/>
            </w:tcBorders>
            <w:shd w:val="clear" w:color="auto" w:fill="auto"/>
            <w:noWrap/>
            <w:vAlign w:val="bottom"/>
            <w:hideMark/>
          </w:tcPr>
          <w:p w14:paraId="4A45FAE0" w14:textId="22CC70EB" w:rsidR="00C20AD7" w:rsidRPr="007E42F8" w:rsidRDefault="00C20AD7" w:rsidP="00C20AD7">
            <w:pPr>
              <w:jc w:val="right"/>
              <w:rPr>
                <w:color w:val="000000"/>
                <w:sz w:val="20"/>
                <w:szCs w:val="20"/>
              </w:rPr>
            </w:pPr>
            <w:r w:rsidRPr="007E42F8">
              <w:rPr>
                <w:color w:val="000000"/>
                <w:sz w:val="20"/>
                <w:szCs w:val="20"/>
              </w:rPr>
              <w:t>7869</w:t>
            </w:r>
          </w:p>
        </w:tc>
        <w:tc>
          <w:tcPr>
            <w:tcW w:w="980" w:type="dxa"/>
            <w:tcBorders>
              <w:top w:val="nil"/>
              <w:left w:val="nil"/>
              <w:bottom w:val="single" w:sz="4" w:space="0" w:color="auto"/>
              <w:right w:val="single" w:sz="4" w:space="0" w:color="auto"/>
            </w:tcBorders>
            <w:shd w:val="clear" w:color="auto" w:fill="auto"/>
            <w:noWrap/>
            <w:vAlign w:val="bottom"/>
            <w:hideMark/>
          </w:tcPr>
          <w:p w14:paraId="79B63C76" w14:textId="77777777" w:rsidR="00C20AD7" w:rsidRPr="007E42F8" w:rsidRDefault="00C20AD7" w:rsidP="00C20AD7">
            <w:pPr>
              <w:rPr>
                <w:color w:val="000000"/>
                <w:sz w:val="20"/>
                <w:szCs w:val="20"/>
              </w:rPr>
            </w:pPr>
            <w:r w:rsidRPr="007E42F8">
              <w:rPr>
                <w:color w:val="000000"/>
                <w:sz w:val="20"/>
                <w:szCs w:val="20"/>
              </w:rPr>
              <w:t xml:space="preserve">  854,704 </w:t>
            </w:r>
          </w:p>
        </w:tc>
        <w:tc>
          <w:tcPr>
            <w:tcW w:w="1260" w:type="dxa"/>
            <w:tcBorders>
              <w:top w:val="nil"/>
              <w:left w:val="nil"/>
              <w:bottom w:val="single" w:sz="4" w:space="0" w:color="auto"/>
              <w:right w:val="single" w:sz="4" w:space="0" w:color="auto"/>
            </w:tcBorders>
            <w:shd w:val="clear" w:color="auto" w:fill="auto"/>
            <w:noWrap/>
            <w:vAlign w:val="bottom"/>
            <w:hideMark/>
          </w:tcPr>
          <w:p w14:paraId="5F3A79F2" w14:textId="77777777" w:rsidR="00C20AD7" w:rsidRPr="007E42F8" w:rsidRDefault="00C20AD7" w:rsidP="006B2E4E">
            <w:pPr>
              <w:jc w:val="right"/>
              <w:rPr>
                <w:color w:val="000000"/>
                <w:sz w:val="20"/>
                <w:szCs w:val="20"/>
              </w:rPr>
            </w:pPr>
            <w:r w:rsidRPr="007E42F8">
              <w:rPr>
                <w:color w:val="000000"/>
                <w:sz w:val="20"/>
                <w:szCs w:val="20"/>
              </w:rPr>
              <w:t xml:space="preserve">  75,800,000 </w:t>
            </w:r>
          </w:p>
        </w:tc>
        <w:tc>
          <w:tcPr>
            <w:tcW w:w="1151" w:type="dxa"/>
            <w:tcBorders>
              <w:top w:val="nil"/>
              <w:left w:val="nil"/>
              <w:bottom w:val="single" w:sz="4" w:space="0" w:color="auto"/>
              <w:right w:val="single" w:sz="4" w:space="0" w:color="auto"/>
            </w:tcBorders>
            <w:shd w:val="clear" w:color="auto" w:fill="auto"/>
            <w:noWrap/>
            <w:vAlign w:val="bottom"/>
            <w:hideMark/>
          </w:tcPr>
          <w:p w14:paraId="61651526" w14:textId="77777777" w:rsidR="00C20AD7" w:rsidRPr="007E42F8" w:rsidRDefault="00C20AD7" w:rsidP="006B2E4E">
            <w:pPr>
              <w:jc w:val="right"/>
              <w:rPr>
                <w:color w:val="000000"/>
                <w:sz w:val="20"/>
                <w:szCs w:val="20"/>
              </w:rPr>
            </w:pPr>
            <w:r w:rsidRPr="007E42F8">
              <w:rPr>
                <w:color w:val="000000"/>
                <w:sz w:val="20"/>
                <w:szCs w:val="20"/>
              </w:rPr>
              <w:t xml:space="preserve">              0 </w:t>
            </w:r>
          </w:p>
        </w:tc>
        <w:tc>
          <w:tcPr>
            <w:tcW w:w="1560" w:type="dxa"/>
            <w:tcBorders>
              <w:top w:val="nil"/>
              <w:left w:val="nil"/>
              <w:bottom w:val="single" w:sz="4" w:space="0" w:color="auto"/>
              <w:right w:val="single" w:sz="4" w:space="0" w:color="auto"/>
            </w:tcBorders>
            <w:shd w:val="clear" w:color="auto" w:fill="auto"/>
            <w:noWrap/>
            <w:vAlign w:val="bottom"/>
            <w:hideMark/>
          </w:tcPr>
          <w:p w14:paraId="7DE943A5" w14:textId="77777777" w:rsidR="00C20AD7" w:rsidRPr="007E42F8" w:rsidRDefault="00C20AD7" w:rsidP="006B2E4E">
            <w:pPr>
              <w:jc w:val="right"/>
              <w:rPr>
                <w:color w:val="000000"/>
                <w:sz w:val="20"/>
                <w:szCs w:val="20"/>
              </w:rPr>
            </w:pPr>
            <w:r w:rsidRPr="007E42F8">
              <w:rPr>
                <w:color w:val="000000"/>
                <w:sz w:val="20"/>
                <w:szCs w:val="20"/>
              </w:rPr>
              <w:t xml:space="preserve">  6,720,000,000 </w:t>
            </w:r>
          </w:p>
        </w:tc>
      </w:tr>
      <w:tr w:rsidR="00C20AD7" w:rsidRPr="00C20AD7" w14:paraId="44E11114"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E6A67EF" w14:textId="77777777" w:rsidR="00C20AD7" w:rsidRPr="007E42F8" w:rsidRDefault="00C20AD7" w:rsidP="00C20AD7">
            <w:pPr>
              <w:rPr>
                <w:color w:val="000000"/>
                <w:sz w:val="20"/>
                <w:szCs w:val="20"/>
              </w:rPr>
            </w:pPr>
            <w:r w:rsidRPr="007E42F8">
              <w:rPr>
                <w:color w:val="000000"/>
                <w:sz w:val="20"/>
                <w:szCs w:val="20"/>
              </w:rPr>
              <w:t>Real Interest Rate</w:t>
            </w:r>
          </w:p>
        </w:tc>
        <w:tc>
          <w:tcPr>
            <w:tcW w:w="1880" w:type="dxa"/>
            <w:tcBorders>
              <w:top w:val="nil"/>
              <w:left w:val="nil"/>
              <w:bottom w:val="single" w:sz="4" w:space="0" w:color="auto"/>
              <w:right w:val="single" w:sz="4" w:space="0" w:color="auto"/>
            </w:tcBorders>
            <w:shd w:val="clear" w:color="auto" w:fill="auto"/>
            <w:noWrap/>
            <w:vAlign w:val="bottom"/>
            <w:hideMark/>
          </w:tcPr>
          <w:p w14:paraId="73221104" w14:textId="251E67A7" w:rsidR="00C20AD7" w:rsidRPr="007E42F8" w:rsidRDefault="00C20AD7" w:rsidP="00C20AD7">
            <w:pPr>
              <w:jc w:val="right"/>
              <w:rPr>
                <w:color w:val="000000"/>
                <w:sz w:val="20"/>
                <w:szCs w:val="20"/>
              </w:rPr>
            </w:pPr>
            <w:r w:rsidRPr="007E42F8">
              <w:rPr>
                <w:color w:val="000000"/>
                <w:sz w:val="20"/>
                <w:szCs w:val="20"/>
              </w:rPr>
              <w:t>4011</w:t>
            </w:r>
          </w:p>
        </w:tc>
        <w:tc>
          <w:tcPr>
            <w:tcW w:w="980" w:type="dxa"/>
            <w:tcBorders>
              <w:top w:val="nil"/>
              <w:left w:val="nil"/>
              <w:bottom w:val="single" w:sz="4" w:space="0" w:color="auto"/>
              <w:right w:val="single" w:sz="4" w:space="0" w:color="auto"/>
            </w:tcBorders>
            <w:shd w:val="clear" w:color="auto" w:fill="auto"/>
            <w:noWrap/>
            <w:vAlign w:val="bottom"/>
            <w:hideMark/>
          </w:tcPr>
          <w:p w14:paraId="7CF3B472" w14:textId="77777777" w:rsidR="00C20AD7" w:rsidRPr="007E42F8" w:rsidRDefault="00C20AD7" w:rsidP="00C20AD7">
            <w:pPr>
              <w:jc w:val="right"/>
              <w:rPr>
                <w:color w:val="000000"/>
                <w:sz w:val="20"/>
                <w:szCs w:val="20"/>
              </w:rPr>
            </w:pPr>
            <w:r w:rsidRPr="007E42F8">
              <w:rPr>
                <w:color w:val="000000"/>
                <w:sz w:val="20"/>
                <w:szCs w:val="20"/>
              </w:rPr>
              <w:t>6.60</w:t>
            </w:r>
          </w:p>
        </w:tc>
        <w:tc>
          <w:tcPr>
            <w:tcW w:w="1260" w:type="dxa"/>
            <w:tcBorders>
              <w:top w:val="nil"/>
              <w:left w:val="nil"/>
              <w:bottom w:val="single" w:sz="4" w:space="0" w:color="auto"/>
              <w:right w:val="single" w:sz="4" w:space="0" w:color="auto"/>
            </w:tcBorders>
            <w:shd w:val="clear" w:color="auto" w:fill="auto"/>
            <w:noWrap/>
            <w:vAlign w:val="bottom"/>
            <w:hideMark/>
          </w:tcPr>
          <w:p w14:paraId="2C5E6C21" w14:textId="77777777" w:rsidR="00C20AD7" w:rsidRPr="007E42F8" w:rsidRDefault="00C20AD7" w:rsidP="00C20AD7">
            <w:pPr>
              <w:jc w:val="right"/>
              <w:rPr>
                <w:color w:val="000000"/>
                <w:sz w:val="20"/>
                <w:szCs w:val="20"/>
              </w:rPr>
            </w:pPr>
            <w:r w:rsidRPr="007E42F8">
              <w:rPr>
                <w:color w:val="000000"/>
                <w:sz w:val="20"/>
                <w:szCs w:val="20"/>
              </w:rPr>
              <w:t>28.67</w:t>
            </w:r>
          </w:p>
        </w:tc>
        <w:tc>
          <w:tcPr>
            <w:tcW w:w="1151" w:type="dxa"/>
            <w:tcBorders>
              <w:top w:val="nil"/>
              <w:left w:val="nil"/>
              <w:bottom w:val="single" w:sz="4" w:space="0" w:color="auto"/>
              <w:right w:val="single" w:sz="4" w:space="0" w:color="auto"/>
            </w:tcBorders>
            <w:shd w:val="clear" w:color="auto" w:fill="auto"/>
            <w:noWrap/>
            <w:vAlign w:val="bottom"/>
            <w:hideMark/>
          </w:tcPr>
          <w:p w14:paraId="3D670B6D" w14:textId="77777777" w:rsidR="00C20AD7" w:rsidRPr="007E42F8" w:rsidRDefault="00C20AD7" w:rsidP="00C20AD7">
            <w:pPr>
              <w:jc w:val="right"/>
              <w:rPr>
                <w:color w:val="000000"/>
                <w:sz w:val="20"/>
                <w:szCs w:val="20"/>
              </w:rPr>
            </w:pPr>
            <w:r w:rsidRPr="007E42F8">
              <w:rPr>
                <w:color w:val="000000"/>
                <w:sz w:val="20"/>
                <w:szCs w:val="20"/>
              </w:rPr>
              <w:t>-97.62</w:t>
            </w:r>
          </w:p>
        </w:tc>
        <w:tc>
          <w:tcPr>
            <w:tcW w:w="1560" w:type="dxa"/>
            <w:tcBorders>
              <w:top w:val="nil"/>
              <w:left w:val="nil"/>
              <w:bottom w:val="single" w:sz="4" w:space="0" w:color="auto"/>
              <w:right w:val="single" w:sz="4" w:space="0" w:color="auto"/>
            </w:tcBorders>
            <w:shd w:val="clear" w:color="auto" w:fill="auto"/>
            <w:noWrap/>
            <w:vAlign w:val="bottom"/>
            <w:hideMark/>
          </w:tcPr>
          <w:p w14:paraId="352E1B7B" w14:textId="77777777" w:rsidR="00C20AD7" w:rsidRPr="007E42F8" w:rsidRDefault="00C20AD7" w:rsidP="00C20AD7">
            <w:pPr>
              <w:jc w:val="right"/>
              <w:rPr>
                <w:color w:val="000000"/>
                <w:sz w:val="20"/>
                <w:szCs w:val="20"/>
              </w:rPr>
            </w:pPr>
            <w:r w:rsidRPr="007E42F8">
              <w:rPr>
                <w:color w:val="000000"/>
                <w:sz w:val="20"/>
                <w:szCs w:val="20"/>
              </w:rPr>
              <w:t>1158.03</w:t>
            </w:r>
          </w:p>
        </w:tc>
      </w:tr>
      <w:tr w:rsidR="00C20AD7" w:rsidRPr="00C20AD7" w14:paraId="78655E02"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9590C7A" w14:textId="77777777" w:rsidR="00C20AD7" w:rsidRPr="007E42F8" w:rsidRDefault="00C20AD7" w:rsidP="00C20AD7">
            <w:pPr>
              <w:rPr>
                <w:color w:val="000000"/>
                <w:sz w:val="20"/>
                <w:szCs w:val="20"/>
              </w:rPr>
            </w:pPr>
            <w:r w:rsidRPr="007E42F8">
              <w:rPr>
                <w:color w:val="000000"/>
                <w:sz w:val="20"/>
                <w:szCs w:val="20"/>
              </w:rPr>
              <w:t>Inflation</w:t>
            </w:r>
          </w:p>
        </w:tc>
        <w:tc>
          <w:tcPr>
            <w:tcW w:w="1880" w:type="dxa"/>
            <w:tcBorders>
              <w:top w:val="nil"/>
              <w:left w:val="nil"/>
              <w:bottom w:val="single" w:sz="4" w:space="0" w:color="auto"/>
              <w:right w:val="single" w:sz="4" w:space="0" w:color="auto"/>
            </w:tcBorders>
            <w:shd w:val="clear" w:color="auto" w:fill="auto"/>
            <w:noWrap/>
            <w:vAlign w:val="bottom"/>
            <w:hideMark/>
          </w:tcPr>
          <w:p w14:paraId="3840607D" w14:textId="21124DA2" w:rsidR="00C20AD7" w:rsidRPr="007E42F8" w:rsidRDefault="00C20AD7" w:rsidP="00C20AD7">
            <w:pPr>
              <w:jc w:val="right"/>
              <w:rPr>
                <w:color w:val="000000"/>
                <w:sz w:val="20"/>
                <w:szCs w:val="20"/>
              </w:rPr>
            </w:pPr>
            <w:r w:rsidRPr="007E42F8">
              <w:rPr>
                <w:color w:val="000000"/>
                <w:sz w:val="20"/>
                <w:szCs w:val="20"/>
              </w:rPr>
              <w:t>7580</w:t>
            </w:r>
          </w:p>
        </w:tc>
        <w:tc>
          <w:tcPr>
            <w:tcW w:w="980" w:type="dxa"/>
            <w:tcBorders>
              <w:top w:val="nil"/>
              <w:left w:val="nil"/>
              <w:bottom w:val="single" w:sz="4" w:space="0" w:color="auto"/>
              <w:right w:val="single" w:sz="4" w:space="0" w:color="auto"/>
            </w:tcBorders>
            <w:shd w:val="clear" w:color="auto" w:fill="auto"/>
            <w:noWrap/>
            <w:vAlign w:val="bottom"/>
            <w:hideMark/>
          </w:tcPr>
          <w:p w14:paraId="18C26FC8" w14:textId="77777777" w:rsidR="00C20AD7" w:rsidRPr="007E42F8" w:rsidRDefault="00C20AD7" w:rsidP="00C20AD7">
            <w:pPr>
              <w:jc w:val="right"/>
              <w:rPr>
                <w:color w:val="000000"/>
                <w:sz w:val="20"/>
                <w:szCs w:val="20"/>
              </w:rPr>
            </w:pPr>
            <w:r w:rsidRPr="007E42F8">
              <w:rPr>
                <w:color w:val="000000"/>
                <w:sz w:val="20"/>
                <w:szCs w:val="20"/>
              </w:rPr>
              <w:t>36.70</w:t>
            </w:r>
          </w:p>
        </w:tc>
        <w:tc>
          <w:tcPr>
            <w:tcW w:w="1260" w:type="dxa"/>
            <w:tcBorders>
              <w:top w:val="nil"/>
              <w:left w:val="nil"/>
              <w:bottom w:val="single" w:sz="4" w:space="0" w:color="auto"/>
              <w:right w:val="single" w:sz="4" w:space="0" w:color="auto"/>
            </w:tcBorders>
            <w:shd w:val="clear" w:color="auto" w:fill="auto"/>
            <w:noWrap/>
            <w:vAlign w:val="bottom"/>
            <w:hideMark/>
          </w:tcPr>
          <w:p w14:paraId="7647135C" w14:textId="77777777" w:rsidR="00C20AD7" w:rsidRPr="007E42F8" w:rsidRDefault="00C20AD7" w:rsidP="00C20AD7">
            <w:pPr>
              <w:jc w:val="right"/>
              <w:rPr>
                <w:color w:val="000000"/>
                <w:sz w:val="20"/>
                <w:szCs w:val="20"/>
              </w:rPr>
            </w:pPr>
            <w:r w:rsidRPr="007E42F8">
              <w:rPr>
                <w:color w:val="000000"/>
                <w:sz w:val="20"/>
                <w:szCs w:val="20"/>
              </w:rPr>
              <w:t>462.11</w:t>
            </w:r>
          </w:p>
        </w:tc>
        <w:tc>
          <w:tcPr>
            <w:tcW w:w="1151" w:type="dxa"/>
            <w:tcBorders>
              <w:top w:val="nil"/>
              <w:left w:val="nil"/>
              <w:bottom w:val="single" w:sz="4" w:space="0" w:color="auto"/>
              <w:right w:val="single" w:sz="4" w:space="0" w:color="auto"/>
            </w:tcBorders>
            <w:shd w:val="clear" w:color="auto" w:fill="auto"/>
            <w:noWrap/>
            <w:vAlign w:val="bottom"/>
            <w:hideMark/>
          </w:tcPr>
          <w:p w14:paraId="1FBEAA1C" w14:textId="77777777" w:rsidR="00C20AD7" w:rsidRPr="007E42F8" w:rsidRDefault="00C20AD7" w:rsidP="00C20AD7">
            <w:pPr>
              <w:jc w:val="right"/>
              <w:rPr>
                <w:color w:val="000000"/>
                <w:sz w:val="20"/>
                <w:szCs w:val="20"/>
              </w:rPr>
            </w:pPr>
            <w:r w:rsidRPr="007E42F8">
              <w:rPr>
                <w:color w:val="000000"/>
                <w:sz w:val="20"/>
                <w:szCs w:val="20"/>
              </w:rPr>
              <w:t>-36.56</w:t>
            </w:r>
          </w:p>
        </w:tc>
        <w:tc>
          <w:tcPr>
            <w:tcW w:w="1560" w:type="dxa"/>
            <w:tcBorders>
              <w:top w:val="nil"/>
              <w:left w:val="nil"/>
              <w:bottom w:val="single" w:sz="4" w:space="0" w:color="auto"/>
              <w:right w:val="single" w:sz="4" w:space="0" w:color="auto"/>
            </w:tcBorders>
            <w:shd w:val="clear" w:color="auto" w:fill="auto"/>
            <w:noWrap/>
            <w:vAlign w:val="bottom"/>
            <w:hideMark/>
          </w:tcPr>
          <w:p w14:paraId="7090A70C" w14:textId="77777777" w:rsidR="00C20AD7" w:rsidRPr="007E42F8" w:rsidRDefault="00C20AD7" w:rsidP="00C20AD7">
            <w:pPr>
              <w:jc w:val="right"/>
              <w:rPr>
                <w:color w:val="000000"/>
                <w:sz w:val="20"/>
                <w:szCs w:val="20"/>
              </w:rPr>
            </w:pPr>
            <w:r w:rsidRPr="007E42F8">
              <w:rPr>
                <w:color w:val="000000"/>
                <w:sz w:val="20"/>
                <w:szCs w:val="20"/>
              </w:rPr>
              <w:t>26765.86</w:t>
            </w:r>
          </w:p>
        </w:tc>
      </w:tr>
      <w:tr w:rsidR="00C20AD7" w:rsidRPr="00C20AD7" w14:paraId="676F7009" w14:textId="77777777" w:rsidTr="00C20AD7">
        <w:trPr>
          <w:trHeight w:val="288"/>
        </w:trPr>
        <w:tc>
          <w:tcPr>
            <w:tcW w:w="1051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46D3C" w14:textId="3FDD3114" w:rsidR="00C20AD7" w:rsidRPr="007E42F8" w:rsidRDefault="00C20AD7" w:rsidP="00C20AD7">
            <w:pPr>
              <w:jc w:val="center"/>
              <w:rPr>
                <w:b/>
                <w:bCs/>
                <w:color w:val="000000"/>
                <w:sz w:val="20"/>
                <w:szCs w:val="20"/>
              </w:rPr>
            </w:pPr>
            <w:r w:rsidRPr="007E42F8">
              <w:rPr>
                <w:b/>
                <w:bCs/>
                <w:color w:val="000000"/>
                <w:sz w:val="20"/>
                <w:szCs w:val="20"/>
              </w:rPr>
              <w:t xml:space="preserve">Variable for Controlling Category - </w:t>
            </w:r>
            <w:r w:rsidRPr="007E42F8">
              <w:rPr>
                <w:b/>
                <w:bCs/>
                <w:i/>
                <w:iCs/>
                <w:color w:val="000000"/>
                <w:sz w:val="20"/>
                <w:szCs w:val="20"/>
              </w:rPr>
              <w:t>Longevity</w:t>
            </w:r>
          </w:p>
        </w:tc>
      </w:tr>
      <w:tr w:rsidR="00C20AD7" w:rsidRPr="00C20AD7" w14:paraId="4DD95064"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929EFEC" w14:textId="77777777" w:rsidR="00C20AD7" w:rsidRPr="007E42F8" w:rsidRDefault="00C20AD7" w:rsidP="00C20AD7">
            <w:pPr>
              <w:rPr>
                <w:color w:val="000000"/>
                <w:sz w:val="20"/>
                <w:szCs w:val="20"/>
              </w:rPr>
            </w:pPr>
            <w:r w:rsidRPr="007E42F8">
              <w:rPr>
                <w:color w:val="000000"/>
                <w:sz w:val="20"/>
                <w:szCs w:val="20"/>
              </w:rPr>
              <w:t>Life Expectancy at Birth</w:t>
            </w:r>
          </w:p>
        </w:tc>
        <w:tc>
          <w:tcPr>
            <w:tcW w:w="1880" w:type="dxa"/>
            <w:tcBorders>
              <w:top w:val="nil"/>
              <w:left w:val="nil"/>
              <w:bottom w:val="single" w:sz="4" w:space="0" w:color="auto"/>
              <w:right w:val="single" w:sz="4" w:space="0" w:color="auto"/>
            </w:tcBorders>
            <w:shd w:val="clear" w:color="auto" w:fill="auto"/>
            <w:noWrap/>
            <w:vAlign w:val="bottom"/>
            <w:hideMark/>
          </w:tcPr>
          <w:p w14:paraId="18E604BB" w14:textId="67F5ED9C" w:rsidR="00C20AD7" w:rsidRPr="007E42F8" w:rsidRDefault="00C20AD7" w:rsidP="00C20AD7">
            <w:pPr>
              <w:jc w:val="right"/>
              <w:rPr>
                <w:color w:val="000000"/>
                <w:sz w:val="20"/>
                <w:szCs w:val="20"/>
              </w:rPr>
            </w:pPr>
            <w:r w:rsidRPr="007E42F8">
              <w:rPr>
                <w:color w:val="000000"/>
                <w:sz w:val="20"/>
                <w:szCs w:val="20"/>
              </w:rPr>
              <w:t>8737</w:t>
            </w:r>
          </w:p>
        </w:tc>
        <w:tc>
          <w:tcPr>
            <w:tcW w:w="980" w:type="dxa"/>
            <w:tcBorders>
              <w:top w:val="nil"/>
              <w:left w:val="nil"/>
              <w:bottom w:val="single" w:sz="4" w:space="0" w:color="auto"/>
              <w:right w:val="single" w:sz="4" w:space="0" w:color="auto"/>
            </w:tcBorders>
            <w:shd w:val="clear" w:color="auto" w:fill="auto"/>
            <w:noWrap/>
            <w:vAlign w:val="bottom"/>
            <w:hideMark/>
          </w:tcPr>
          <w:p w14:paraId="4B504529" w14:textId="77777777" w:rsidR="00C20AD7" w:rsidRPr="007E42F8" w:rsidRDefault="00C20AD7" w:rsidP="00C20AD7">
            <w:pPr>
              <w:jc w:val="right"/>
              <w:rPr>
                <w:color w:val="000000"/>
                <w:sz w:val="20"/>
                <w:szCs w:val="20"/>
              </w:rPr>
            </w:pPr>
            <w:r w:rsidRPr="007E42F8">
              <w:rPr>
                <w:color w:val="000000"/>
                <w:sz w:val="20"/>
                <w:szCs w:val="20"/>
              </w:rPr>
              <w:t>65.17</w:t>
            </w:r>
          </w:p>
        </w:tc>
        <w:tc>
          <w:tcPr>
            <w:tcW w:w="1260" w:type="dxa"/>
            <w:tcBorders>
              <w:top w:val="nil"/>
              <w:left w:val="nil"/>
              <w:bottom w:val="single" w:sz="4" w:space="0" w:color="auto"/>
              <w:right w:val="single" w:sz="4" w:space="0" w:color="auto"/>
            </w:tcBorders>
            <w:shd w:val="clear" w:color="auto" w:fill="auto"/>
            <w:noWrap/>
            <w:vAlign w:val="bottom"/>
            <w:hideMark/>
          </w:tcPr>
          <w:p w14:paraId="617A1DD1" w14:textId="77777777" w:rsidR="00C20AD7" w:rsidRPr="007E42F8" w:rsidRDefault="00C20AD7" w:rsidP="00C20AD7">
            <w:pPr>
              <w:jc w:val="right"/>
              <w:rPr>
                <w:color w:val="000000"/>
                <w:sz w:val="20"/>
                <w:szCs w:val="20"/>
              </w:rPr>
            </w:pPr>
            <w:r w:rsidRPr="007E42F8">
              <w:rPr>
                <w:color w:val="000000"/>
                <w:sz w:val="20"/>
                <w:szCs w:val="20"/>
              </w:rPr>
              <w:t>10.69</w:t>
            </w:r>
          </w:p>
        </w:tc>
        <w:tc>
          <w:tcPr>
            <w:tcW w:w="1151" w:type="dxa"/>
            <w:tcBorders>
              <w:top w:val="nil"/>
              <w:left w:val="nil"/>
              <w:bottom w:val="single" w:sz="4" w:space="0" w:color="auto"/>
              <w:right w:val="single" w:sz="4" w:space="0" w:color="auto"/>
            </w:tcBorders>
            <w:shd w:val="clear" w:color="auto" w:fill="auto"/>
            <w:noWrap/>
            <w:vAlign w:val="bottom"/>
            <w:hideMark/>
          </w:tcPr>
          <w:p w14:paraId="24D6D8A8" w14:textId="77777777" w:rsidR="00C20AD7" w:rsidRPr="007E42F8" w:rsidRDefault="00C20AD7" w:rsidP="00C20AD7">
            <w:pPr>
              <w:jc w:val="right"/>
              <w:rPr>
                <w:color w:val="000000"/>
                <w:sz w:val="20"/>
                <w:szCs w:val="20"/>
              </w:rPr>
            </w:pPr>
            <w:r w:rsidRPr="007E42F8">
              <w:rPr>
                <w:color w:val="000000"/>
                <w:sz w:val="20"/>
                <w:szCs w:val="20"/>
              </w:rPr>
              <w:t>18.91</w:t>
            </w:r>
          </w:p>
        </w:tc>
        <w:tc>
          <w:tcPr>
            <w:tcW w:w="1560" w:type="dxa"/>
            <w:tcBorders>
              <w:top w:val="nil"/>
              <w:left w:val="nil"/>
              <w:bottom w:val="single" w:sz="4" w:space="0" w:color="auto"/>
              <w:right w:val="single" w:sz="4" w:space="0" w:color="auto"/>
            </w:tcBorders>
            <w:shd w:val="clear" w:color="auto" w:fill="auto"/>
            <w:noWrap/>
            <w:vAlign w:val="bottom"/>
            <w:hideMark/>
          </w:tcPr>
          <w:p w14:paraId="614276ED" w14:textId="77777777" w:rsidR="00C20AD7" w:rsidRPr="007E42F8" w:rsidRDefault="00C20AD7" w:rsidP="00C20AD7">
            <w:pPr>
              <w:jc w:val="right"/>
              <w:rPr>
                <w:color w:val="000000"/>
                <w:sz w:val="20"/>
                <w:szCs w:val="20"/>
              </w:rPr>
            </w:pPr>
            <w:r w:rsidRPr="007E42F8">
              <w:rPr>
                <w:color w:val="000000"/>
                <w:sz w:val="20"/>
                <w:szCs w:val="20"/>
              </w:rPr>
              <w:t>84.68</w:t>
            </w:r>
          </w:p>
        </w:tc>
      </w:tr>
      <w:tr w:rsidR="00C20AD7" w:rsidRPr="00C20AD7" w14:paraId="57CBB876" w14:textId="77777777" w:rsidTr="00C20AD7">
        <w:trPr>
          <w:trHeight w:val="288"/>
        </w:trPr>
        <w:tc>
          <w:tcPr>
            <w:tcW w:w="1051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DF48E" w14:textId="77777777" w:rsidR="00C20AD7" w:rsidRPr="007E42F8" w:rsidRDefault="00C20AD7" w:rsidP="00C20AD7">
            <w:pPr>
              <w:jc w:val="center"/>
              <w:rPr>
                <w:b/>
                <w:bCs/>
                <w:color w:val="000000"/>
                <w:sz w:val="20"/>
                <w:szCs w:val="20"/>
              </w:rPr>
            </w:pPr>
            <w:r w:rsidRPr="007E42F8">
              <w:rPr>
                <w:b/>
                <w:bCs/>
                <w:color w:val="000000"/>
                <w:sz w:val="20"/>
                <w:szCs w:val="20"/>
              </w:rPr>
              <w:t xml:space="preserve">Variable for Controlling Category - </w:t>
            </w:r>
            <w:r w:rsidRPr="007E42F8">
              <w:rPr>
                <w:b/>
                <w:bCs/>
                <w:i/>
                <w:iCs/>
                <w:color w:val="000000"/>
                <w:sz w:val="20"/>
                <w:szCs w:val="20"/>
              </w:rPr>
              <w:t>Pension</w:t>
            </w:r>
          </w:p>
        </w:tc>
      </w:tr>
      <w:tr w:rsidR="00C20AD7" w:rsidRPr="00C20AD7" w14:paraId="617F0685"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D706EA5" w14:textId="77777777" w:rsidR="00C20AD7" w:rsidRPr="007E42F8" w:rsidRDefault="00C20AD7" w:rsidP="00C20AD7">
            <w:pPr>
              <w:rPr>
                <w:color w:val="000000"/>
                <w:sz w:val="20"/>
                <w:szCs w:val="20"/>
              </w:rPr>
            </w:pPr>
            <w:r w:rsidRPr="007E42F8">
              <w:rPr>
                <w:color w:val="000000"/>
                <w:sz w:val="20"/>
                <w:szCs w:val="20"/>
              </w:rPr>
              <w:t xml:space="preserve">Coverage of Social Insurance </w:t>
            </w:r>
          </w:p>
        </w:tc>
        <w:tc>
          <w:tcPr>
            <w:tcW w:w="1880" w:type="dxa"/>
            <w:tcBorders>
              <w:top w:val="nil"/>
              <w:left w:val="nil"/>
              <w:bottom w:val="single" w:sz="4" w:space="0" w:color="auto"/>
              <w:right w:val="single" w:sz="4" w:space="0" w:color="auto"/>
            </w:tcBorders>
            <w:shd w:val="clear" w:color="auto" w:fill="auto"/>
            <w:noWrap/>
            <w:vAlign w:val="bottom"/>
            <w:hideMark/>
          </w:tcPr>
          <w:p w14:paraId="1D517960" w14:textId="0C8ABD3A" w:rsidR="00C20AD7" w:rsidRPr="007E42F8" w:rsidRDefault="00C20AD7" w:rsidP="00C20AD7">
            <w:pPr>
              <w:jc w:val="right"/>
              <w:rPr>
                <w:color w:val="000000"/>
                <w:sz w:val="20"/>
                <w:szCs w:val="20"/>
              </w:rPr>
            </w:pPr>
            <w:r w:rsidRPr="007E42F8">
              <w:rPr>
                <w:color w:val="000000"/>
                <w:sz w:val="20"/>
                <w:szCs w:val="20"/>
              </w:rPr>
              <w:t>282</w:t>
            </w:r>
          </w:p>
        </w:tc>
        <w:tc>
          <w:tcPr>
            <w:tcW w:w="980" w:type="dxa"/>
            <w:tcBorders>
              <w:top w:val="nil"/>
              <w:left w:val="nil"/>
              <w:bottom w:val="single" w:sz="4" w:space="0" w:color="auto"/>
              <w:right w:val="single" w:sz="4" w:space="0" w:color="auto"/>
            </w:tcBorders>
            <w:shd w:val="clear" w:color="auto" w:fill="auto"/>
            <w:noWrap/>
            <w:vAlign w:val="bottom"/>
            <w:hideMark/>
          </w:tcPr>
          <w:p w14:paraId="59AA0BA6" w14:textId="77777777" w:rsidR="00C20AD7" w:rsidRPr="007E42F8" w:rsidRDefault="00C20AD7" w:rsidP="00C20AD7">
            <w:pPr>
              <w:jc w:val="right"/>
              <w:rPr>
                <w:color w:val="000000"/>
                <w:sz w:val="20"/>
                <w:szCs w:val="20"/>
              </w:rPr>
            </w:pPr>
            <w:r w:rsidRPr="007E42F8">
              <w:rPr>
                <w:color w:val="000000"/>
                <w:sz w:val="20"/>
                <w:szCs w:val="20"/>
              </w:rPr>
              <w:t>21.17</w:t>
            </w:r>
          </w:p>
        </w:tc>
        <w:tc>
          <w:tcPr>
            <w:tcW w:w="1260" w:type="dxa"/>
            <w:tcBorders>
              <w:top w:val="nil"/>
              <w:left w:val="nil"/>
              <w:bottom w:val="single" w:sz="4" w:space="0" w:color="auto"/>
              <w:right w:val="single" w:sz="4" w:space="0" w:color="auto"/>
            </w:tcBorders>
            <w:shd w:val="clear" w:color="auto" w:fill="auto"/>
            <w:noWrap/>
            <w:vAlign w:val="bottom"/>
            <w:hideMark/>
          </w:tcPr>
          <w:p w14:paraId="6B8DCCD9" w14:textId="77777777" w:rsidR="00C20AD7" w:rsidRPr="007E42F8" w:rsidRDefault="00C20AD7" w:rsidP="00C20AD7">
            <w:pPr>
              <w:jc w:val="right"/>
              <w:rPr>
                <w:color w:val="000000"/>
                <w:sz w:val="20"/>
                <w:szCs w:val="20"/>
              </w:rPr>
            </w:pPr>
            <w:r w:rsidRPr="007E42F8">
              <w:rPr>
                <w:color w:val="000000"/>
                <w:sz w:val="20"/>
                <w:szCs w:val="20"/>
              </w:rPr>
              <w:t>18.49</w:t>
            </w:r>
          </w:p>
        </w:tc>
        <w:tc>
          <w:tcPr>
            <w:tcW w:w="1151" w:type="dxa"/>
            <w:tcBorders>
              <w:top w:val="nil"/>
              <w:left w:val="nil"/>
              <w:bottom w:val="single" w:sz="4" w:space="0" w:color="auto"/>
              <w:right w:val="single" w:sz="4" w:space="0" w:color="auto"/>
            </w:tcBorders>
            <w:shd w:val="clear" w:color="auto" w:fill="auto"/>
            <w:noWrap/>
            <w:vAlign w:val="bottom"/>
            <w:hideMark/>
          </w:tcPr>
          <w:p w14:paraId="39F8901A" w14:textId="77777777" w:rsidR="00C20AD7" w:rsidRPr="007E42F8" w:rsidRDefault="00C20AD7" w:rsidP="00C20AD7">
            <w:pPr>
              <w:jc w:val="right"/>
              <w:rPr>
                <w:color w:val="000000"/>
                <w:sz w:val="20"/>
                <w:szCs w:val="20"/>
              </w:rPr>
            </w:pPr>
            <w:r w:rsidRPr="007E42F8">
              <w:rPr>
                <w:color w:val="000000"/>
                <w:sz w:val="20"/>
                <w:szCs w:val="20"/>
              </w:rPr>
              <w:t>0.37</w:t>
            </w:r>
          </w:p>
        </w:tc>
        <w:tc>
          <w:tcPr>
            <w:tcW w:w="1560" w:type="dxa"/>
            <w:tcBorders>
              <w:top w:val="nil"/>
              <w:left w:val="nil"/>
              <w:bottom w:val="single" w:sz="4" w:space="0" w:color="auto"/>
              <w:right w:val="single" w:sz="4" w:space="0" w:color="auto"/>
            </w:tcBorders>
            <w:shd w:val="clear" w:color="auto" w:fill="auto"/>
            <w:noWrap/>
            <w:vAlign w:val="bottom"/>
            <w:hideMark/>
          </w:tcPr>
          <w:p w14:paraId="0FBD053F" w14:textId="77777777" w:rsidR="00C20AD7" w:rsidRPr="007E42F8" w:rsidRDefault="00C20AD7" w:rsidP="00C20AD7">
            <w:pPr>
              <w:jc w:val="right"/>
              <w:rPr>
                <w:color w:val="000000"/>
                <w:sz w:val="20"/>
                <w:szCs w:val="20"/>
              </w:rPr>
            </w:pPr>
            <w:r w:rsidRPr="007E42F8">
              <w:rPr>
                <w:color w:val="000000"/>
                <w:sz w:val="20"/>
                <w:szCs w:val="20"/>
              </w:rPr>
              <w:t>59.52</w:t>
            </w:r>
          </w:p>
        </w:tc>
      </w:tr>
      <w:tr w:rsidR="00C20AD7" w:rsidRPr="00C20AD7" w14:paraId="3F97B06E"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12A04D7" w14:textId="77777777" w:rsidR="00C20AD7" w:rsidRPr="007E42F8" w:rsidRDefault="00C20AD7" w:rsidP="00C20AD7">
            <w:pPr>
              <w:rPr>
                <w:color w:val="000000"/>
                <w:sz w:val="20"/>
                <w:szCs w:val="20"/>
              </w:rPr>
            </w:pPr>
            <w:r w:rsidRPr="007E42F8">
              <w:rPr>
                <w:color w:val="000000"/>
                <w:sz w:val="20"/>
                <w:szCs w:val="20"/>
              </w:rPr>
              <w:t>Coverage of Social Safety Net</w:t>
            </w:r>
          </w:p>
        </w:tc>
        <w:tc>
          <w:tcPr>
            <w:tcW w:w="1880" w:type="dxa"/>
            <w:tcBorders>
              <w:top w:val="nil"/>
              <w:left w:val="nil"/>
              <w:bottom w:val="single" w:sz="4" w:space="0" w:color="auto"/>
              <w:right w:val="single" w:sz="4" w:space="0" w:color="auto"/>
            </w:tcBorders>
            <w:shd w:val="clear" w:color="auto" w:fill="auto"/>
            <w:noWrap/>
            <w:vAlign w:val="bottom"/>
            <w:hideMark/>
          </w:tcPr>
          <w:p w14:paraId="240894DB" w14:textId="289E43B2" w:rsidR="00C20AD7" w:rsidRPr="007E42F8" w:rsidRDefault="00C20AD7" w:rsidP="00C20AD7">
            <w:pPr>
              <w:jc w:val="right"/>
              <w:rPr>
                <w:color w:val="000000"/>
                <w:sz w:val="20"/>
                <w:szCs w:val="20"/>
              </w:rPr>
            </w:pPr>
            <w:r w:rsidRPr="007E42F8">
              <w:rPr>
                <w:color w:val="000000"/>
                <w:sz w:val="20"/>
                <w:szCs w:val="20"/>
              </w:rPr>
              <w:t>298</w:t>
            </w:r>
          </w:p>
        </w:tc>
        <w:tc>
          <w:tcPr>
            <w:tcW w:w="980" w:type="dxa"/>
            <w:tcBorders>
              <w:top w:val="nil"/>
              <w:left w:val="nil"/>
              <w:bottom w:val="single" w:sz="4" w:space="0" w:color="auto"/>
              <w:right w:val="single" w:sz="4" w:space="0" w:color="auto"/>
            </w:tcBorders>
            <w:shd w:val="clear" w:color="auto" w:fill="auto"/>
            <w:noWrap/>
            <w:vAlign w:val="bottom"/>
            <w:hideMark/>
          </w:tcPr>
          <w:p w14:paraId="78436CD9" w14:textId="77777777" w:rsidR="00C20AD7" w:rsidRPr="007E42F8" w:rsidRDefault="00C20AD7" w:rsidP="00C20AD7">
            <w:pPr>
              <w:jc w:val="right"/>
              <w:rPr>
                <w:color w:val="000000"/>
                <w:sz w:val="20"/>
                <w:szCs w:val="20"/>
              </w:rPr>
            </w:pPr>
            <w:r w:rsidRPr="007E42F8">
              <w:rPr>
                <w:color w:val="000000"/>
                <w:sz w:val="20"/>
                <w:szCs w:val="20"/>
              </w:rPr>
              <w:t>35.61</w:t>
            </w:r>
          </w:p>
        </w:tc>
        <w:tc>
          <w:tcPr>
            <w:tcW w:w="1260" w:type="dxa"/>
            <w:tcBorders>
              <w:top w:val="nil"/>
              <w:left w:val="nil"/>
              <w:bottom w:val="single" w:sz="4" w:space="0" w:color="auto"/>
              <w:right w:val="single" w:sz="4" w:space="0" w:color="auto"/>
            </w:tcBorders>
            <w:shd w:val="clear" w:color="auto" w:fill="auto"/>
            <w:noWrap/>
            <w:vAlign w:val="bottom"/>
            <w:hideMark/>
          </w:tcPr>
          <w:p w14:paraId="4DB3B220" w14:textId="77777777" w:rsidR="00C20AD7" w:rsidRPr="007E42F8" w:rsidRDefault="00C20AD7" w:rsidP="00C20AD7">
            <w:pPr>
              <w:jc w:val="right"/>
              <w:rPr>
                <w:color w:val="000000"/>
                <w:sz w:val="20"/>
                <w:szCs w:val="20"/>
              </w:rPr>
            </w:pPr>
            <w:r w:rsidRPr="007E42F8">
              <w:rPr>
                <w:color w:val="000000"/>
                <w:sz w:val="20"/>
                <w:szCs w:val="20"/>
              </w:rPr>
              <w:t>23.43</w:t>
            </w:r>
          </w:p>
        </w:tc>
        <w:tc>
          <w:tcPr>
            <w:tcW w:w="1151" w:type="dxa"/>
            <w:tcBorders>
              <w:top w:val="nil"/>
              <w:left w:val="nil"/>
              <w:bottom w:val="single" w:sz="4" w:space="0" w:color="auto"/>
              <w:right w:val="single" w:sz="4" w:space="0" w:color="auto"/>
            </w:tcBorders>
            <w:shd w:val="clear" w:color="auto" w:fill="auto"/>
            <w:noWrap/>
            <w:vAlign w:val="bottom"/>
            <w:hideMark/>
          </w:tcPr>
          <w:p w14:paraId="01C541AE" w14:textId="77777777" w:rsidR="00C20AD7" w:rsidRPr="007E42F8" w:rsidRDefault="00C20AD7" w:rsidP="00C20AD7">
            <w:pPr>
              <w:jc w:val="right"/>
              <w:rPr>
                <w:color w:val="000000"/>
                <w:sz w:val="20"/>
                <w:szCs w:val="20"/>
              </w:rPr>
            </w:pPr>
            <w:r w:rsidRPr="007E42F8">
              <w:rPr>
                <w:color w:val="000000"/>
                <w:sz w:val="20"/>
                <w:szCs w:val="20"/>
              </w:rPr>
              <w:t>0.51</w:t>
            </w:r>
          </w:p>
        </w:tc>
        <w:tc>
          <w:tcPr>
            <w:tcW w:w="1560" w:type="dxa"/>
            <w:tcBorders>
              <w:top w:val="nil"/>
              <w:left w:val="nil"/>
              <w:bottom w:val="single" w:sz="4" w:space="0" w:color="auto"/>
              <w:right w:val="single" w:sz="4" w:space="0" w:color="auto"/>
            </w:tcBorders>
            <w:shd w:val="clear" w:color="auto" w:fill="auto"/>
            <w:noWrap/>
            <w:vAlign w:val="bottom"/>
            <w:hideMark/>
          </w:tcPr>
          <w:p w14:paraId="077571B4" w14:textId="77777777" w:rsidR="00C20AD7" w:rsidRPr="007E42F8" w:rsidRDefault="00C20AD7" w:rsidP="00C20AD7">
            <w:pPr>
              <w:jc w:val="right"/>
              <w:rPr>
                <w:color w:val="000000"/>
                <w:sz w:val="20"/>
                <w:szCs w:val="20"/>
              </w:rPr>
            </w:pPr>
            <w:r w:rsidRPr="007E42F8">
              <w:rPr>
                <w:color w:val="000000"/>
                <w:sz w:val="20"/>
                <w:szCs w:val="20"/>
              </w:rPr>
              <w:t>99.83</w:t>
            </w:r>
          </w:p>
        </w:tc>
      </w:tr>
      <w:tr w:rsidR="00C20AD7" w:rsidRPr="00C20AD7" w14:paraId="079A603E" w14:textId="77777777" w:rsidTr="00C20AD7">
        <w:trPr>
          <w:trHeight w:val="288"/>
        </w:trPr>
        <w:tc>
          <w:tcPr>
            <w:tcW w:w="1051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8329C" w14:textId="77777777" w:rsidR="00C20AD7" w:rsidRPr="007E42F8" w:rsidRDefault="00C20AD7" w:rsidP="00C20AD7">
            <w:pPr>
              <w:jc w:val="center"/>
              <w:rPr>
                <w:b/>
                <w:bCs/>
                <w:color w:val="000000"/>
                <w:sz w:val="20"/>
                <w:szCs w:val="20"/>
              </w:rPr>
            </w:pPr>
            <w:r w:rsidRPr="007E42F8">
              <w:rPr>
                <w:b/>
                <w:bCs/>
                <w:color w:val="000000"/>
                <w:sz w:val="20"/>
                <w:szCs w:val="20"/>
              </w:rPr>
              <w:t>Variable for Controlling Category -</w:t>
            </w:r>
            <w:r w:rsidRPr="007E42F8">
              <w:rPr>
                <w:b/>
                <w:bCs/>
                <w:i/>
                <w:iCs/>
                <w:color w:val="000000"/>
                <w:sz w:val="20"/>
                <w:szCs w:val="20"/>
              </w:rPr>
              <w:t xml:space="preserve"> Financial Development</w:t>
            </w:r>
          </w:p>
        </w:tc>
      </w:tr>
      <w:tr w:rsidR="00C20AD7" w:rsidRPr="00C20AD7" w14:paraId="24A15889"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86AEEA2" w14:textId="77777777" w:rsidR="00C20AD7" w:rsidRPr="007E42F8" w:rsidRDefault="00C20AD7" w:rsidP="00C20AD7">
            <w:pPr>
              <w:rPr>
                <w:color w:val="000000"/>
                <w:sz w:val="20"/>
                <w:szCs w:val="20"/>
              </w:rPr>
            </w:pPr>
            <w:r w:rsidRPr="007E42F8">
              <w:rPr>
                <w:color w:val="000000"/>
                <w:sz w:val="20"/>
                <w:szCs w:val="20"/>
              </w:rPr>
              <w:t>Financial Deepening (M2-to-GDP)</w:t>
            </w:r>
          </w:p>
        </w:tc>
        <w:tc>
          <w:tcPr>
            <w:tcW w:w="1880" w:type="dxa"/>
            <w:tcBorders>
              <w:top w:val="nil"/>
              <w:left w:val="nil"/>
              <w:bottom w:val="single" w:sz="4" w:space="0" w:color="auto"/>
              <w:right w:val="single" w:sz="4" w:space="0" w:color="auto"/>
            </w:tcBorders>
            <w:shd w:val="clear" w:color="auto" w:fill="auto"/>
            <w:noWrap/>
            <w:vAlign w:val="bottom"/>
            <w:hideMark/>
          </w:tcPr>
          <w:p w14:paraId="49519AF6" w14:textId="3491BEA5" w:rsidR="00C20AD7" w:rsidRPr="007E42F8" w:rsidRDefault="00C20AD7" w:rsidP="00C20AD7">
            <w:pPr>
              <w:jc w:val="right"/>
              <w:rPr>
                <w:color w:val="000000"/>
                <w:sz w:val="20"/>
                <w:szCs w:val="20"/>
              </w:rPr>
            </w:pPr>
            <w:r w:rsidRPr="007E42F8">
              <w:rPr>
                <w:color w:val="000000"/>
                <w:sz w:val="20"/>
                <w:szCs w:val="20"/>
              </w:rPr>
              <w:t>6377</w:t>
            </w:r>
          </w:p>
        </w:tc>
        <w:tc>
          <w:tcPr>
            <w:tcW w:w="980" w:type="dxa"/>
            <w:tcBorders>
              <w:top w:val="nil"/>
              <w:left w:val="nil"/>
              <w:bottom w:val="single" w:sz="4" w:space="0" w:color="auto"/>
              <w:right w:val="single" w:sz="4" w:space="0" w:color="auto"/>
            </w:tcBorders>
            <w:shd w:val="clear" w:color="auto" w:fill="auto"/>
            <w:noWrap/>
            <w:vAlign w:val="bottom"/>
            <w:hideMark/>
          </w:tcPr>
          <w:p w14:paraId="5AB2AE9A" w14:textId="77777777" w:rsidR="00C20AD7" w:rsidRPr="007E42F8" w:rsidRDefault="00C20AD7" w:rsidP="00C20AD7">
            <w:pPr>
              <w:jc w:val="right"/>
              <w:rPr>
                <w:color w:val="000000"/>
                <w:sz w:val="20"/>
                <w:szCs w:val="20"/>
              </w:rPr>
            </w:pPr>
            <w:r w:rsidRPr="007E42F8">
              <w:rPr>
                <w:color w:val="000000"/>
                <w:sz w:val="20"/>
                <w:szCs w:val="20"/>
              </w:rPr>
              <w:t>46.87</w:t>
            </w:r>
          </w:p>
        </w:tc>
        <w:tc>
          <w:tcPr>
            <w:tcW w:w="1260" w:type="dxa"/>
            <w:tcBorders>
              <w:top w:val="nil"/>
              <w:left w:val="nil"/>
              <w:bottom w:val="single" w:sz="4" w:space="0" w:color="auto"/>
              <w:right w:val="single" w:sz="4" w:space="0" w:color="auto"/>
            </w:tcBorders>
            <w:shd w:val="clear" w:color="auto" w:fill="auto"/>
            <w:noWrap/>
            <w:vAlign w:val="bottom"/>
            <w:hideMark/>
          </w:tcPr>
          <w:p w14:paraId="13E11E9E" w14:textId="77777777" w:rsidR="00C20AD7" w:rsidRPr="007E42F8" w:rsidRDefault="00C20AD7" w:rsidP="00C20AD7">
            <w:pPr>
              <w:jc w:val="right"/>
              <w:rPr>
                <w:color w:val="000000"/>
                <w:sz w:val="20"/>
                <w:szCs w:val="20"/>
              </w:rPr>
            </w:pPr>
            <w:r w:rsidRPr="007E42F8">
              <w:rPr>
                <w:color w:val="000000"/>
                <w:sz w:val="20"/>
                <w:szCs w:val="20"/>
              </w:rPr>
              <w:t>37.02</w:t>
            </w:r>
          </w:p>
        </w:tc>
        <w:tc>
          <w:tcPr>
            <w:tcW w:w="1151" w:type="dxa"/>
            <w:tcBorders>
              <w:top w:val="nil"/>
              <w:left w:val="nil"/>
              <w:bottom w:val="single" w:sz="4" w:space="0" w:color="auto"/>
              <w:right w:val="single" w:sz="4" w:space="0" w:color="auto"/>
            </w:tcBorders>
            <w:shd w:val="clear" w:color="auto" w:fill="auto"/>
            <w:noWrap/>
            <w:vAlign w:val="bottom"/>
            <w:hideMark/>
          </w:tcPr>
          <w:p w14:paraId="3E60509E" w14:textId="77777777" w:rsidR="00C20AD7" w:rsidRPr="007E42F8" w:rsidRDefault="00C20AD7" w:rsidP="00C20AD7">
            <w:pPr>
              <w:jc w:val="right"/>
              <w:rPr>
                <w:color w:val="000000"/>
                <w:sz w:val="20"/>
                <w:szCs w:val="20"/>
              </w:rPr>
            </w:pPr>
            <w:r w:rsidRPr="007E42F8">
              <w:rPr>
                <w:color w:val="000000"/>
                <w:sz w:val="20"/>
                <w:szCs w:val="20"/>
              </w:rPr>
              <w:t>2.86</w:t>
            </w:r>
          </w:p>
        </w:tc>
        <w:tc>
          <w:tcPr>
            <w:tcW w:w="1560" w:type="dxa"/>
            <w:tcBorders>
              <w:top w:val="nil"/>
              <w:left w:val="nil"/>
              <w:bottom w:val="single" w:sz="4" w:space="0" w:color="auto"/>
              <w:right w:val="single" w:sz="4" w:space="0" w:color="auto"/>
            </w:tcBorders>
            <w:shd w:val="clear" w:color="auto" w:fill="auto"/>
            <w:noWrap/>
            <w:vAlign w:val="bottom"/>
            <w:hideMark/>
          </w:tcPr>
          <w:p w14:paraId="1001803D" w14:textId="77777777" w:rsidR="00C20AD7" w:rsidRPr="007E42F8" w:rsidRDefault="00C20AD7" w:rsidP="00C20AD7">
            <w:pPr>
              <w:jc w:val="right"/>
              <w:rPr>
                <w:color w:val="000000"/>
                <w:sz w:val="20"/>
                <w:szCs w:val="20"/>
              </w:rPr>
            </w:pPr>
            <w:r w:rsidRPr="007E42F8">
              <w:rPr>
                <w:color w:val="000000"/>
                <w:sz w:val="20"/>
                <w:szCs w:val="20"/>
              </w:rPr>
              <w:t>395.67</w:t>
            </w:r>
          </w:p>
        </w:tc>
      </w:tr>
      <w:tr w:rsidR="00C20AD7" w:rsidRPr="00C20AD7" w14:paraId="1673C5DB"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CCE5855" w14:textId="77777777" w:rsidR="00C20AD7" w:rsidRPr="007E42F8" w:rsidRDefault="00C20AD7" w:rsidP="00C20AD7">
            <w:pPr>
              <w:rPr>
                <w:color w:val="000000"/>
                <w:sz w:val="20"/>
                <w:szCs w:val="20"/>
              </w:rPr>
            </w:pPr>
            <w:r w:rsidRPr="007E42F8">
              <w:rPr>
                <w:color w:val="000000"/>
                <w:sz w:val="20"/>
                <w:szCs w:val="20"/>
              </w:rPr>
              <w:t>Bank Account (% population)</w:t>
            </w:r>
          </w:p>
        </w:tc>
        <w:tc>
          <w:tcPr>
            <w:tcW w:w="1880" w:type="dxa"/>
            <w:tcBorders>
              <w:top w:val="nil"/>
              <w:left w:val="nil"/>
              <w:bottom w:val="single" w:sz="4" w:space="0" w:color="auto"/>
              <w:right w:val="single" w:sz="4" w:space="0" w:color="auto"/>
            </w:tcBorders>
            <w:shd w:val="clear" w:color="auto" w:fill="auto"/>
            <w:noWrap/>
            <w:vAlign w:val="bottom"/>
            <w:hideMark/>
          </w:tcPr>
          <w:p w14:paraId="731FA98A" w14:textId="78EC0A43" w:rsidR="00C20AD7" w:rsidRPr="007E42F8" w:rsidRDefault="00C20AD7" w:rsidP="00C20AD7">
            <w:pPr>
              <w:jc w:val="right"/>
              <w:rPr>
                <w:color w:val="000000"/>
                <w:sz w:val="20"/>
                <w:szCs w:val="20"/>
              </w:rPr>
            </w:pPr>
            <w:r w:rsidRPr="007E42F8">
              <w:rPr>
                <w:color w:val="000000"/>
                <w:sz w:val="20"/>
                <w:szCs w:val="20"/>
              </w:rPr>
              <w:t>416</w:t>
            </w:r>
          </w:p>
        </w:tc>
        <w:tc>
          <w:tcPr>
            <w:tcW w:w="980" w:type="dxa"/>
            <w:tcBorders>
              <w:top w:val="nil"/>
              <w:left w:val="nil"/>
              <w:bottom w:val="single" w:sz="4" w:space="0" w:color="auto"/>
              <w:right w:val="single" w:sz="4" w:space="0" w:color="auto"/>
            </w:tcBorders>
            <w:shd w:val="clear" w:color="auto" w:fill="auto"/>
            <w:noWrap/>
            <w:vAlign w:val="bottom"/>
            <w:hideMark/>
          </w:tcPr>
          <w:p w14:paraId="20B80C38" w14:textId="77777777" w:rsidR="00C20AD7" w:rsidRPr="007E42F8" w:rsidRDefault="00C20AD7" w:rsidP="00C20AD7">
            <w:pPr>
              <w:jc w:val="right"/>
              <w:rPr>
                <w:color w:val="000000"/>
                <w:sz w:val="20"/>
                <w:szCs w:val="20"/>
              </w:rPr>
            </w:pPr>
            <w:r w:rsidRPr="007E42F8">
              <w:rPr>
                <w:color w:val="000000"/>
                <w:sz w:val="20"/>
                <w:szCs w:val="20"/>
              </w:rPr>
              <w:t>54.14</w:t>
            </w:r>
          </w:p>
        </w:tc>
        <w:tc>
          <w:tcPr>
            <w:tcW w:w="1260" w:type="dxa"/>
            <w:tcBorders>
              <w:top w:val="nil"/>
              <w:left w:val="nil"/>
              <w:bottom w:val="single" w:sz="4" w:space="0" w:color="auto"/>
              <w:right w:val="single" w:sz="4" w:space="0" w:color="auto"/>
            </w:tcBorders>
            <w:shd w:val="clear" w:color="auto" w:fill="auto"/>
            <w:noWrap/>
            <w:vAlign w:val="bottom"/>
            <w:hideMark/>
          </w:tcPr>
          <w:p w14:paraId="4FB98833" w14:textId="77777777" w:rsidR="00C20AD7" w:rsidRPr="007E42F8" w:rsidRDefault="00C20AD7" w:rsidP="00C20AD7">
            <w:pPr>
              <w:jc w:val="right"/>
              <w:rPr>
                <w:color w:val="000000"/>
                <w:sz w:val="20"/>
                <w:szCs w:val="20"/>
              </w:rPr>
            </w:pPr>
            <w:r w:rsidRPr="007E42F8">
              <w:rPr>
                <w:color w:val="000000"/>
                <w:sz w:val="20"/>
                <w:szCs w:val="20"/>
              </w:rPr>
              <w:t>30.66</w:t>
            </w:r>
          </w:p>
        </w:tc>
        <w:tc>
          <w:tcPr>
            <w:tcW w:w="1151" w:type="dxa"/>
            <w:tcBorders>
              <w:top w:val="nil"/>
              <w:left w:val="nil"/>
              <w:bottom w:val="single" w:sz="4" w:space="0" w:color="auto"/>
              <w:right w:val="single" w:sz="4" w:space="0" w:color="auto"/>
            </w:tcBorders>
            <w:shd w:val="clear" w:color="auto" w:fill="auto"/>
            <w:noWrap/>
            <w:vAlign w:val="bottom"/>
            <w:hideMark/>
          </w:tcPr>
          <w:p w14:paraId="1BAAEDC9" w14:textId="77777777" w:rsidR="00C20AD7" w:rsidRPr="007E42F8" w:rsidRDefault="00C20AD7" w:rsidP="00C20AD7">
            <w:pPr>
              <w:jc w:val="right"/>
              <w:rPr>
                <w:color w:val="000000"/>
                <w:sz w:val="20"/>
                <w:szCs w:val="20"/>
              </w:rPr>
            </w:pPr>
            <w:r w:rsidRPr="007E42F8">
              <w:rPr>
                <w:color w:val="000000"/>
                <w:sz w:val="20"/>
                <w:szCs w:val="20"/>
              </w:rPr>
              <w:t>0.40</w:t>
            </w:r>
          </w:p>
        </w:tc>
        <w:tc>
          <w:tcPr>
            <w:tcW w:w="1560" w:type="dxa"/>
            <w:tcBorders>
              <w:top w:val="nil"/>
              <w:left w:val="nil"/>
              <w:bottom w:val="single" w:sz="4" w:space="0" w:color="auto"/>
              <w:right w:val="single" w:sz="4" w:space="0" w:color="auto"/>
            </w:tcBorders>
            <w:shd w:val="clear" w:color="auto" w:fill="auto"/>
            <w:noWrap/>
            <w:vAlign w:val="bottom"/>
            <w:hideMark/>
          </w:tcPr>
          <w:p w14:paraId="07710905" w14:textId="77777777" w:rsidR="00C20AD7" w:rsidRPr="007E42F8" w:rsidRDefault="00C20AD7" w:rsidP="00C20AD7">
            <w:pPr>
              <w:jc w:val="right"/>
              <w:rPr>
                <w:color w:val="000000"/>
                <w:sz w:val="20"/>
                <w:szCs w:val="20"/>
              </w:rPr>
            </w:pPr>
            <w:r w:rsidRPr="007E42F8">
              <w:rPr>
                <w:color w:val="000000"/>
                <w:sz w:val="20"/>
                <w:szCs w:val="20"/>
              </w:rPr>
              <w:t>100.00</w:t>
            </w:r>
          </w:p>
        </w:tc>
      </w:tr>
      <w:tr w:rsidR="00C20AD7" w:rsidRPr="00C20AD7" w14:paraId="0BB13650"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27A2F82" w14:textId="77777777" w:rsidR="00C20AD7" w:rsidRPr="007E42F8" w:rsidRDefault="00C20AD7" w:rsidP="00C20AD7">
            <w:pPr>
              <w:rPr>
                <w:color w:val="000000"/>
                <w:sz w:val="20"/>
                <w:szCs w:val="20"/>
              </w:rPr>
            </w:pPr>
            <w:r w:rsidRPr="007E42F8">
              <w:rPr>
                <w:color w:val="000000"/>
                <w:sz w:val="20"/>
                <w:szCs w:val="20"/>
              </w:rPr>
              <w:t>Market Capitalization (% GDP)</w:t>
            </w:r>
          </w:p>
        </w:tc>
        <w:tc>
          <w:tcPr>
            <w:tcW w:w="1880" w:type="dxa"/>
            <w:tcBorders>
              <w:top w:val="nil"/>
              <w:left w:val="nil"/>
              <w:bottom w:val="single" w:sz="4" w:space="0" w:color="auto"/>
              <w:right w:val="single" w:sz="4" w:space="0" w:color="auto"/>
            </w:tcBorders>
            <w:shd w:val="clear" w:color="auto" w:fill="auto"/>
            <w:noWrap/>
            <w:vAlign w:val="bottom"/>
            <w:hideMark/>
          </w:tcPr>
          <w:p w14:paraId="547D7CF8" w14:textId="446A1CD8" w:rsidR="00C20AD7" w:rsidRPr="007E42F8" w:rsidRDefault="00C20AD7" w:rsidP="00C20AD7">
            <w:pPr>
              <w:jc w:val="right"/>
              <w:rPr>
                <w:color w:val="000000"/>
                <w:sz w:val="20"/>
                <w:szCs w:val="20"/>
              </w:rPr>
            </w:pPr>
            <w:r w:rsidRPr="007E42F8">
              <w:rPr>
                <w:color w:val="000000"/>
                <w:sz w:val="20"/>
                <w:szCs w:val="20"/>
              </w:rPr>
              <w:t>2123</w:t>
            </w:r>
          </w:p>
        </w:tc>
        <w:tc>
          <w:tcPr>
            <w:tcW w:w="980" w:type="dxa"/>
            <w:tcBorders>
              <w:top w:val="nil"/>
              <w:left w:val="nil"/>
              <w:bottom w:val="single" w:sz="4" w:space="0" w:color="auto"/>
              <w:right w:val="single" w:sz="4" w:space="0" w:color="auto"/>
            </w:tcBorders>
            <w:shd w:val="clear" w:color="auto" w:fill="auto"/>
            <w:noWrap/>
            <w:vAlign w:val="bottom"/>
            <w:hideMark/>
          </w:tcPr>
          <w:p w14:paraId="6D3021EA" w14:textId="77777777" w:rsidR="00C20AD7" w:rsidRPr="007E42F8" w:rsidRDefault="00C20AD7" w:rsidP="00C20AD7">
            <w:pPr>
              <w:jc w:val="right"/>
              <w:rPr>
                <w:color w:val="000000"/>
                <w:sz w:val="20"/>
                <w:szCs w:val="20"/>
              </w:rPr>
            </w:pPr>
            <w:r w:rsidRPr="007E42F8">
              <w:rPr>
                <w:color w:val="000000"/>
                <w:sz w:val="20"/>
                <w:szCs w:val="20"/>
              </w:rPr>
              <w:t>60.03</w:t>
            </w:r>
          </w:p>
        </w:tc>
        <w:tc>
          <w:tcPr>
            <w:tcW w:w="1260" w:type="dxa"/>
            <w:tcBorders>
              <w:top w:val="nil"/>
              <w:left w:val="nil"/>
              <w:bottom w:val="single" w:sz="4" w:space="0" w:color="auto"/>
              <w:right w:val="single" w:sz="4" w:space="0" w:color="auto"/>
            </w:tcBorders>
            <w:shd w:val="clear" w:color="auto" w:fill="auto"/>
            <w:noWrap/>
            <w:vAlign w:val="bottom"/>
            <w:hideMark/>
          </w:tcPr>
          <w:p w14:paraId="6A91F675" w14:textId="77777777" w:rsidR="00C20AD7" w:rsidRPr="007E42F8" w:rsidRDefault="00C20AD7" w:rsidP="00C20AD7">
            <w:pPr>
              <w:jc w:val="right"/>
              <w:rPr>
                <w:color w:val="000000"/>
                <w:sz w:val="20"/>
                <w:szCs w:val="20"/>
              </w:rPr>
            </w:pPr>
            <w:r w:rsidRPr="007E42F8">
              <w:rPr>
                <w:color w:val="000000"/>
                <w:sz w:val="20"/>
                <w:szCs w:val="20"/>
              </w:rPr>
              <w:t>96.21</w:t>
            </w:r>
          </w:p>
        </w:tc>
        <w:tc>
          <w:tcPr>
            <w:tcW w:w="1151" w:type="dxa"/>
            <w:tcBorders>
              <w:top w:val="nil"/>
              <w:left w:val="nil"/>
              <w:bottom w:val="single" w:sz="4" w:space="0" w:color="auto"/>
              <w:right w:val="single" w:sz="4" w:space="0" w:color="auto"/>
            </w:tcBorders>
            <w:shd w:val="clear" w:color="auto" w:fill="auto"/>
            <w:noWrap/>
            <w:vAlign w:val="bottom"/>
            <w:hideMark/>
          </w:tcPr>
          <w:p w14:paraId="7CA8C86F" w14:textId="77777777" w:rsidR="00C20AD7" w:rsidRPr="007E42F8" w:rsidRDefault="00C20AD7" w:rsidP="00C20AD7">
            <w:pPr>
              <w:jc w:val="right"/>
              <w:rPr>
                <w:color w:val="000000"/>
                <w:sz w:val="20"/>
                <w:szCs w:val="20"/>
              </w:rPr>
            </w:pPr>
            <w:r w:rsidRPr="007E42F8">
              <w:rPr>
                <w:color w:val="000000"/>
                <w:sz w:val="20"/>
                <w:szCs w:val="20"/>
              </w:rPr>
              <w:t>0.05</w:t>
            </w:r>
          </w:p>
        </w:tc>
        <w:tc>
          <w:tcPr>
            <w:tcW w:w="1560" w:type="dxa"/>
            <w:tcBorders>
              <w:top w:val="nil"/>
              <w:left w:val="nil"/>
              <w:bottom w:val="single" w:sz="4" w:space="0" w:color="auto"/>
              <w:right w:val="single" w:sz="4" w:space="0" w:color="auto"/>
            </w:tcBorders>
            <w:shd w:val="clear" w:color="auto" w:fill="auto"/>
            <w:noWrap/>
            <w:vAlign w:val="bottom"/>
            <w:hideMark/>
          </w:tcPr>
          <w:p w14:paraId="721E33AC" w14:textId="77777777" w:rsidR="00C20AD7" w:rsidRPr="007E42F8" w:rsidRDefault="00C20AD7" w:rsidP="00C20AD7">
            <w:pPr>
              <w:jc w:val="right"/>
              <w:rPr>
                <w:color w:val="000000"/>
                <w:sz w:val="20"/>
                <w:szCs w:val="20"/>
              </w:rPr>
            </w:pPr>
            <w:r w:rsidRPr="007E42F8">
              <w:rPr>
                <w:color w:val="000000"/>
                <w:sz w:val="20"/>
                <w:szCs w:val="20"/>
              </w:rPr>
              <w:t>1273.25</w:t>
            </w:r>
          </w:p>
        </w:tc>
      </w:tr>
      <w:tr w:rsidR="00C20AD7" w:rsidRPr="00C20AD7" w14:paraId="6AE74E0B" w14:textId="77777777" w:rsidTr="00C20AD7">
        <w:trPr>
          <w:trHeight w:val="288"/>
        </w:trPr>
        <w:tc>
          <w:tcPr>
            <w:tcW w:w="1051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D5309" w14:textId="77777777" w:rsidR="00C20AD7" w:rsidRPr="007E42F8" w:rsidRDefault="00C20AD7" w:rsidP="00C20AD7">
            <w:pPr>
              <w:jc w:val="center"/>
              <w:rPr>
                <w:b/>
                <w:bCs/>
                <w:color w:val="000000"/>
                <w:sz w:val="20"/>
                <w:szCs w:val="20"/>
              </w:rPr>
            </w:pPr>
            <w:r w:rsidRPr="007E42F8">
              <w:rPr>
                <w:b/>
                <w:bCs/>
                <w:color w:val="000000"/>
                <w:sz w:val="20"/>
                <w:szCs w:val="20"/>
              </w:rPr>
              <w:t>Variable for Controlling Category -</w:t>
            </w:r>
            <w:r w:rsidRPr="007E42F8">
              <w:rPr>
                <w:b/>
                <w:bCs/>
                <w:i/>
                <w:iCs/>
                <w:color w:val="000000"/>
                <w:sz w:val="20"/>
                <w:szCs w:val="20"/>
              </w:rPr>
              <w:t xml:space="preserve"> Capital Account Openness</w:t>
            </w:r>
          </w:p>
        </w:tc>
      </w:tr>
      <w:tr w:rsidR="00C20AD7" w:rsidRPr="00C20AD7" w14:paraId="2143B7FE"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6A9EAAA" w14:textId="77777777" w:rsidR="00C20AD7" w:rsidRPr="007E42F8" w:rsidRDefault="00C20AD7" w:rsidP="00C20AD7">
            <w:pPr>
              <w:rPr>
                <w:color w:val="000000"/>
                <w:sz w:val="20"/>
                <w:szCs w:val="20"/>
              </w:rPr>
            </w:pPr>
            <w:r w:rsidRPr="007E42F8">
              <w:rPr>
                <w:color w:val="000000"/>
                <w:sz w:val="20"/>
                <w:szCs w:val="20"/>
              </w:rPr>
              <w:t>Ito-Chinn Index (-2 to 2)</w:t>
            </w:r>
          </w:p>
        </w:tc>
        <w:tc>
          <w:tcPr>
            <w:tcW w:w="1880" w:type="dxa"/>
            <w:tcBorders>
              <w:top w:val="nil"/>
              <w:left w:val="nil"/>
              <w:bottom w:val="single" w:sz="4" w:space="0" w:color="auto"/>
              <w:right w:val="single" w:sz="4" w:space="0" w:color="auto"/>
            </w:tcBorders>
            <w:shd w:val="clear" w:color="auto" w:fill="auto"/>
            <w:noWrap/>
            <w:vAlign w:val="bottom"/>
            <w:hideMark/>
          </w:tcPr>
          <w:p w14:paraId="7F9C6088" w14:textId="693C13FC" w:rsidR="00C20AD7" w:rsidRPr="007E42F8" w:rsidRDefault="00C20AD7" w:rsidP="00C20AD7">
            <w:pPr>
              <w:jc w:val="right"/>
              <w:rPr>
                <w:color w:val="000000"/>
                <w:sz w:val="20"/>
                <w:szCs w:val="20"/>
              </w:rPr>
            </w:pPr>
            <w:r w:rsidRPr="007E42F8">
              <w:rPr>
                <w:color w:val="000000"/>
                <w:sz w:val="20"/>
                <w:szCs w:val="20"/>
              </w:rPr>
              <w:t>6857</w:t>
            </w:r>
          </w:p>
        </w:tc>
        <w:tc>
          <w:tcPr>
            <w:tcW w:w="980" w:type="dxa"/>
            <w:tcBorders>
              <w:top w:val="nil"/>
              <w:left w:val="nil"/>
              <w:bottom w:val="single" w:sz="4" w:space="0" w:color="auto"/>
              <w:right w:val="single" w:sz="4" w:space="0" w:color="auto"/>
            </w:tcBorders>
            <w:shd w:val="clear" w:color="auto" w:fill="auto"/>
            <w:noWrap/>
            <w:vAlign w:val="bottom"/>
            <w:hideMark/>
          </w:tcPr>
          <w:p w14:paraId="2D304D60" w14:textId="77777777" w:rsidR="00C20AD7" w:rsidRPr="007E42F8" w:rsidRDefault="00C20AD7" w:rsidP="00C20AD7">
            <w:pPr>
              <w:jc w:val="right"/>
              <w:rPr>
                <w:color w:val="000000"/>
                <w:sz w:val="20"/>
                <w:szCs w:val="20"/>
              </w:rPr>
            </w:pPr>
            <w:r w:rsidRPr="007E42F8">
              <w:rPr>
                <w:color w:val="000000"/>
                <w:sz w:val="20"/>
                <w:szCs w:val="20"/>
              </w:rPr>
              <w:t>0.01</w:t>
            </w:r>
          </w:p>
        </w:tc>
        <w:tc>
          <w:tcPr>
            <w:tcW w:w="1260" w:type="dxa"/>
            <w:tcBorders>
              <w:top w:val="nil"/>
              <w:left w:val="nil"/>
              <w:bottom w:val="single" w:sz="4" w:space="0" w:color="auto"/>
              <w:right w:val="single" w:sz="4" w:space="0" w:color="auto"/>
            </w:tcBorders>
            <w:shd w:val="clear" w:color="auto" w:fill="auto"/>
            <w:noWrap/>
            <w:vAlign w:val="bottom"/>
            <w:hideMark/>
          </w:tcPr>
          <w:p w14:paraId="31151B0A" w14:textId="77777777" w:rsidR="00C20AD7" w:rsidRPr="007E42F8" w:rsidRDefault="00C20AD7" w:rsidP="00C20AD7">
            <w:pPr>
              <w:jc w:val="right"/>
              <w:rPr>
                <w:color w:val="000000"/>
                <w:sz w:val="20"/>
                <w:szCs w:val="20"/>
              </w:rPr>
            </w:pPr>
            <w:r w:rsidRPr="007E42F8">
              <w:rPr>
                <w:color w:val="000000"/>
                <w:sz w:val="20"/>
                <w:szCs w:val="20"/>
              </w:rPr>
              <w:t>1.54</w:t>
            </w:r>
          </w:p>
        </w:tc>
        <w:tc>
          <w:tcPr>
            <w:tcW w:w="1151" w:type="dxa"/>
            <w:tcBorders>
              <w:top w:val="nil"/>
              <w:left w:val="nil"/>
              <w:bottom w:val="single" w:sz="4" w:space="0" w:color="auto"/>
              <w:right w:val="single" w:sz="4" w:space="0" w:color="auto"/>
            </w:tcBorders>
            <w:shd w:val="clear" w:color="auto" w:fill="auto"/>
            <w:noWrap/>
            <w:vAlign w:val="bottom"/>
            <w:hideMark/>
          </w:tcPr>
          <w:p w14:paraId="11BB2D32" w14:textId="77777777" w:rsidR="00C20AD7" w:rsidRPr="007E42F8" w:rsidRDefault="00C20AD7" w:rsidP="00C20AD7">
            <w:pPr>
              <w:jc w:val="right"/>
              <w:rPr>
                <w:color w:val="000000"/>
                <w:sz w:val="20"/>
                <w:szCs w:val="20"/>
              </w:rPr>
            </w:pPr>
            <w:r w:rsidRPr="007E42F8">
              <w:rPr>
                <w:color w:val="000000"/>
                <w:sz w:val="20"/>
                <w:szCs w:val="20"/>
              </w:rPr>
              <w:t>-1.92</w:t>
            </w:r>
          </w:p>
        </w:tc>
        <w:tc>
          <w:tcPr>
            <w:tcW w:w="1560" w:type="dxa"/>
            <w:tcBorders>
              <w:top w:val="nil"/>
              <w:left w:val="nil"/>
              <w:bottom w:val="single" w:sz="4" w:space="0" w:color="auto"/>
              <w:right w:val="single" w:sz="4" w:space="0" w:color="auto"/>
            </w:tcBorders>
            <w:shd w:val="clear" w:color="auto" w:fill="auto"/>
            <w:noWrap/>
            <w:vAlign w:val="bottom"/>
            <w:hideMark/>
          </w:tcPr>
          <w:p w14:paraId="54C1937B" w14:textId="77777777" w:rsidR="00C20AD7" w:rsidRPr="007E42F8" w:rsidRDefault="00C20AD7" w:rsidP="00C20AD7">
            <w:pPr>
              <w:jc w:val="right"/>
              <w:rPr>
                <w:color w:val="000000"/>
                <w:sz w:val="20"/>
                <w:szCs w:val="20"/>
              </w:rPr>
            </w:pPr>
            <w:r w:rsidRPr="007E42F8">
              <w:rPr>
                <w:color w:val="000000"/>
                <w:sz w:val="20"/>
                <w:szCs w:val="20"/>
              </w:rPr>
              <w:t>2.35</w:t>
            </w:r>
          </w:p>
        </w:tc>
      </w:tr>
      <w:tr w:rsidR="00C20AD7" w:rsidRPr="00C20AD7" w14:paraId="529341B5"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DF64ABD" w14:textId="77777777" w:rsidR="00C20AD7" w:rsidRPr="007E42F8" w:rsidRDefault="00C20AD7" w:rsidP="00C20AD7">
            <w:pPr>
              <w:rPr>
                <w:color w:val="000000"/>
                <w:sz w:val="20"/>
                <w:szCs w:val="20"/>
              </w:rPr>
            </w:pPr>
            <w:r w:rsidRPr="007E42F8">
              <w:rPr>
                <w:color w:val="000000"/>
                <w:sz w:val="20"/>
                <w:szCs w:val="20"/>
              </w:rPr>
              <w:t>Ito-Chinn Index (0 to 1)</w:t>
            </w:r>
          </w:p>
        </w:tc>
        <w:tc>
          <w:tcPr>
            <w:tcW w:w="1880" w:type="dxa"/>
            <w:tcBorders>
              <w:top w:val="nil"/>
              <w:left w:val="nil"/>
              <w:bottom w:val="single" w:sz="4" w:space="0" w:color="auto"/>
              <w:right w:val="single" w:sz="4" w:space="0" w:color="auto"/>
            </w:tcBorders>
            <w:shd w:val="clear" w:color="auto" w:fill="auto"/>
            <w:noWrap/>
            <w:vAlign w:val="bottom"/>
            <w:hideMark/>
          </w:tcPr>
          <w:p w14:paraId="2C9E08BB" w14:textId="1CEC35BA" w:rsidR="00C20AD7" w:rsidRPr="007E42F8" w:rsidRDefault="00C20AD7" w:rsidP="00C20AD7">
            <w:pPr>
              <w:jc w:val="right"/>
              <w:rPr>
                <w:color w:val="000000"/>
                <w:sz w:val="20"/>
                <w:szCs w:val="20"/>
              </w:rPr>
            </w:pPr>
            <w:r w:rsidRPr="007E42F8">
              <w:rPr>
                <w:color w:val="000000"/>
                <w:sz w:val="20"/>
                <w:szCs w:val="20"/>
              </w:rPr>
              <w:t>6857</w:t>
            </w:r>
          </w:p>
        </w:tc>
        <w:tc>
          <w:tcPr>
            <w:tcW w:w="980" w:type="dxa"/>
            <w:tcBorders>
              <w:top w:val="nil"/>
              <w:left w:val="nil"/>
              <w:bottom w:val="single" w:sz="4" w:space="0" w:color="auto"/>
              <w:right w:val="single" w:sz="4" w:space="0" w:color="auto"/>
            </w:tcBorders>
            <w:shd w:val="clear" w:color="auto" w:fill="auto"/>
            <w:noWrap/>
            <w:vAlign w:val="bottom"/>
            <w:hideMark/>
          </w:tcPr>
          <w:p w14:paraId="45C1C021" w14:textId="77777777" w:rsidR="00C20AD7" w:rsidRPr="007E42F8" w:rsidRDefault="00C20AD7" w:rsidP="00C20AD7">
            <w:pPr>
              <w:jc w:val="right"/>
              <w:rPr>
                <w:color w:val="000000"/>
                <w:sz w:val="20"/>
                <w:szCs w:val="20"/>
              </w:rPr>
            </w:pPr>
            <w:r w:rsidRPr="007E42F8">
              <w:rPr>
                <w:color w:val="000000"/>
                <w:sz w:val="20"/>
                <w:szCs w:val="20"/>
              </w:rPr>
              <w:t>0.45</w:t>
            </w:r>
          </w:p>
        </w:tc>
        <w:tc>
          <w:tcPr>
            <w:tcW w:w="1260" w:type="dxa"/>
            <w:tcBorders>
              <w:top w:val="nil"/>
              <w:left w:val="nil"/>
              <w:bottom w:val="single" w:sz="4" w:space="0" w:color="auto"/>
              <w:right w:val="single" w:sz="4" w:space="0" w:color="auto"/>
            </w:tcBorders>
            <w:shd w:val="clear" w:color="auto" w:fill="auto"/>
            <w:noWrap/>
            <w:vAlign w:val="bottom"/>
            <w:hideMark/>
          </w:tcPr>
          <w:p w14:paraId="34F495CB" w14:textId="77777777" w:rsidR="00C20AD7" w:rsidRPr="007E42F8" w:rsidRDefault="00C20AD7" w:rsidP="00C20AD7">
            <w:pPr>
              <w:jc w:val="right"/>
              <w:rPr>
                <w:color w:val="000000"/>
                <w:sz w:val="20"/>
                <w:szCs w:val="20"/>
              </w:rPr>
            </w:pPr>
            <w:r w:rsidRPr="007E42F8">
              <w:rPr>
                <w:color w:val="000000"/>
                <w:sz w:val="20"/>
                <w:szCs w:val="20"/>
              </w:rPr>
              <w:t>0.36</w:t>
            </w:r>
          </w:p>
        </w:tc>
        <w:tc>
          <w:tcPr>
            <w:tcW w:w="1151" w:type="dxa"/>
            <w:tcBorders>
              <w:top w:val="nil"/>
              <w:left w:val="nil"/>
              <w:bottom w:val="single" w:sz="4" w:space="0" w:color="auto"/>
              <w:right w:val="single" w:sz="4" w:space="0" w:color="auto"/>
            </w:tcBorders>
            <w:shd w:val="clear" w:color="auto" w:fill="auto"/>
            <w:noWrap/>
            <w:vAlign w:val="bottom"/>
            <w:hideMark/>
          </w:tcPr>
          <w:p w14:paraId="2623647D" w14:textId="77777777" w:rsidR="00C20AD7" w:rsidRPr="007E42F8" w:rsidRDefault="00C20AD7" w:rsidP="00C20AD7">
            <w:pPr>
              <w:jc w:val="right"/>
              <w:rPr>
                <w:color w:val="000000"/>
                <w:sz w:val="20"/>
                <w:szCs w:val="20"/>
              </w:rPr>
            </w:pPr>
            <w:r w:rsidRPr="007E42F8">
              <w:rPr>
                <w:color w:val="000000"/>
                <w:sz w:val="20"/>
                <w:szCs w:val="20"/>
              </w:rPr>
              <w:t>0.00</w:t>
            </w:r>
          </w:p>
        </w:tc>
        <w:tc>
          <w:tcPr>
            <w:tcW w:w="1560" w:type="dxa"/>
            <w:tcBorders>
              <w:top w:val="nil"/>
              <w:left w:val="nil"/>
              <w:bottom w:val="single" w:sz="4" w:space="0" w:color="auto"/>
              <w:right w:val="single" w:sz="4" w:space="0" w:color="auto"/>
            </w:tcBorders>
            <w:shd w:val="clear" w:color="auto" w:fill="auto"/>
            <w:noWrap/>
            <w:vAlign w:val="bottom"/>
            <w:hideMark/>
          </w:tcPr>
          <w:p w14:paraId="36D2DDC9" w14:textId="77777777" w:rsidR="00C20AD7" w:rsidRPr="007E42F8" w:rsidRDefault="00C20AD7" w:rsidP="00C20AD7">
            <w:pPr>
              <w:jc w:val="right"/>
              <w:rPr>
                <w:color w:val="000000"/>
                <w:sz w:val="20"/>
                <w:szCs w:val="20"/>
              </w:rPr>
            </w:pPr>
            <w:r w:rsidRPr="007E42F8">
              <w:rPr>
                <w:color w:val="000000"/>
                <w:sz w:val="20"/>
                <w:szCs w:val="20"/>
              </w:rPr>
              <w:t>1.00</w:t>
            </w:r>
          </w:p>
        </w:tc>
      </w:tr>
      <w:tr w:rsidR="00C20AD7" w:rsidRPr="00C20AD7" w14:paraId="75A9DAD3" w14:textId="77777777" w:rsidTr="00C20AD7">
        <w:trPr>
          <w:trHeight w:val="288"/>
        </w:trPr>
        <w:tc>
          <w:tcPr>
            <w:tcW w:w="1051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CA6D9" w14:textId="77777777" w:rsidR="00C20AD7" w:rsidRPr="007E42F8" w:rsidRDefault="00C20AD7" w:rsidP="00C20AD7">
            <w:pPr>
              <w:jc w:val="center"/>
              <w:rPr>
                <w:b/>
                <w:bCs/>
                <w:color w:val="000000"/>
                <w:sz w:val="20"/>
                <w:szCs w:val="20"/>
              </w:rPr>
            </w:pPr>
            <w:r w:rsidRPr="007E42F8">
              <w:rPr>
                <w:b/>
                <w:bCs/>
                <w:color w:val="000000"/>
                <w:sz w:val="20"/>
                <w:szCs w:val="20"/>
              </w:rPr>
              <w:t>Variable for Controlling Category -</w:t>
            </w:r>
            <w:r w:rsidRPr="007E42F8">
              <w:rPr>
                <w:b/>
                <w:bCs/>
                <w:i/>
                <w:iCs/>
                <w:color w:val="000000"/>
                <w:sz w:val="20"/>
                <w:szCs w:val="20"/>
              </w:rPr>
              <w:t xml:space="preserve"> Current Account Characteristic</w:t>
            </w:r>
            <w:r w:rsidRPr="007E42F8">
              <w:rPr>
                <w:b/>
                <w:bCs/>
                <w:color w:val="000000"/>
                <w:sz w:val="20"/>
                <w:szCs w:val="20"/>
              </w:rPr>
              <w:t>s</w:t>
            </w:r>
          </w:p>
        </w:tc>
      </w:tr>
      <w:tr w:rsidR="00C20AD7" w:rsidRPr="00C20AD7" w14:paraId="0E9DF11A"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03CC492" w14:textId="77777777" w:rsidR="00C20AD7" w:rsidRPr="007E42F8" w:rsidRDefault="00C20AD7" w:rsidP="00C20AD7">
            <w:pPr>
              <w:rPr>
                <w:color w:val="000000"/>
                <w:sz w:val="20"/>
                <w:szCs w:val="20"/>
              </w:rPr>
            </w:pPr>
            <w:r w:rsidRPr="007E42F8">
              <w:rPr>
                <w:color w:val="000000"/>
                <w:sz w:val="20"/>
                <w:szCs w:val="20"/>
              </w:rPr>
              <w:t>Export (% GDP)</w:t>
            </w:r>
          </w:p>
        </w:tc>
        <w:tc>
          <w:tcPr>
            <w:tcW w:w="1880" w:type="dxa"/>
            <w:tcBorders>
              <w:top w:val="nil"/>
              <w:left w:val="nil"/>
              <w:bottom w:val="single" w:sz="4" w:space="0" w:color="auto"/>
              <w:right w:val="single" w:sz="4" w:space="0" w:color="auto"/>
            </w:tcBorders>
            <w:shd w:val="clear" w:color="auto" w:fill="auto"/>
            <w:noWrap/>
            <w:vAlign w:val="bottom"/>
            <w:hideMark/>
          </w:tcPr>
          <w:p w14:paraId="064DC885" w14:textId="1B133C65" w:rsidR="00C20AD7" w:rsidRPr="007E42F8" w:rsidRDefault="00C20AD7" w:rsidP="00C20AD7">
            <w:pPr>
              <w:jc w:val="right"/>
              <w:rPr>
                <w:color w:val="000000"/>
                <w:sz w:val="20"/>
                <w:szCs w:val="20"/>
              </w:rPr>
            </w:pPr>
            <w:r w:rsidRPr="007E42F8">
              <w:rPr>
                <w:color w:val="000000"/>
                <w:sz w:val="20"/>
                <w:szCs w:val="20"/>
              </w:rPr>
              <w:t>7147</w:t>
            </w:r>
          </w:p>
        </w:tc>
        <w:tc>
          <w:tcPr>
            <w:tcW w:w="980" w:type="dxa"/>
            <w:tcBorders>
              <w:top w:val="nil"/>
              <w:left w:val="nil"/>
              <w:bottom w:val="single" w:sz="4" w:space="0" w:color="auto"/>
              <w:right w:val="single" w:sz="4" w:space="0" w:color="auto"/>
            </w:tcBorders>
            <w:shd w:val="clear" w:color="auto" w:fill="auto"/>
            <w:noWrap/>
            <w:vAlign w:val="bottom"/>
            <w:hideMark/>
          </w:tcPr>
          <w:p w14:paraId="7112419F" w14:textId="77777777" w:rsidR="00C20AD7" w:rsidRPr="007E42F8" w:rsidRDefault="00C20AD7" w:rsidP="00C20AD7">
            <w:pPr>
              <w:jc w:val="right"/>
              <w:rPr>
                <w:color w:val="000000"/>
                <w:sz w:val="20"/>
                <w:szCs w:val="20"/>
              </w:rPr>
            </w:pPr>
            <w:r w:rsidRPr="007E42F8">
              <w:rPr>
                <w:color w:val="000000"/>
                <w:sz w:val="20"/>
                <w:szCs w:val="20"/>
              </w:rPr>
              <w:t>37.44</w:t>
            </w:r>
          </w:p>
        </w:tc>
        <w:tc>
          <w:tcPr>
            <w:tcW w:w="1260" w:type="dxa"/>
            <w:tcBorders>
              <w:top w:val="nil"/>
              <w:left w:val="nil"/>
              <w:bottom w:val="single" w:sz="4" w:space="0" w:color="auto"/>
              <w:right w:val="single" w:sz="4" w:space="0" w:color="auto"/>
            </w:tcBorders>
            <w:shd w:val="clear" w:color="auto" w:fill="auto"/>
            <w:noWrap/>
            <w:vAlign w:val="bottom"/>
            <w:hideMark/>
          </w:tcPr>
          <w:p w14:paraId="646C7083" w14:textId="77777777" w:rsidR="00C20AD7" w:rsidRPr="007E42F8" w:rsidRDefault="00C20AD7" w:rsidP="00C20AD7">
            <w:pPr>
              <w:jc w:val="right"/>
              <w:rPr>
                <w:color w:val="000000"/>
                <w:sz w:val="20"/>
                <w:szCs w:val="20"/>
              </w:rPr>
            </w:pPr>
            <w:r w:rsidRPr="007E42F8">
              <w:rPr>
                <w:color w:val="000000"/>
                <w:sz w:val="20"/>
                <w:szCs w:val="20"/>
              </w:rPr>
              <w:t>27.34</w:t>
            </w:r>
          </w:p>
        </w:tc>
        <w:tc>
          <w:tcPr>
            <w:tcW w:w="1151" w:type="dxa"/>
            <w:tcBorders>
              <w:top w:val="nil"/>
              <w:left w:val="nil"/>
              <w:bottom w:val="single" w:sz="4" w:space="0" w:color="auto"/>
              <w:right w:val="single" w:sz="4" w:space="0" w:color="auto"/>
            </w:tcBorders>
            <w:shd w:val="clear" w:color="auto" w:fill="auto"/>
            <w:noWrap/>
            <w:vAlign w:val="bottom"/>
            <w:hideMark/>
          </w:tcPr>
          <w:p w14:paraId="2F254641" w14:textId="77777777" w:rsidR="00C20AD7" w:rsidRPr="007E42F8" w:rsidRDefault="00C20AD7" w:rsidP="00C20AD7">
            <w:pPr>
              <w:jc w:val="right"/>
              <w:rPr>
                <w:color w:val="000000"/>
                <w:sz w:val="20"/>
                <w:szCs w:val="20"/>
              </w:rPr>
            </w:pPr>
            <w:r w:rsidRPr="007E42F8">
              <w:rPr>
                <w:color w:val="000000"/>
                <w:sz w:val="20"/>
                <w:szCs w:val="20"/>
              </w:rPr>
              <w:t>0.01</w:t>
            </w:r>
          </w:p>
        </w:tc>
        <w:tc>
          <w:tcPr>
            <w:tcW w:w="1560" w:type="dxa"/>
            <w:tcBorders>
              <w:top w:val="nil"/>
              <w:left w:val="nil"/>
              <w:bottom w:val="single" w:sz="4" w:space="0" w:color="auto"/>
              <w:right w:val="single" w:sz="4" w:space="0" w:color="auto"/>
            </w:tcBorders>
            <w:shd w:val="clear" w:color="auto" w:fill="auto"/>
            <w:noWrap/>
            <w:vAlign w:val="bottom"/>
            <w:hideMark/>
          </w:tcPr>
          <w:p w14:paraId="4404FE56" w14:textId="77777777" w:rsidR="00C20AD7" w:rsidRPr="007E42F8" w:rsidRDefault="00C20AD7" w:rsidP="00C20AD7">
            <w:pPr>
              <w:jc w:val="right"/>
              <w:rPr>
                <w:color w:val="000000"/>
                <w:sz w:val="20"/>
                <w:szCs w:val="20"/>
              </w:rPr>
            </w:pPr>
            <w:r w:rsidRPr="007E42F8">
              <w:rPr>
                <w:color w:val="000000"/>
                <w:sz w:val="20"/>
                <w:szCs w:val="20"/>
              </w:rPr>
              <w:t>228.99</w:t>
            </w:r>
          </w:p>
        </w:tc>
      </w:tr>
      <w:tr w:rsidR="00C20AD7" w:rsidRPr="00C20AD7" w14:paraId="5A5F97F2"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C372D56" w14:textId="77777777" w:rsidR="00C20AD7" w:rsidRPr="007E42F8" w:rsidRDefault="00C20AD7" w:rsidP="00C20AD7">
            <w:pPr>
              <w:rPr>
                <w:color w:val="000000"/>
                <w:sz w:val="20"/>
                <w:szCs w:val="20"/>
              </w:rPr>
            </w:pPr>
            <w:r w:rsidRPr="007E42F8">
              <w:rPr>
                <w:color w:val="000000"/>
                <w:sz w:val="20"/>
                <w:szCs w:val="20"/>
              </w:rPr>
              <w:t>Net FDI Inflow (% GDP)</w:t>
            </w:r>
          </w:p>
        </w:tc>
        <w:tc>
          <w:tcPr>
            <w:tcW w:w="1880" w:type="dxa"/>
            <w:tcBorders>
              <w:top w:val="nil"/>
              <w:left w:val="nil"/>
              <w:bottom w:val="single" w:sz="4" w:space="0" w:color="auto"/>
              <w:right w:val="single" w:sz="4" w:space="0" w:color="auto"/>
            </w:tcBorders>
            <w:shd w:val="clear" w:color="auto" w:fill="auto"/>
            <w:noWrap/>
            <w:vAlign w:val="bottom"/>
            <w:hideMark/>
          </w:tcPr>
          <w:p w14:paraId="4BD3339A" w14:textId="58C43110" w:rsidR="00C20AD7" w:rsidRPr="007E42F8" w:rsidRDefault="00C20AD7" w:rsidP="00C20AD7">
            <w:pPr>
              <w:jc w:val="right"/>
              <w:rPr>
                <w:color w:val="000000"/>
                <w:sz w:val="20"/>
                <w:szCs w:val="20"/>
              </w:rPr>
            </w:pPr>
            <w:r w:rsidRPr="007E42F8">
              <w:rPr>
                <w:color w:val="000000"/>
                <w:sz w:val="20"/>
                <w:szCs w:val="20"/>
              </w:rPr>
              <w:t>7058</w:t>
            </w:r>
          </w:p>
        </w:tc>
        <w:tc>
          <w:tcPr>
            <w:tcW w:w="980" w:type="dxa"/>
            <w:tcBorders>
              <w:top w:val="nil"/>
              <w:left w:val="nil"/>
              <w:bottom w:val="single" w:sz="4" w:space="0" w:color="auto"/>
              <w:right w:val="single" w:sz="4" w:space="0" w:color="auto"/>
            </w:tcBorders>
            <w:shd w:val="clear" w:color="auto" w:fill="auto"/>
            <w:noWrap/>
            <w:vAlign w:val="bottom"/>
            <w:hideMark/>
          </w:tcPr>
          <w:p w14:paraId="006F825A" w14:textId="77777777" w:rsidR="00C20AD7" w:rsidRPr="007E42F8" w:rsidRDefault="00C20AD7" w:rsidP="00C20AD7">
            <w:pPr>
              <w:jc w:val="right"/>
              <w:rPr>
                <w:color w:val="000000"/>
                <w:sz w:val="20"/>
                <w:szCs w:val="20"/>
              </w:rPr>
            </w:pPr>
            <w:r w:rsidRPr="007E42F8">
              <w:rPr>
                <w:color w:val="000000"/>
                <w:sz w:val="20"/>
                <w:szCs w:val="20"/>
              </w:rPr>
              <w:t>3.52</w:t>
            </w:r>
          </w:p>
        </w:tc>
        <w:tc>
          <w:tcPr>
            <w:tcW w:w="1260" w:type="dxa"/>
            <w:tcBorders>
              <w:top w:val="nil"/>
              <w:left w:val="nil"/>
              <w:bottom w:val="single" w:sz="4" w:space="0" w:color="auto"/>
              <w:right w:val="single" w:sz="4" w:space="0" w:color="auto"/>
            </w:tcBorders>
            <w:shd w:val="clear" w:color="auto" w:fill="auto"/>
            <w:noWrap/>
            <w:vAlign w:val="bottom"/>
            <w:hideMark/>
          </w:tcPr>
          <w:p w14:paraId="50E85D48" w14:textId="77777777" w:rsidR="00C20AD7" w:rsidRPr="007E42F8" w:rsidRDefault="00C20AD7" w:rsidP="00C20AD7">
            <w:pPr>
              <w:jc w:val="right"/>
              <w:rPr>
                <w:color w:val="000000"/>
                <w:sz w:val="20"/>
                <w:szCs w:val="20"/>
              </w:rPr>
            </w:pPr>
            <w:r w:rsidRPr="007E42F8">
              <w:rPr>
                <w:color w:val="000000"/>
                <w:sz w:val="20"/>
                <w:szCs w:val="20"/>
              </w:rPr>
              <w:t>11.10</w:t>
            </w:r>
          </w:p>
        </w:tc>
        <w:tc>
          <w:tcPr>
            <w:tcW w:w="1151" w:type="dxa"/>
            <w:tcBorders>
              <w:top w:val="nil"/>
              <w:left w:val="nil"/>
              <w:bottom w:val="single" w:sz="4" w:space="0" w:color="auto"/>
              <w:right w:val="single" w:sz="4" w:space="0" w:color="auto"/>
            </w:tcBorders>
            <w:shd w:val="clear" w:color="auto" w:fill="auto"/>
            <w:noWrap/>
            <w:vAlign w:val="bottom"/>
            <w:hideMark/>
          </w:tcPr>
          <w:p w14:paraId="7D4F81E6" w14:textId="77777777" w:rsidR="00C20AD7" w:rsidRPr="007E42F8" w:rsidRDefault="00C20AD7" w:rsidP="00C20AD7">
            <w:pPr>
              <w:jc w:val="right"/>
              <w:rPr>
                <w:color w:val="000000"/>
                <w:sz w:val="20"/>
                <w:szCs w:val="20"/>
              </w:rPr>
            </w:pPr>
            <w:r w:rsidRPr="007E42F8">
              <w:rPr>
                <w:color w:val="000000"/>
                <w:sz w:val="20"/>
                <w:szCs w:val="20"/>
              </w:rPr>
              <w:t>-58.32</w:t>
            </w:r>
          </w:p>
        </w:tc>
        <w:tc>
          <w:tcPr>
            <w:tcW w:w="1560" w:type="dxa"/>
            <w:tcBorders>
              <w:top w:val="nil"/>
              <w:left w:val="nil"/>
              <w:bottom w:val="single" w:sz="4" w:space="0" w:color="auto"/>
              <w:right w:val="single" w:sz="4" w:space="0" w:color="auto"/>
            </w:tcBorders>
            <w:shd w:val="clear" w:color="auto" w:fill="auto"/>
            <w:noWrap/>
            <w:vAlign w:val="bottom"/>
            <w:hideMark/>
          </w:tcPr>
          <w:p w14:paraId="6E374BB0" w14:textId="77777777" w:rsidR="00C20AD7" w:rsidRPr="007E42F8" w:rsidRDefault="00C20AD7" w:rsidP="00C20AD7">
            <w:pPr>
              <w:jc w:val="right"/>
              <w:rPr>
                <w:color w:val="000000"/>
                <w:sz w:val="20"/>
                <w:szCs w:val="20"/>
              </w:rPr>
            </w:pPr>
            <w:r w:rsidRPr="007E42F8">
              <w:rPr>
                <w:color w:val="000000"/>
                <w:sz w:val="20"/>
                <w:szCs w:val="20"/>
              </w:rPr>
              <w:t>451.72</w:t>
            </w:r>
          </w:p>
        </w:tc>
      </w:tr>
      <w:tr w:rsidR="00C20AD7" w:rsidRPr="00C20AD7" w14:paraId="74648F2C" w14:textId="77777777" w:rsidTr="00C20AD7">
        <w:trPr>
          <w:trHeight w:val="276"/>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055063E" w14:textId="77777777" w:rsidR="00C20AD7" w:rsidRPr="007E42F8" w:rsidRDefault="00C20AD7" w:rsidP="00C20AD7">
            <w:pPr>
              <w:rPr>
                <w:color w:val="000000"/>
                <w:sz w:val="20"/>
                <w:szCs w:val="20"/>
              </w:rPr>
            </w:pPr>
            <w:r w:rsidRPr="007E42F8">
              <w:rPr>
                <w:color w:val="000000"/>
                <w:sz w:val="20"/>
                <w:szCs w:val="20"/>
              </w:rPr>
              <w:t>Manufacturing (% GDP)</w:t>
            </w:r>
          </w:p>
        </w:tc>
        <w:tc>
          <w:tcPr>
            <w:tcW w:w="1880" w:type="dxa"/>
            <w:tcBorders>
              <w:top w:val="nil"/>
              <w:left w:val="nil"/>
              <w:bottom w:val="single" w:sz="4" w:space="0" w:color="auto"/>
              <w:right w:val="single" w:sz="4" w:space="0" w:color="auto"/>
            </w:tcBorders>
            <w:shd w:val="clear" w:color="auto" w:fill="auto"/>
            <w:noWrap/>
            <w:vAlign w:val="bottom"/>
            <w:hideMark/>
          </w:tcPr>
          <w:p w14:paraId="78DD3E81" w14:textId="5B33B934" w:rsidR="00C20AD7" w:rsidRPr="007E42F8" w:rsidRDefault="00C20AD7" w:rsidP="00C20AD7">
            <w:pPr>
              <w:jc w:val="right"/>
              <w:rPr>
                <w:color w:val="000000"/>
                <w:sz w:val="20"/>
                <w:szCs w:val="20"/>
              </w:rPr>
            </w:pPr>
            <w:r w:rsidRPr="007E42F8">
              <w:rPr>
                <w:color w:val="000000"/>
                <w:sz w:val="20"/>
                <w:szCs w:val="20"/>
              </w:rPr>
              <w:t>6222</w:t>
            </w:r>
          </w:p>
        </w:tc>
        <w:tc>
          <w:tcPr>
            <w:tcW w:w="980" w:type="dxa"/>
            <w:tcBorders>
              <w:top w:val="nil"/>
              <w:left w:val="nil"/>
              <w:bottom w:val="single" w:sz="4" w:space="0" w:color="auto"/>
              <w:right w:val="single" w:sz="4" w:space="0" w:color="auto"/>
            </w:tcBorders>
            <w:shd w:val="clear" w:color="auto" w:fill="auto"/>
            <w:noWrap/>
            <w:vAlign w:val="bottom"/>
            <w:hideMark/>
          </w:tcPr>
          <w:p w14:paraId="5AB3CDBA" w14:textId="77777777" w:rsidR="00C20AD7" w:rsidRPr="007E42F8" w:rsidRDefault="00C20AD7" w:rsidP="00C20AD7">
            <w:pPr>
              <w:jc w:val="right"/>
              <w:rPr>
                <w:color w:val="000000"/>
                <w:sz w:val="20"/>
                <w:szCs w:val="20"/>
              </w:rPr>
            </w:pPr>
            <w:r w:rsidRPr="007E42F8">
              <w:rPr>
                <w:color w:val="000000"/>
                <w:sz w:val="20"/>
                <w:szCs w:val="20"/>
              </w:rPr>
              <w:t>13.40</w:t>
            </w:r>
          </w:p>
        </w:tc>
        <w:tc>
          <w:tcPr>
            <w:tcW w:w="1260" w:type="dxa"/>
            <w:tcBorders>
              <w:top w:val="nil"/>
              <w:left w:val="nil"/>
              <w:bottom w:val="single" w:sz="4" w:space="0" w:color="auto"/>
              <w:right w:val="single" w:sz="4" w:space="0" w:color="auto"/>
            </w:tcBorders>
            <w:shd w:val="clear" w:color="auto" w:fill="auto"/>
            <w:noWrap/>
            <w:vAlign w:val="bottom"/>
            <w:hideMark/>
          </w:tcPr>
          <w:p w14:paraId="3EE843F1" w14:textId="77777777" w:rsidR="00C20AD7" w:rsidRPr="007E42F8" w:rsidRDefault="00C20AD7" w:rsidP="00C20AD7">
            <w:pPr>
              <w:jc w:val="right"/>
              <w:rPr>
                <w:color w:val="000000"/>
                <w:sz w:val="20"/>
                <w:szCs w:val="20"/>
              </w:rPr>
            </w:pPr>
            <w:r w:rsidRPr="007E42F8">
              <w:rPr>
                <w:color w:val="000000"/>
                <w:sz w:val="20"/>
                <w:szCs w:val="20"/>
              </w:rPr>
              <w:t>8.61</w:t>
            </w:r>
          </w:p>
        </w:tc>
        <w:tc>
          <w:tcPr>
            <w:tcW w:w="1151" w:type="dxa"/>
            <w:tcBorders>
              <w:top w:val="nil"/>
              <w:left w:val="nil"/>
              <w:bottom w:val="single" w:sz="4" w:space="0" w:color="auto"/>
              <w:right w:val="single" w:sz="4" w:space="0" w:color="auto"/>
            </w:tcBorders>
            <w:shd w:val="clear" w:color="auto" w:fill="auto"/>
            <w:noWrap/>
            <w:vAlign w:val="bottom"/>
            <w:hideMark/>
          </w:tcPr>
          <w:p w14:paraId="6F83598D" w14:textId="77777777" w:rsidR="00C20AD7" w:rsidRPr="007E42F8" w:rsidRDefault="00C20AD7" w:rsidP="00C20AD7">
            <w:pPr>
              <w:jc w:val="right"/>
              <w:rPr>
                <w:color w:val="000000"/>
                <w:sz w:val="20"/>
                <w:szCs w:val="20"/>
              </w:rPr>
            </w:pPr>
            <w:r w:rsidRPr="007E42F8">
              <w:rPr>
                <w:color w:val="000000"/>
                <w:sz w:val="20"/>
                <w:szCs w:val="20"/>
              </w:rPr>
              <w:t>0.00</w:t>
            </w:r>
          </w:p>
        </w:tc>
        <w:tc>
          <w:tcPr>
            <w:tcW w:w="1560" w:type="dxa"/>
            <w:tcBorders>
              <w:top w:val="nil"/>
              <w:left w:val="nil"/>
              <w:bottom w:val="single" w:sz="4" w:space="0" w:color="auto"/>
              <w:right w:val="single" w:sz="4" w:space="0" w:color="auto"/>
            </w:tcBorders>
            <w:shd w:val="clear" w:color="auto" w:fill="auto"/>
            <w:noWrap/>
            <w:vAlign w:val="bottom"/>
            <w:hideMark/>
          </w:tcPr>
          <w:p w14:paraId="1D0F70BC" w14:textId="77777777" w:rsidR="00C20AD7" w:rsidRPr="007E42F8" w:rsidRDefault="00C20AD7" w:rsidP="00C20AD7">
            <w:pPr>
              <w:jc w:val="right"/>
              <w:rPr>
                <w:color w:val="000000"/>
                <w:sz w:val="20"/>
                <w:szCs w:val="20"/>
              </w:rPr>
            </w:pPr>
            <w:r w:rsidRPr="007E42F8">
              <w:rPr>
                <w:color w:val="000000"/>
                <w:sz w:val="20"/>
                <w:szCs w:val="20"/>
              </w:rPr>
              <w:t>192.00</w:t>
            </w:r>
          </w:p>
        </w:tc>
      </w:tr>
    </w:tbl>
    <w:p w14:paraId="653BD74B" w14:textId="6D6A46AA" w:rsidR="0035674B" w:rsidRDefault="0035674B" w:rsidP="0035674B"/>
    <w:p w14:paraId="2125D083" w14:textId="42BCE2AB" w:rsidR="00385743" w:rsidRDefault="00385743" w:rsidP="0035674B"/>
    <w:p w14:paraId="635092FC" w14:textId="60A975FA" w:rsidR="00385743" w:rsidRDefault="00385743" w:rsidP="0035674B"/>
    <w:p w14:paraId="601FDEC5" w14:textId="41B21B6F" w:rsidR="004F78B3" w:rsidRDefault="004F78B3" w:rsidP="0035674B"/>
    <w:p w14:paraId="68D3526E" w14:textId="77777777" w:rsidR="004F78B3" w:rsidRDefault="004F78B3" w:rsidP="0035674B"/>
    <w:p w14:paraId="664BF671" w14:textId="6D779D21" w:rsidR="00385743" w:rsidRDefault="004F78B3" w:rsidP="004F78B3">
      <w:pPr>
        <w:spacing w:line="480" w:lineRule="auto"/>
        <w:jc w:val="center"/>
      </w:pPr>
      <w:r>
        <w:rPr>
          <w:b/>
          <w:bCs/>
        </w:rPr>
        <w:t>Table</w:t>
      </w:r>
      <w:r w:rsidR="00D06FC0">
        <w:rPr>
          <w:b/>
          <w:bCs/>
        </w:rPr>
        <w:t xml:space="preserve"> 3</w:t>
      </w:r>
      <w:r>
        <w:rPr>
          <w:b/>
          <w:bCs/>
        </w:rPr>
        <w:t xml:space="preserve">: </w:t>
      </w:r>
      <w:r w:rsidR="00D06FC0">
        <w:t>Pairwise Correlation of the Main Variables</w:t>
      </w:r>
    </w:p>
    <w:tbl>
      <w:tblPr>
        <w:tblW w:w="9580" w:type="dxa"/>
        <w:tblLayout w:type="fixed"/>
        <w:tblLook w:val="04A0" w:firstRow="1" w:lastRow="0" w:firstColumn="1" w:lastColumn="0" w:noHBand="0" w:noVBand="1"/>
      </w:tblPr>
      <w:tblGrid>
        <w:gridCol w:w="3505"/>
        <w:gridCol w:w="867"/>
        <w:gridCol w:w="868"/>
        <w:gridCol w:w="868"/>
        <w:gridCol w:w="868"/>
        <w:gridCol w:w="868"/>
        <w:gridCol w:w="868"/>
        <w:gridCol w:w="868"/>
      </w:tblGrid>
      <w:tr w:rsidR="00385743" w:rsidRPr="00385743" w14:paraId="112B9965" w14:textId="77777777" w:rsidTr="00D06FC0">
        <w:trPr>
          <w:trHeight w:val="255"/>
        </w:trPr>
        <w:tc>
          <w:tcPr>
            <w:tcW w:w="3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BB4F6" w14:textId="77777777" w:rsidR="00385743" w:rsidRPr="00385743" w:rsidRDefault="00385743" w:rsidP="00385743">
            <w:pPr>
              <w:rPr>
                <w:color w:val="000000"/>
                <w:sz w:val="20"/>
                <w:szCs w:val="20"/>
              </w:rPr>
            </w:pPr>
            <w:r w:rsidRPr="00385743">
              <w:rPr>
                <w:color w:val="000000"/>
                <w:sz w:val="20"/>
                <w:szCs w:val="20"/>
              </w:rPr>
              <w:t> </w:t>
            </w:r>
          </w:p>
        </w:tc>
        <w:tc>
          <w:tcPr>
            <w:tcW w:w="867" w:type="dxa"/>
            <w:tcBorders>
              <w:top w:val="single" w:sz="4" w:space="0" w:color="auto"/>
              <w:left w:val="nil"/>
              <w:bottom w:val="single" w:sz="4" w:space="0" w:color="auto"/>
              <w:right w:val="single" w:sz="4" w:space="0" w:color="auto"/>
            </w:tcBorders>
            <w:shd w:val="clear" w:color="auto" w:fill="auto"/>
            <w:noWrap/>
            <w:vAlign w:val="bottom"/>
            <w:hideMark/>
          </w:tcPr>
          <w:p w14:paraId="64CA379A" w14:textId="77777777" w:rsidR="00385743" w:rsidRPr="00385743" w:rsidRDefault="00385743" w:rsidP="00385743">
            <w:pPr>
              <w:rPr>
                <w:color w:val="000000"/>
                <w:sz w:val="20"/>
                <w:szCs w:val="20"/>
              </w:rPr>
            </w:pPr>
            <w:proofErr w:type="spellStart"/>
            <w:r w:rsidRPr="00385743">
              <w:rPr>
                <w:color w:val="000000"/>
                <w:sz w:val="20"/>
                <w:szCs w:val="20"/>
              </w:rPr>
              <w:t>agedep</w:t>
            </w:r>
            <w:proofErr w:type="spellEnd"/>
          </w:p>
        </w:tc>
        <w:tc>
          <w:tcPr>
            <w:tcW w:w="868" w:type="dxa"/>
            <w:tcBorders>
              <w:top w:val="single" w:sz="4" w:space="0" w:color="auto"/>
              <w:left w:val="nil"/>
              <w:bottom w:val="single" w:sz="4" w:space="0" w:color="auto"/>
              <w:right w:val="single" w:sz="4" w:space="0" w:color="auto"/>
            </w:tcBorders>
            <w:shd w:val="clear" w:color="auto" w:fill="auto"/>
            <w:noWrap/>
            <w:vAlign w:val="bottom"/>
            <w:hideMark/>
          </w:tcPr>
          <w:p w14:paraId="3CC400E9" w14:textId="77777777" w:rsidR="00385743" w:rsidRPr="00385743" w:rsidRDefault="00385743" w:rsidP="00385743">
            <w:pPr>
              <w:rPr>
                <w:color w:val="000000"/>
                <w:sz w:val="20"/>
                <w:szCs w:val="20"/>
              </w:rPr>
            </w:pPr>
            <w:proofErr w:type="spellStart"/>
            <w:r w:rsidRPr="00385743">
              <w:rPr>
                <w:color w:val="000000"/>
                <w:sz w:val="20"/>
                <w:szCs w:val="20"/>
              </w:rPr>
              <w:t>olddep</w:t>
            </w:r>
            <w:proofErr w:type="spellEnd"/>
          </w:p>
        </w:tc>
        <w:tc>
          <w:tcPr>
            <w:tcW w:w="868" w:type="dxa"/>
            <w:tcBorders>
              <w:top w:val="single" w:sz="4" w:space="0" w:color="auto"/>
              <w:left w:val="nil"/>
              <w:bottom w:val="single" w:sz="4" w:space="0" w:color="auto"/>
              <w:right w:val="single" w:sz="4" w:space="0" w:color="auto"/>
            </w:tcBorders>
            <w:shd w:val="clear" w:color="auto" w:fill="auto"/>
            <w:noWrap/>
            <w:vAlign w:val="bottom"/>
            <w:hideMark/>
          </w:tcPr>
          <w:p w14:paraId="4663CF0C" w14:textId="129F7949" w:rsidR="00385743" w:rsidRPr="00385743" w:rsidRDefault="00D06FC0" w:rsidP="00385743">
            <w:pPr>
              <w:rPr>
                <w:color w:val="000000"/>
                <w:sz w:val="20"/>
                <w:szCs w:val="20"/>
              </w:rPr>
            </w:pPr>
            <w:proofErr w:type="spellStart"/>
            <w:r>
              <w:rPr>
                <w:color w:val="000000"/>
                <w:sz w:val="20"/>
                <w:szCs w:val="20"/>
              </w:rPr>
              <w:t>y</w:t>
            </w:r>
            <w:r w:rsidR="00385743" w:rsidRPr="00385743">
              <w:rPr>
                <w:color w:val="000000"/>
                <w:sz w:val="20"/>
                <w:szCs w:val="20"/>
              </w:rPr>
              <w:t>ou</w:t>
            </w:r>
            <w:r>
              <w:rPr>
                <w:color w:val="000000"/>
                <w:sz w:val="20"/>
                <w:szCs w:val="20"/>
              </w:rPr>
              <w:t>~</w:t>
            </w:r>
            <w:r w:rsidR="00385743" w:rsidRPr="00385743">
              <w:rPr>
                <w:color w:val="000000"/>
                <w:sz w:val="20"/>
                <w:szCs w:val="20"/>
              </w:rPr>
              <w:t>ep</w:t>
            </w:r>
            <w:proofErr w:type="spellEnd"/>
          </w:p>
        </w:tc>
        <w:tc>
          <w:tcPr>
            <w:tcW w:w="868" w:type="dxa"/>
            <w:tcBorders>
              <w:top w:val="single" w:sz="4" w:space="0" w:color="auto"/>
              <w:left w:val="nil"/>
              <w:bottom w:val="single" w:sz="4" w:space="0" w:color="auto"/>
              <w:right w:val="single" w:sz="4" w:space="0" w:color="auto"/>
            </w:tcBorders>
            <w:shd w:val="clear" w:color="auto" w:fill="auto"/>
            <w:noWrap/>
            <w:vAlign w:val="bottom"/>
            <w:hideMark/>
          </w:tcPr>
          <w:p w14:paraId="7E0AE87B" w14:textId="0AFCAD14" w:rsidR="00385743" w:rsidRPr="00385743" w:rsidRDefault="00385743" w:rsidP="00385743">
            <w:pPr>
              <w:rPr>
                <w:color w:val="000000"/>
                <w:sz w:val="20"/>
                <w:szCs w:val="20"/>
              </w:rPr>
            </w:pPr>
            <w:proofErr w:type="spellStart"/>
            <w:r w:rsidRPr="00385743">
              <w:rPr>
                <w:color w:val="000000"/>
                <w:sz w:val="20"/>
                <w:szCs w:val="20"/>
              </w:rPr>
              <w:t>pri~e</w:t>
            </w:r>
            <w:proofErr w:type="spellEnd"/>
          </w:p>
        </w:tc>
        <w:tc>
          <w:tcPr>
            <w:tcW w:w="868" w:type="dxa"/>
            <w:tcBorders>
              <w:top w:val="single" w:sz="4" w:space="0" w:color="auto"/>
              <w:left w:val="nil"/>
              <w:bottom w:val="single" w:sz="4" w:space="0" w:color="auto"/>
              <w:right w:val="single" w:sz="4" w:space="0" w:color="auto"/>
            </w:tcBorders>
            <w:shd w:val="clear" w:color="auto" w:fill="auto"/>
            <w:noWrap/>
            <w:vAlign w:val="bottom"/>
            <w:hideMark/>
          </w:tcPr>
          <w:p w14:paraId="0385B0D2" w14:textId="77777777" w:rsidR="00385743" w:rsidRPr="00385743" w:rsidRDefault="00385743" w:rsidP="00385743">
            <w:pPr>
              <w:rPr>
                <w:color w:val="000000"/>
                <w:sz w:val="20"/>
                <w:szCs w:val="20"/>
              </w:rPr>
            </w:pPr>
            <w:proofErr w:type="spellStart"/>
            <w:r w:rsidRPr="00385743">
              <w:rPr>
                <w:color w:val="000000"/>
                <w:sz w:val="20"/>
                <w:szCs w:val="20"/>
              </w:rPr>
              <w:t>curgdp</w:t>
            </w:r>
            <w:proofErr w:type="spellEnd"/>
          </w:p>
        </w:tc>
        <w:tc>
          <w:tcPr>
            <w:tcW w:w="868" w:type="dxa"/>
            <w:tcBorders>
              <w:top w:val="single" w:sz="4" w:space="0" w:color="auto"/>
              <w:left w:val="nil"/>
              <w:bottom w:val="single" w:sz="4" w:space="0" w:color="auto"/>
              <w:right w:val="single" w:sz="4" w:space="0" w:color="auto"/>
            </w:tcBorders>
            <w:shd w:val="clear" w:color="auto" w:fill="auto"/>
            <w:noWrap/>
            <w:vAlign w:val="bottom"/>
            <w:hideMark/>
          </w:tcPr>
          <w:p w14:paraId="3ADD1EC3" w14:textId="77777777" w:rsidR="00385743" w:rsidRPr="00385743" w:rsidRDefault="00385743" w:rsidP="00385743">
            <w:pPr>
              <w:rPr>
                <w:color w:val="000000"/>
                <w:sz w:val="20"/>
                <w:szCs w:val="20"/>
              </w:rPr>
            </w:pPr>
            <w:proofErr w:type="spellStart"/>
            <w:r w:rsidRPr="00385743">
              <w:rPr>
                <w:color w:val="000000"/>
                <w:sz w:val="20"/>
                <w:szCs w:val="20"/>
              </w:rPr>
              <w:t>savgdp</w:t>
            </w:r>
            <w:proofErr w:type="spellEnd"/>
          </w:p>
        </w:tc>
        <w:tc>
          <w:tcPr>
            <w:tcW w:w="868" w:type="dxa"/>
            <w:tcBorders>
              <w:top w:val="single" w:sz="4" w:space="0" w:color="auto"/>
              <w:left w:val="nil"/>
              <w:bottom w:val="single" w:sz="4" w:space="0" w:color="auto"/>
              <w:right w:val="single" w:sz="4" w:space="0" w:color="auto"/>
            </w:tcBorders>
            <w:shd w:val="clear" w:color="auto" w:fill="auto"/>
            <w:noWrap/>
            <w:vAlign w:val="bottom"/>
            <w:hideMark/>
          </w:tcPr>
          <w:p w14:paraId="4FF1FAB4" w14:textId="77777777" w:rsidR="00385743" w:rsidRPr="00385743" w:rsidRDefault="00385743" w:rsidP="00385743">
            <w:pPr>
              <w:rPr>
                <w:color w:val="000000"/>
                <w:sz w:val="20"/>
                <w:szCs w:val="20"/>
              </w:rPr>
            </w:pPr>
            <w:proofErr w:type="spellStart"/>
            <w:r w:rsidRPr="00385743">
              <w:rPr>
                <w:color w:val="000000"/>
                <w:sz w:val="20"/>
                <w:szCs w:val="20"/>
              </w:rPr>
              <w:t>invgdp</w:t>
            </w:r>
            <w:proofErr w:type="spellEnd"/>
          </w:p>
        </w:tc>
      </w:tr>
      <w:tr w:rsidR="00385743" w:rsidRPr="00385743" w14:paraId="01A9D773" w14:textId="77777777" w:rsidTr="00D06FC0">
        <w:trPr>
          <w:trHeight w:val="255"/>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50A86E8A" w14:textId="736CCD72" w:rsidR="00385743" w:rsidRPr="00385743" w:rsidRDefault="00D06FC0" w:rsidP="00385743">
            <w:pPr>
              <w:rPr>
                <w:color w:val="000000"/>
                <w:sz w:val="20"/>
                <w:szCs w:val="20"/>
              </w:rPr>
            </w:pPr>
            <w:r>
              <w:rPr>
                <w:color w:val="000000"/>
                <w:sz w:val="20"/>
                <w:szCs w:val="20"/>
              </w:rPr>
              <w:t xml:space="preserve">Dependency Ratio: </w:t>
            </w:r>
            <w:proofErr w:type="spellStart"/>
            <w:r w:rsidRPr="00385743">
              <w:rPr>
                <w:color w:val="000000"/>
                <w:sz w:val="20"/>
                <w:szCs w:val="20"/>
              </w:rPr>
              <w:t>agedep</w:t>
            </w:r>
            <w:proofErr w:type="spellEnd"/>
          </w:p>
        </w:tc>
        <w:tc>
          <w:tcPr>
            <w:tcW w:w="867" w:type="dxa"/>
            <w:tcBorders>
              <w:top w:val="nil"/>
              <w:left w:val="nil"/>
              <w:bottom w:val="single" w:sz="4" w:space="0" w:color="auto"/>
              <w:right w:val="single" w:sz="4" w:space="0" w:color="auto"/>
            </w:tcBorders>
            <w:shd w:val="clear" w:color="auto" w:fill="auto"/>
            <w:noWrap/>
            <w:vAlign w:val="bottom"/>
            <w:hideMark/>
          </w:tcPr>
          <w:p w14:paraId="68A57C79" w14:textId="77777777" w:rsidR="00385743" w:rsidRPr="00385743" w:rsidRDefault="00385743" w:rsidP="00385743">
            <w:pPr>
              <w:jc w:val="right"/>
              <w:rPr>
                <w:color w:val="000000"/>
                <w:sz w:val="20"/>
                <w:szCs w:val="20"/>
              </w:rPr>
            </w:pPr>
            <w:r w:rsidRPr="00385743">
              <w:rPr>
                <w:color w:val="000000"/>
                <w:sz w:val="20"/>
                <w:szCs w:val="20"/>
              </w:rPr>
              <w:t>1.00</w:t>
            </w:r>
          </w:p>
        </w:tc>
        <w:tc>
          <w:tcPr>
            <w:tcW w:w="868" w:type="dxa"/>
            <w:tcBorders>
              <w:top w:val="nil"/>
              <w:left w:val="nil"/>
              <w:bottom w:val="single" w:sz="4" w:space="0" w:color="auto"/>
              <w:right w:val="single" w:sz="4" w:space="0" w:color="auto"/>
            </w:tcBorders>
            <w:shd w:val="clear" w:color="auto" w:fill="auto"/>
            <w:noWrap/>
            <w:vAlign w:val="bottom"/>
            <w:hideMark/>
          </w:tcPr>
          <w:p w14:paraId="2FA50DB7" w14:textId="77777777" w:rsidR="00385743" w:rsidRPr="00385743" w:rsidRDefault="00385743" w:rsidP="00385743">
            <w:pPr>
              <w:rPr>
                <w:color w:val="000000"/>
                <w:sz w:val="20"/>
                <w:szCs w:val="20"/>
              </w:rPr>
            </w:pPr>
            <w:r w:rsidRPr="00385743">
              <w:rPr>
                <w:color w:val="000000"/>
                <w:sz w:val="20"/>
                <w:szCs w:val="20"/>
              </w:rPr>
              <w:t> </w:t>
            </w:r>
          </w:p>
        </w:tc>
        <w:tc>
          <w:tcPr>
            <w:tcW w:w="868" w:type="dxa"/>
            <w:tcBorders>
              <w:top w:val="nil"/>
              <w:left w:val="nil"/>
              <w:bottom w:val="single" w:sz="4" w:space="0" w:color="auto"/>
              <w:right w:val="single" w:sz="4" w:space="0" w:color="auto"/>
            </w:tcBorders>
            <w:shd w:val="clear" w:color="auto" w:fill="auto"/>
            <w:noWrap/>
            <w:vAlign w:val="bottom"/>
            <w:hideMark/>
          </w:tcPr>
          <w:p w14:paraId="6A0C0490" w14:textId="77777777" w:rsidR="00385743" w:rsidRPr="00385743" w:rsidRDefault="00385743" w:rsidP="00385743">
            <w:pPr>
              <w:rPr>
                <w:color w:val="000000"/>
                <w:sz w:val="20"/>
                <w:szCs w:val="20"/>
              </w:rPr>
            </w:pPr>
            <w:r w:rsidRPr="00385743">
              <w:rPr>
                <w:color w:val="000000"/>
                <w:sz w:val="20"/>
                <w:szCs w:val="20"/>
              </w:rPr>
              <w:t> </w:t>
            </w:r>
          </w:p>
        </w:tc>
        <w:tc>
          <w:tcPr>
            <w:tcW w:w="868" w:type="dxa"/>
            <w:tcBorders>
              <w:top w:val="nil"/>
              <w:left w:val="nil"/>
              <w:bottom w:val="single" w:sz="4" w:space="0" w:color="auto"/>
              <w:right w:val="single" w:sz="4" w:space="0" w:color="auto"/>
            </w:tcBorders>
            <w:shd w:val="clear" w:color="auto" w:fill="auto"/>
            <w:noWrap/>
            <w:vAlign w:val="bottom"/>
            <w:hideMark/>
          </w:tcPr>
          <w:p w14:paraId="6A17F568" w14:textId="77777777" w:rsidR="00385743" w:rsidRPr="00385743" w:rsidRDefault="00385743" w:rsidP="00385743">
            <w:pPr>
              <w:rPr>
                <w:color w:val="000000"/>
                <w:sz w:val="20"/>
                <w:szCs w:val="20"/>
              </w:rPr>
            </w:pPr>
            <w:r w:rsidRPr="00385743">
              <w:rPr>
                <w:color w:val="000000"/>
                <w:sz w:val="20"/>
                <w:szCs w:val="20"/>
              </w:rPr>
              <w:t> </w:t>
            </w:r>
          </w:p>
        </w:tc>
        <w:tc>
          <w:tcPr>
            <w:tcW w:w="868" w:type="dxa"/>
            <w:tcBorders>
              <w:top w:val="nil"/>
              <w:left w:val="nil"/>
              <w:bottom w:val="single" w:sz="4" w:space="0" w:color="auto"/>
              <w:right w:val="single" w:sz="4" w:space="0" w:color="auto"/>
            </w:tcBorders>
            <w:shd w:val="clear" w:color="auto" w:fill="auto"/>
            <w:noWrap/>
            <w:vAlign w:val="bottom"/>
            <w:hideMark/>
          </w:tcPr>
          <w:p w14:paraId="342E829B" w14:textId="77777777" w:rsidR="00385743" w:rsidRPr="00385743" w:rsidRDefault="00385743" w:rsidP="00385743">
            <w:pPr>
              <w:rPr>
                <w:color w:val="000000"/>
                <w:sz w:val="20"/>
                <w:szCs w:val="20"/>
              </w:rPr>
            </w:pPr>
            <w:r w:rsidRPr="00385743">
              <w:rPr>
                <w:color w:val="000000"/>
                <w:sz w:val="20"/>
                <w:szCs w:val="20"/>
              </w:rPr>
              <w:t> </w:t>
            </w:r>
          </w:p>
        </w:tc>
        <w:tc>
          <w:tcPr>
            <w:tcW w:w="868" w:type="dxa"/>
            <w:tcBorders>
              <w:top w:val="nil"/>
              <w:left w:val="nil"/>
              <w:bottom w:val="single" w:sz="4" w:space="0" w:color="auto"/>
              <w:right w:val="single" w:sz="4" w:space="0" w:color="auto"/>
            </w:tcBorders>
            <w:shd w:val="clear" w:color="auto" w:fill="auto"/>
            <w:noWrap/>
            <w:vAlign w:val="bottom"/>
            <w:hideMark/>
          </w:tcPr>
          <w:p w14:paraId="77553664" w14:textId="77777777" w:rsidR="00385743" w:rsidRPr="00385743" w:rsidRDefault="00385743" w:rsidP="00385743">
            <w:pPr>
              <w:rPr>
                <w:color w:val="000000"/>
                <w:sz w:val="20"/>
                <w:szCs w:val="20"/>
              </w:rPr>
            </w:pPr>
            <w:r w:rsidRPr="00385743">
              <w:rPr>
                <w:color w:val="000000"/>
                <w:sz w:val="20"/>
                <w:szCs w:val="20"/>
              </w:rPr>
              <w:t> </w:t>
            </w:r>
          </w:p>
        </w:tc>
        <w:tc>
          <w:tcPr>
            <w:tcW w:w="868" w:type="dxa"/>
            <w:tcBorders>
              <w:top w:val="nil"/>
              <w:left w:val="nil"/>
              <w:bottom w:val="single" w:sz="4" w:space="0" w:color="auto"/>
              <w:right w:val="single" w:sz="4" w:space="0" w:color="auto"/>
            </w:tcBorders>
            <w:shd w:val="clear" w:color="auto" w:fill="auto"/>
            <w:noWrap/>
            <w:vAlign w:val="bottom"/>
            <w:hideMark/>
          </w:tcPr>
          <w:p w14:paraId="1B14A27A" w14:textId="77777777" w:rsidR="00385743" w:rsidRPr="00385743" w:rsidRDefault="00385743" w:rsidP="00385743">
            <w:pPr>
              <w:rPr>
                <w:color w:val="000000"/>
                <w:sz w:val="20"/>
                <w:szCs w:val="20"/>
              </w:rPr>
            </w:pPr>
            <w:r w:rsidRPr="00385743">
              <w:rPr>
                <w:color w:val="000000"/>
                <w:sz w:val="20"/>
                <w:szCs w:val="20"/>
              </w:rPr>
              <w:t> </w:t>
            </w:r>
          </w:p>
        </w:tc>
      </w:tr>
      <w:tr w:rsidR="00385743" w:rsidRPr="00385743" w14:paraId="5CD64A88" w14:textId="77777777" w:rsidTr="00D06FC0">
        <w:trPr>
          <w:trHeight w:val="255"/>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6BBB01EF" w14:textId="024959E8" w:rsidR="00385743" w:rsidRPr="00385743" w:rsidRDefault="00D06FC0" w:rsidP="00385743">
            <w:pPr>
              <w:rPr>
                <w:color w:val="000000"/>
                <w:sz w:val="20"/>
                <w:szCs w:val="20"/>
              </w:rPr>
            </w:pPr>
            <w:r>
              <w:rPr>
                <w:color w:val="000000"/>
                <w:sz w:val="20"/>
                <w:szCs w:val="20"/>
              </w:rPr>
              <w:t xml:space="preserve">Old Dependency Ratio: </w:t>
            </w:r>
            <w:proofErr w:type="spellStart"/>
            <w:r w:rsidR="00385743" w:rsidRPr="00385743">
              <w:rPr>
                <w:color w:val="000000"/>
                <w:sz w:val="20"/>
                <w:szCs w:val="20"/>
              </w:rPr>
              <w:t>olddep</w:t>
            </w:r>
            <w:proofErr w:type="spellEnd"/>
          </w:p>
        </w:tc>
        <w:tc>
          <w:tcPr>
            <w:tcW w:w="867" w:type="dxa"/>
            <w:tcBorders>
              <w:top w:val="nil"/>
              <w:left w:val="nil"/>
              <w:bottom w:val="single" w:sz="4" w:space="0" w:color="auto"/>
              <w:right w:val="single" w:sz="4" w:space="0" w:color="auto"/>
            </w:tcBorders>
            <w:shd w:val="clear" w:color="auto" w:fill="auto"/>
            <w:noWrap/>
            <w:vAlign w:val="bottom"/>
            <w:hideMark/>
          </w:tcPr>
          <w:p w14:paraId="00461FA5" w14:textId="77777777" w:rsidR="00385743" w:rsidRPr="00385743" w:rsidRDefault="00385743" w:rsidP="00385743">
            <w:pPr>
              <w:jc w:val="right"/>
              <w:rPr>
                <w:color w:val="000000"/>
                <w:sz w:val="20"/>
                <w:szCs w:val="20"/>
              </w:rPr>
            </w:pPr>
            <w:r w:rsidRPr="00385743">
              <w:rPr>
                <w:color w:val="000000"/>
                <w:sz w:val="20"/>
                <w:szCs w:val="20"/>
              </w:rPr>
              <w:t>-0.57</w:t>
            </w:r>
          </w:p>
        </w:tc>
        <w:tc>
          <w:tcPr>
            <w:tcW w:w="868" w:type="dxa"/>
            <w:tcBorders>
              <w:top w:val="nil"/>
              <w:left w:val="nil"/>
              <w:bottom w:val="single" w:sz="4" w:space="0" w:color="auto"/>
              <w:right w:val="single" w:sz="4" w:space="0" w:color="auto"/>
            </w:tcBorders>
            <w:shd w:val="clear" w:color="auto" w:fill="auto"/>
            <w:noWrap/>
            <w:vAlign w:val="bottom"/>
            <w:hideMark/>
          </w:tcPr>
          <w:p w14:paraId="1D38B8A9" w14:textId="77777777" w:rsidR="00385743" w:rsidRPr="00385743" w:rsidRDefault="00385743" w:rsidP="00385743">
            <w:pPr>
              <w:jc w:val="right"/>
              <w:rPr>
                <w:color w:val="000000"/>
                <w:sz w:val="20"/>
                <w:szCs w:val="20"/>
              </w:rPr>
            </w:pPr>
            <w:r w:rsidRPr="00385743">
              <w:rPr>
                <w:color w:val="000000"/>
                <w:sz w:val="20"/>
                <w:szCs w:val="20"/>
              </w:rPr>
              <w:t>1.00</w:t>
            </w:r>
          </w:p>
        </w:tc>
        <w:tc>
          <w:tcPr>
            <w:tcW w:w="868" w:type="dxa"/>
            <w:tcBorders>
              <w:top w:val="nil"/>
              <w:left w:val="nil"/>
              <w:bottom w:val="single" w:sz="4" w:space="0" w:color="auto"/>
              <w:right w:val="single" w:sz="4" w:space="0" w:color="auto"/>
            </w:tcBorders>
            <w:shd w:val="clear" w:color="auto" w:fill="auto"/>
            <w:noWrap/>
            <w:vAlign w:val="bottom"/>
            <w:hideMark/>
          </w:tcPr>
          <w:p w14:paraId="2410FC52" w14:textId="77777777" w:rsidR="00385743" w:rsidRPr="00385743" w:rsidRDefault="00385743" w:rsidP="00385743">
            <w:pPr>
              <w:rPr>
                <w:b/>
                <w:bCs/>
                <w:color w:val="000000"/>
                <w:sz w:val="20"/>
                <w:szCs w:val="20"/>
              </w:rPr>
            </w:pPr>
            <w:r w:rsidRPr="00385743">
              <w:rPr>
                <w:b/>
                <w:bCs/>
                <w:color w:val="000000"/>
                <w:sz w:val="20"/>
                <w:szCs w:val="20"/>
              </w:rPr>
              <w:t> </w:t>
            </w:r>
          </w:p>
        </w:tc>
        <w:tc>
          <w:tcPr>
            <w:tcW w:w="868" w:type="dxa"/>
            <w:tcBorders>
              <w:top w:val="nil"/>
              <w:left w:val="nil"/>
              <w:bottom w:val="single" w:sz="4" w:space="0" w:color="auto"/>
              <w:right w:val="single" w:sz="4" w:space="0" w:color="auto"/>
            </w:tcBorders>
            <w:shd w:val="clear" w:color="auto" w:fill="auto"/>
            <w:noWrap/>
            <w:vAlign w:val="bottom"/>
            <w:hideMark/>
          </w:tcPr>
          <w:p w14:paraId="3AAC9E3F" w14:textId="77777777" w:rsidR="00385743" w:rsidRPr="00385743" w:rsidRDefault="00385743" w:rsidP="00385743">
            <w:pPr>
              <w:rPr>
                <w:b/>
                <w:bCs/>
                <w:color w:val="000000"/>
                <w:sz w:val="20"/>
                <w:szCs w:val="20"/>
              </w:rPr>
            </w:pPr>
            <w:r w:rsidRPr="00385743">
              <w:rPr>
                <w:b/>
                <w:bCs/>
                <w:color w:val="000000"/>
                <w:sz w:val="20"/>
                <w:szCs w:val="20"/>
              </w:rPr>
              <w:t> </w:t>
            </w:r>
          </w:p>
        </w:tc>
        <w:tc>
          <w:tcPr>
            <w:tcW w:w="868" w:type="dxa"/>
            <w:tcBorders>
              <w:top w:val="nil"/>
              <w:left w:val="nil"/>
              <w:bottom w:val="single" w:sz="4" w:space="0" w:color="auto"/>
              <w:right w:val="single" w:sz="4" w:space="0" w:color="auto"/>
            </w:tcBorders>
            <w:shd w:val="clear" w:color="auto" w:fill="auto"/>
            <w:noWrap/>
            <w:vAlign w:val="bottom"/>
            <w:hideMark/>
          </w:tcPr>
          <w:p w14:paraId="0B3FA32B" w14:textId="77777777" w:rsidR="00385743" w:rsidRPr="00385743" w:rsidRDefault="00385743" w:rsidP="00385743">
            <w:pPr>
              <w:rPr>
                <w:color w:val="000000"/>
                <w:sz w:val="20"/>
                <w:szCs w:val="20"/>
              </w:rPr>
            </w:pPr>
            <w:r w:rsidRPr="00385743">
              <w:rPr>
                <w:color w:val="000000"/>
                <w:sz w:val="20"/>
                <w:szCs w:val="20"/>
              </w:rPr>
              <w:t> </w:t>
            </w:r>
          </w:p>
        </w:tc>
        <w:tc>
          <w:tcPr>
            <w:tcW w:w="868" w:type="dxa"/>
            <w:tcBorders>
              <w:top w:val="nil"/>
              <w:left w:val="nil"/>
              <w:bottom w:val="single" w:sz="4" w:space="0" w:color="auto"/>
              <w:right w:val="single" w:sz="4" w:space="0" w:color="auto"/>
            </w:tcBorders>
            <w:shd w:val="clear" w:color="auto" w:fill="auto"/>
            <w:noWrap/>
            <w:vAlign w:val="bottom"/>
            <w:hideMark/>
          </w:tcPr>
          <w:p w14:paraId="236358A7" w14:textId="77777777" w:rsidR="00385743" w:rsidRPr="00385743" w:rsidRDefault="00385743" w:rsidP="00385743">
            <w:pPr>
              <w:rPr>
                <w:color w:val="000000"/>
                <w:sz w:val="20"/>
                <w:szCs w:val="20"/>
              </w:rPr>
            </w:pPr>
            <w:r w:rsidRPr="00385743">
              <w:rPr>
                <w:color w:val="000000"/>
                <w:sz w:val="20"/>
                <w:szCs w:val="20"/>
              </w:rPr>
              <w:t> </w:t>
            </w:r>
          </w:p>
        </w:tc>
        <w:tc>
          <w:tcPr>
            <w:tcW w:w="868" w:type="dxa"/>
            <w:tcBorders>
              <w:top w:val="nil"/>
              <w:left w:val="nil"/>
              <w:bottom w:val="single" w:sz="4" w:space="0" w:color="auto"/>
              <w:right w:val="single" w:sz="4" w:space="0" w:color="auto"/>
            </w:tcBorders>
            <w:shd w:val="clear" w:color="auto" w:fill="auto"/>
            <w:noWrap/>
            <w:vAlign w:val="bottom"/>
            <w:hideMark/>
          </w:tcPr>
          <w:p w14:paraId="354CC2B4" w14:textId="77777777" w:rsidR="00385743" w:rsidRPr="00385743" w:rsidRDefault="00385743" w:rsidP="00385743">
            <w:pPr>
              <w:rPr>
                <w:color w:val="000000"/>
                <w:sz w:val="20"/>
                <w:szCs w:val="20"/>
              </w:rPr>
            </w:pPr>
            <w:r w:rsidRPr="00385743">
              <w:rPr>
                <w:color w:val="000000"/>
                <w:sz w:val="20"/>
                <w:szCs w:val="20"/>
              </w:rPr>
              <w:t> </w:t>
            </w:r>
          </w:p>
        </w:tc>
      </w:tr>
      <w:tr w:rsidR="00385743" w:rsidRPr="00385743" w14:paraId="54EE4DCD" w14:textId="77777777" w:rsidTr="00D06FC0">
        <w:trPr>
          <w:trHeight w:val="255"/>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23F626C3" w14:textId="57806DC3" w:rsidR="00385743" w:rsidRPr="00385743" w:rsidRDefault="00D06FC0" w:rsidP="00385743">
            <w:pPr>
              <w:rPr>
                <w:color w:val="000000"/>
                <w:sz w:val="20"/>
                <w:szCs w:val="20"/>
              </w:rPr>
            </w:pPr>
            <w:r>
              <w:rPr>
                <w:color w:val="000000"/>
                <w:sz w:val="20"/>
                <w:szCs w:val="20"/>
              </w:rPr>
              <w:t xml:space="preserve">Young Dependency Ratio: </w:t>
            </w:r>
            <w:proofErr w:type="spellStart"/>
            <w:r w:rsidR="00385743" w:rsidRPr="00385743">
              <w:rPr>
                <w:color w:val="000000"/>
                <w:sz w:val="20"/>
                <w:szCs w:val="20"/>
              </w:rPr>
              <w:t>youngdep</w:t>
            </w:r>
            <w:proofErr w:type="spellEnd"/>
          </w:p>
        </w:tc>
        <w:tc>
          <w:tcPr>
            <w:tcW w:w="867" w:type="dxa"/>
            <w:tcBorders>
              <w:top w:val="nil"/>
              <w:left w:val="nil"/>
              <w:bottom w:val="single" w:sz="4" w:space="0" w:color="auto"/>
              <w:right w:val="single" w:sz="4" w:space="0" w:color="auto"/>
            </w:tcBorders>
            <w:shd w:val="clear" w:color="auto" w:fill="auto"/>
            <w:noWrap/>
            <w:vAlign w:val="bottom"/>
            <w:hideMark/>
          </w:tcPr>
          <w:p w14:paraId="3539DB23" w14:textId="77777777" w:rsidR="00385743" w:rsidRPr="00385743" w:rsidRDefault="00385743" w:rsidP="00385743">
            <w:pPr>
              <w:jc w:val="right"/>
              <w:rPr>
                <w:color w:val="000000"/>
                <w:sz w:val="20"/>
                <w:szCs w:val="20"/>
              </w:rPr>
            </w:pPr>
            <w:r w:rsidRPr="00385743">
              <w:rPr>
                <w:color w:val="000000"/>
                <w:sz w:val="20"/>
                <w:szCs w:val="20"/>
              </w:rPr>
              <w:t>0.98</w:t>
            </w:r>
          </w:p>
        </w:tc>
        <w:tc>
          <w:tcPr>
            <w:tcW w:w="868" w:type="dxa"/>
            <w:tcBorders>
              <w:top w:val="nil"/>
              <w:left w:val="nil"/>
              <w:bottom w:val="single" w:sz="4" w:space="0" w:color="auto"/>
              <w:right w:val="single" w:sz="4" w:space="0" w:color="auto"/>
            </w:tcBorders>
            <w:shd w:val="clear" w:color="auto" w:fill="auto"/>
            <w:noWrap/>
            <w:vAlign w:val="bottom"/>
            <w:hideMark/>
          </w:tcPr>
          <w:p w14:paraId="07988E75" w14:textId="77777777" w:rsidR="00385743" w:rsidRPr="00385743" w:rsidRDefault="00385743" w:rsidP="00385743">
            <w:pPr>
              <w:jc w:val="right"/>
              <w:rPr>
                <w:color w:val="000000"/>
                <w:sz w:val="20"/>
                <w:szCs w:val="20"/>
              </w:rPr>
            </w:pPr>
            <w:r w:rsidRPr="00385743">
              <w:rPr>
                <w:color w:val="000000"/>
                <w:sz w:val="20"/>
                <w:szCs w:val="20"/>
              </w:rPr>
              <w:t>-0.73</w:t>
            </w:r>
          </w:p>
        </w:tc>
        <w:tc>
          <w:tcPr>
            <w:tcW w:w="868" w:type="dxa"/>
            <w:tcBorders>
              <w:top w:val="nil"/>
              <w:left w:val="nil"/>
              <w:bottom w:val="single" w:sz="4" w:space="0" w:color="auto"/>
              <w:right w:val="single" w:sz="4" w:space="0" w:color="auto"/>
            </w:tcBorders>
            <w:shd w:val="clear" w:color="auto" w:fill="auto"/>
            <w:noWrap/>
            <w:vAlign w:val="bottom"/>
            <w:hideMark/>
          </w:tcPr>
          <w:p w14:paraId="029DCF96" w14:textId="77777777" w:rsidR="00385743" w:rsidRPr="00385743" w:rsidRDefault="00385743" w:rsidP="00385743">
            <w:pPr>
              <w:jc w:val="right"/>
              <w:rPr>
                <w:color w:val="000000"/>
                <w:sz w:val="20"/>
                <w:szCs w:val="20"/>
              </w:rPr>
            </w:pPr>
            <w:r w:rsidRPr="00385743">
              <w:rPr>
                <w:color w:val="000000"/>
                <w:sz w:val="20"/>
                <w:szCs w:val="20"/>
              </w:rPr>
              <w:t>1.00</w:t>
            </w:r>
          </w:p>
        </w:tc>
        <w:tc>
          <w:tcPr>
            <w:tcW w:w="868" w:type="dxa"/>
            <w:tcBorders>
              <w:top w:val="nil"/>
              <w:left w:val="nil"/>
              <w:bottom w:val="single" w:sz="4" w:space="0" w:color="auto"/>
              <w:right w:val="single" w:sz="4" w:space="0" w:color="auto"/>
            </w:tcBorders>
            <w:shd w:val="clear" w:color="auto" w:fill="auto"/>
            <w:noWrap/>
            <w:vAlign w:val="bottom"/>
            <w:hideMark/>
          </w:tcPr>
          <w:p w14:paraId="7B315FFE" w14:textId="77777777" w:rsidR="00385743" w:rsidRPr="00385743" w:rsidRDefault="00385743" w:rsidP="00385743">
            <w:pPr>
              <w:rPr>
                <w:color w:val="000000"/>
                <w:sz w:val="20"/>
                <w:szCs w:val="20"/>
              </w:rPr>
            </w:pPr>
            <w:r w:rsidRPr="00385743">
              <w:rPr>
                <w:color w:val="000000"/>
                <w:sz w:val="20"/>
                <w:szCs w:val="20"/>
              </w:rPr>
              <w:t> </w:t>
            </w:r>
          </w:p>
        </w:tc>
        <w:tc>
          <w:tcPr>
            <w:tcW w:w="868" w:type="dxa"/>
            <w:tcBorders>
              <w:top w:val="nil"/>
              <w:left w:val="nil"/>
              <w:bottom w:val="single" w:sz="4" w:space="0" w:color="auto"/>
              <w:right w:val="single" w:sz="4" w:space="0" w:color="auto"/>
            </w:tcBorders>
            <w:shd w:val="clear" w:color="auto" w:fill="auto"/>
            <w:noWrap/>
            <w:vAlign w:val="bottom"/>
            <w:hideMark/>
          </w:tcPr>
          <w:p w14:paraId="303C7D73" w14:textId="77777777" w:rsidR="00385743" w:rsidRPr="00385743" w:rsidRDefault="00385743" w:rsidP="00385743">
            <w:pPr>
              <w:rPr>
                <w:color w:val="000000"/>
                <w:sz w:val="20"/>
                <w:szCs w:val="20"/>
              </w:rPr>
            </w:pPr>
            <w:r w:rsidRPr="00385743">
              <w:rPr>
                <w:color w:val="000000"/>
                <w:sz w:val="20"/>
                <w:szCs w:val="20"/>
              </w:rPr>
              <w:t> </w:t>
            </w:r>
          </w:p>
        </w:tc>
        <w:tc>
          <w:tcPr>
            <w:tcW w:w="868" w:type="dxa"/>
            <w:tcBorders>
              <w:top w:val="nil"/>
              <w:left w:val="nil"/>
              <w:bottom w:val="single" w:sz="4" w:space="0" w:color="auto"/>
              <w:right w:val="single" w:sz="4" w:space="0" w:color="auto"/>
            </w:tcBorders>
            <w:shd w:val="clear" w:color="auto" w:fill="auto"/>
            <w:noWrap/>
            <w:vAlign w:val="bottom"/>
            <w:hideMark/>
          </w:tcPr>
          <w:p w14:paraId="1BA57E05" w14:textId="77777777" w:rsidR="00385743" w:rsidRPr="00385743" w:rsidRDefault="00385743" w:rsidP="00385743">
            <w:pPr>
              <w:rPr>
                <w:color w:val="000000"/>
                <w:sz w:val="20"/>
                <w:szCs w:val="20"/>
              </w:rPr>
            </w:pPr>
            <w:r w:rsidRPr="00385743">
              <w:rPr>
                <w:color w:val="000000"/>
                <w:sz w:val="20"/>
                <w:szCs w:val="20"/>
              </w:rPr>
              <w:t> </w:t>
            </w:r>
          </w:p>
        </w:tc>
        <w:tc>
          <w:tcPr>
            <w:tcW w:w="868" w:type="dxa"/>
            <w:tcBorders>
              <w:top w:val="nil"/>
              <w:left w:val="nil"/>
              <w:bottom w:val="single" w:sz="4" w:space="0" w:color="auto"/>
              <w:right w:val="single" w:sz="4" w:space="0" w:color="auto"/>
            </w:tcBorders>
            <w:shd w:val="clear" w:color="auto" w:fill="auto"/>
            <w:noWrap/>
            <w:vAlign w:val="bottom"/>
            <w:hideMark/>
          </w:tcPr>
          <w:p w14:paraId="36E0461B" w14:textId="77777777" w:rsidR="00385743" w:rsidRPr="00385743" w:rsidRDefault="00385743" w:rsidP="00385743">
            <w:pPr>
              <w:rPr>
                <w:color w:val="000000"/>
                <w:sz w:val="20"/>
                <w:szCs w:val="20"/>
              </w:rPr>
            </w:pPr>
            <w:r w:rsidRPr="00385743">
              <w:rPr>
                <w:color w:val="000000"/>
                <w:sz w:val="20"/>
                <w:szCs w:val="20"/>
              </w:rPr>
              <w:t> </w:t>
            </w:r>
          </w:p>
        </w:tc>
      </w:tr>
      <w:tr w:rsidR="00385743" w:rsidRPr="00385743" w14:paraId="7417D989" w14:textId="77777777" w:rsidTr="00D06FC0">
        <w:trPr>
          <w:trHeight w:val="255"/>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552BA310" w14:textId="2FFE4E69" w:rsidR="00385743" w:rsidRPr="00385743" w:rsidRDefault="00D06FC0" w:rsidP="00385743">
            <w:pPr>
              <w:rPr>
                <w:color w:val="000000"/>
                <w:sz w:val="20"/>
                <w:szCs w:val="20"/>
              </w:rPr>
            </w:pPr>
            <w:r>
              <w:rPr>
                <w:color w:val="000000"/>
                <w:sz w:val="20"/>
                <w:szCs w:val="20"/>
              </w:rPr>
              <w:t xml:space="preserve">Prime-age Saver Population: </w:t>
            </w:r>
            <w:proofErr w:type="spellStart"/>
            <w:r w:rsidR="00385743" w:rsidRPr="00385743">
              <w:rPr>
                <w:color w:val="000000"/>
                <w:sz w:val="20"/>
                <w:szCs w:val="20"/>
              </w:rPr>
              <w:t>primesave</w:t>
            </w:r>
            <w:proofErr w:type="spellEnd"/>
          </w:p>
        </w:tc>
        <w:tc>
          <w:tcPr>
            <w:tcW w:w="867" w:type="dxa"/>
            <w:tcBorders>
              <w:top w:val="nil"/>
              <w:left w:val="nil"/>
              <w:bottom w:val="single" w:sz="4" w:space="0" w:color="auto"/>
              <w:right w:val="single" w:sz="4" w:space="0" w:color="auto"/>
            </w:tcBorders>
            <w:shd w:val="clear" w:color="auto" w:fill="auto"/>
            <w:noWrap/>
            <w:vAlign w:val="bottom"/>
            <w:hideMark/>
          </w:tcPr>
          <w:p w14:paraId="061B84BE" w14:textId="77777777" w:rsidR="00385743" w:rsidRPr="00385743" w:rsidRDefault="00385743" w:rsidP="00385743">
            <w:pPr>
              <w:jc w:val="right"/>
              <w:rPr>
                <w:color w:val="000000"/>
                <w:sz w:val="20"/>
                <w:szCs w:val="20"/>
              </w:rPr>
            </w:pPr>
            <w:r w:rsidRPr="00385743">
              <w:rPr>
                <w:color w:val="000000"/>
                <w:sz w:val="20"/>
                <w:szCs w:val="20"/>
              </w:rPr>
              <w:t>-0.81</w:t>
            </w:r>
          </w:p>
        </w:tc>
        <w:tc>
          <w:tcPr>
            <w:tcW w:w="868" w:type="dxa"/>
            <w:tcBorders>
              <w:top w:val="nil"/>
              <w:left w:val="nil"/>
              <w:bottom w:val="single" w:sz="4" w:space="0" w:color="auto"/>
              <w:right w:val="single" w:sz="4" w:space="0" w:color="auto"/>
            </w:tcBorders>
            <w:shd w:val="clear" w:color="auto" w:fill="auto"/>
            <w:noWrap/>
            <w:vAlign w:val="bottom"/>
            <w:hideMark/>
          </w:tcPr>
          <w:p w14:paraId="68C01E06" w14:textId="77777777" w:rsidR="00385743" w:rsidRPr="00385743" w:rsidRDefault="00385743" w:rsidP="00385743">
            <w:pPr>
              <w:jc w:val="right"/>
              <w:rPr>
                <w:color w:val="000000"/>
                <w:sz w:val="20"/>
                <w:szCs w:val="20"/>
              </w:rPr>
            </w:pPr>
            <w:r w:rsidRPr="00385743">
              <w:rPr>
                <w:color w:val="000000"/>
                <w:sz w:val="20"/>
                <w:szCs w:val="20"/>
              </w:rPr>
              <w:t>0.87</w:t>
            </w:r>
          </w:p>
        </w:tc>
        <w:tc>
          <w:tcPr>
            <w:tcW w:w="868" w:type="dxa"/>
            <w:tcBorders>
              <w:top w:val="nil"/>
              <w:left w:val="nil"/>
              <w:bottom w:val="single" w:sz="4" w:space="0" w:color="auto"/>
              <w:right w:val="single" w:sz="4" w:space="0" w:color="auto"/>
            </w:tcBorders>
            <w:shd w:val="clear" w:color="auto" w:fill="auto"/>
            <w:noWrap/>
            <w:vAlign w:val="bottom"/>
            <w:hideMark/>
          </w:tcPr>
          <w:p w14:paraId="2D4CC471" w14:textId="77777777" w:rsidR="00385743" w:rsidRPr="00385743" w:rsidRDefault="00385743" w:rsidP="00385743">
            <w:pPr>
              <w:jc w:val="right"/>
              <w:rPr>
                <w:color w:val="000000"/>
                <w:sz w:val="20"/>
                <w:szCs w:val="20"/>
              </w:rPr>
            </w:pPr>
            <w:r w:rsidRPr="00385743">
              <w:rPr>
                <w:color w:val="000000"/>
                <w:sz w:val="20"/>
                <w:szCs w:val="20"/>
              </w:rPr>
              <w:t>-0.90</w:t>
            </w:r>
          </w:p>
        </w:tc>
        <w:tc>
          <w:tcPr>
            <w:tcW w:w="868" w:type="dxa"/>
            <w:tcBorders>
              <w:top w:val="nil"/>
              <w:left w:val="nil"/>
              <w:bottom w:val="single" w:sz="4" w:space="0" w:color="auto"/>
              <w:right w:val="single" w:sz="4" w:space="0" w:color="auto"/>
            </w:tcBorders>
            <w:shd w:val="clear" w:color="auto" w:fill="auto"/>
            <w:noWrap/>
            <w:vAlign w:val="bottom"/>
            <w:hideMark/>
          </w:tcPr>
          <w:p w14:paraId="7518EAFB" w14:textId="77777777" w:rsidR="00385743" w:rsidRPr="00385743" w:rsidRDefault="00385743" w:rsidP="00385743">
            <w:pPr>
              <w:jc w:val="right"/>
              <w:rPr>
                <w:color w:val="000000"/>
                <w:sz w:val="20"/>
                <w:szCs w:val="20"/>
              </w:rPr>
            </w:pPr>
            <w:r w:rsidRPr="00385743">
              <w:rPr>
                <w:color w:val="000000"/>
                <w:sz w:val="20"/>
                <w:szCs w:val="20"/>
              </w:rPr>
              <w:t>1.00</w:t>
            </w:r>
          </w:p>
        </w:tc>
        <w:tc>
          <w:tcPr>
            <w:tcW w:w="868" w:type="dxa"/>
            <w:tcBorders>
              <w:top w:val="nil"/>
              <w:left w:val="nil"/>
              <w:bottom w:val="single" w:sz="4" w:space="0" w:color="auto"/>
              <w:right w:val="single" w:sz="4" w:space="0" w:color="auto"/>
            </w:tcBorders>
            <w:shd w:val="clear" w:color="auto" w:fill="auto"/>
            <w:noWrap/>
            <w:vAlign w:val="bottom"/>
            <w:hideMark/>
          </w:tcPr>
          <w:p w14:paraId="57FB8768" w14:textId="77777777" w:rsidR="00385743" w:rsidRPr="00385743" w:rsidRDefault="00385743" w:rsidP="00385743">
            <w:pPr>
              <w:rPr>
                <w:color w:val="000000"/>
                <w:sz w:val="20"/>
                <w:szCs w:val="20"/>
              </w:rPr>
            </w:pPr>
            <w:r w:rsidRPr="00385743">
              <w:rPr>
                <w:color w:val="000000"/>
                <w:sz w:val="20"/>
                <w:szCs w:val="20"/>
              </w:rPr>
              <w:t> </w:t>
            </w:r>
          </w:p>
        </w:tc>
        <w:tc>
          <w:tcPr>
            <w:tcW w:w="868" w:type="dxa"/>
            <w:tcBorders>
              <w:top w:val="nil"/>
              <w:left w:val="nil"/>
              <w:bottom w:val="single" w:sz="4" w:space="0" w:color="auto"/>
              <w:right w:val="single" w:sz="4" w:space="0" w:color="auto"/>
            </w:tcBorders>
            <w:shd w:val="clear" w:color="auto" w:fill="auto"/>
            <w:noWrap/>
            <w:vAlign w:val="bottom"/>
            <w:hideMark/>
          </w:tcPr>
          <w:p w14:paraId="67869418" w14:textId="77777777" w:rsidR="00385743" w:rsidRPr="00385743" w:rsidRDefault="00385743" w:rsidP="00385743">
            <w:pPr>
              <w:rPr>
                <w:color w:val="000000"/>
                <w:sz w:val="20"/>
                <w:szCs w:val="20"/>
              </w:rPr>
            </w:pPr>
            <w:r w:rsidRPr="00385743">
              <w:rPr>
                <w:color w:val="000000"/>
                <w:sz w:val="20"/>
                <w:szCs w:val="20"/>
              </w:rPr>
              <w:t> </w:t>
            </w:r>
          </w:p>
        </w:tc>
        <w:tc>
          <w:tcPr>
            <w:tcW w:w="868" w:type="dxa"/>
            <w:tcBorders>
              <w:top w:val="nil"/>
              <w:left w:val="nil"/>
              <w:bottom w:val="single" w:sz="4" w:space="0" w:color="auto"/>
              <w:right w:val="single" w:sz="4" w:space="0" w:color="auto"/>
            </w:tcBorders>
            <w:shd w:val="clear" w:color="auto" w:fill="auto"/>
            <w:noWrap/>
            <w:vAlign w:val="bottom"/>
            <w:hideMark/>
          </w:tcPr>
          <w:p w14:paraId="30EC4B77" w14:textId="77777777" w:rsidR="00385743" w:rsidRPr="00385743" w:rsidRDefault="00385743" w:rsidP="00385743">
            <w:pPr>
              <w:rPr>
                <w:color w:val="000000"/>
                <w:sz w:val="20"/>
                <w:szCs w:val="20"/>
              </w:rPr>
            </w:pPr>
            <w:r w:rsidRPr="00385743">
              <w:rPr>
                <w:color w:val="000000"/>
                <w:sz w:val="20"/>
                <w:szCs w:val="20"/>
              </w:rPr>
              <w:t> </w:t>
            </w:r>
          </w:p>
        </w:tc>
      </w:tr>
      <w:tr w:rsidR="00385743" w:rsidRPr="00385743" w14:paraId="7C2D6933" w14:textId="77777777" w:rsidTr="00D06FC0">
        <w:trPr>
          <w:trHeight w:val="255"/>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52015DA5" w14:textId="40F96996" w:rsidR="00385743" w:rsidRPr="00385743" w:rsidRDefault="00D06FC0" w:rsidP="00385743">
            <w:pPr>
              <w:rPr>
                <w:color w:val="000000"/>
                <w:sz w:val="20"/>
                <w:szCs w:val="20"/>
              </w:rPr>
            </w:pPr>
            <w:r>
              <w:rPr>
                <w:color w:val="000000"/>
                <w:sz w:val="20"/>
                <w:szCs w:val="20"/>
              </w:rPr>
              <w:t xml:space="preserve">Current Account to GDP: </w:t>
            </w:r>
            <w:proofErr w:type="spellStart"/>
            <w:r w:rsidR="00385743" w:rsidRPr="00385743">
              <w:rPr>
                <w:color w:val="000000"/>
                <w:sz w:val="20"/>
                <w:szCs w:val="20"/>
              </w:rPr>
              <w:t>curgdp</w:t>
            </w:r>
            <w:proofErr w:type="spellEnd"/>
          </w:p>
        </w:tc>
        <w:tc>
          <w:tcPr>
            <w:tcW w:w="867" w:type="dxa"/>
            <w:tcBorders>
              <w:top w:val="nil"/>
              <w:left w:val="nil"/>
              <w:bottom w:val="single" w:sz="4" w:space="0" w:color="auto"/>
              <w:right w:val="single" w:sz="4" w:space="0" w:color="auto"/>
            </w:tcBorders>
            <w:shd w:val="clear" w:color="auto" w:fill="auto"/>
            <w:noWrap/>
            <w:vAlign w:val="bottom"/>
            <w:hideMark/>
          </w:tcPr>
          <w:p w14:paraId="19726CF8" w14:textId="77777777" w:rsidR="00385743" w:rsidRPr="00385743" w:rsidRDefault="00385743" w:rsidP="00385743">
            <w:pPr>
              <w:jc w:val="right"/>
              <w:rPr>
                <w:b/>
                <w:bCs/>
                <w:color w:val="000000"/>
                <w:sz w:val="20"/>
                <w:szCs w:val="20"/>
              </w:rPr>
            </w:pPr>
            <w:r w:rsidRPr="00385743">
              <w:rPr>
                <w:b/>
                <w:bCs/>
                <w:color w:val="000000"/>
                <w:sz w:val="20"/>
                <w:szCs w:val="20"/>
              </w:rPr>
              <w:t>-0.20</w:t>
            </w:r>
          </w:p>
        </w:tc>
        <w:tc>
          <w:tcPr>
            <w:tcW w:w="868" w:type="dxa"/>
            <w:tcBorders>
              <w:top w:val="nil"/>
              <w:left w:val="nil"/>
              <w:bottom w:val="single" w:sz="4" w:space="0" w:color="auto"/>
              <w:right w:val="single" w:sz="4" w:space="0" w:color="auto"/>
            </w:tcBorders>
            <w:shd w:val="clear" w:color="auto" w:fill="auto"/>
            <w:noWrap/>
            <w:vAlign w:val="bottom"/>
            <w:hideMark/>
          </w:tcPr>
          <w:p w14:paraId="55CB1A65" w14:textId="77777777" w:rsidR="00385743" w:rsidRPr="00385743" w:rsidRDefault="00385743" w:rsidP="00385743">
            <w:pPr>
              <w:jc w:val="right"/>
              <w:rPr>
                <w:b/>
                <w:bCs/>
                <w:color w:val="000000"/>
                <w:sz w:val="20"/>
                <w:szCs w:val="20"/>
              </w:rPr>
            </w:pPr>
            <w:r w:rsidRPr="00385743">
              <w:rPr>
                <w:b/>
                <w:bCs/>
                <w:color w:val="000000"/>
                <w:sz w:val="20"/>
                <w:szCs w:val="20"/>
              </w:rPr>
              <w:t>0.08</w:t>
            </w:r>
          </w:p>
        </w:tc>
        <w:tc>
          <w:tcPr>
            <w:tcW w:w="868" w:type="dxa"/>
            <w:tcBorders>
              <w:top w:val="nil"/>
              <w:left w:val="nil"/>
              <w:bottom w:val="single" w:sz="4" w:space="0" w:color="auto"/>
              <w:right w:val="single" w:sz="4" w:space="0" w:color="auto"/>
            </w:tcBorders>
            <w:shd w:val="clear" w:color="auto" w:fill="auto"/>
            <w:noWrap/>
            <w:vAlign w:val="bottom"/>
            <w:hideMark/>
          </w:tcPr>
          <w:p w14:paraId="6BC06649" w14:textId="77777777" w:rsidR="00385743" w:rsidRPr="00385743" w:rsidRDefault="00385743" w:rsidP="00385743">
            <w:pPr>
              <w:jc w:val="right"/>
              <w:rPr>
                <w:b/>
                <w:bCs/>
                <w:color w:val="000000"/>
                <w:sz w:val="20"/>
                <w:szCs w:val="20"/>
              </w:rPr>
            </w:pPr>
            <w:r w:rsidRPr="00385743">
              <w:rPr>
                <w:b/>
                <w:bCs/>
                <w:color w:val="000000"/>
                <w:sz w:val="20"/>
                <w:szCs w:val="20"/>
              </w:rPr>
              <w:t>-0.18</w:t>
            </w:r>
          </w:p>
        </w:tc>
        <w:tc>
          <w:tcPr>
            <w:tcW w:w="868" w:type="dxa"/>
            <w:tcBorders>
              <w:top w:val="nil"/>
              <w:left w:val="nil"/>
              <w:bottom w:val="single" w:sz="4" w:space="0" w:color="auto"/>
              <w:right w:val="single" w:sz="4" w:space="0" w:color="auto"/>
            </w:tcBorders>
            <w:shd w:val="clear" w:color="auto" w:fill="auto"/>
            <w:noWrap/>
            <w:vAlign w:val="bottom"/>
            <w:hideMark/>
          </w:tcPr>
          <w:p w14:paraId="4F20F74E" w14:textId="77777777" w:rsidR="00385743" w:rsidRPr="00385743" w:rsidRDefault="00385743" w:rsidP="00385743">
            <w:pPr>
              <w:jc w:val="right"/>
              <w:rPr>
                <w:b/>
                <w:bCs/>
                <w:color w:val="000000"/>
                <w:sz w:val="20"/>
                <w:szCs w:val="20"/>
              </w:rPr>
            </w:pPr>
            <w:r w:rsidRPr="00385743">
              <w:rPr>
                <w:b/>
                <w:bCs/>
                <w:color w:val="000000"/>
                <w:sz w:val="20"/>
                <w:szCs w:val="20"/>
              </w:rPr>
              <w:t>0.16</w:t>
            </w:r>
          </w:p>
        </w:tc>
        <w:tc>
          <w:tcPr>
            <w:tcW w:w="868" w:type="dxa"/>
            <w:tcBorders>
              <w:top w:val="nil"/>
              <w:left w:val="nil"/>
              <w:bottom w:val="single" w:sz="4" w:space="0" w:color="auto"/>
              <w:right w:val="single" w:sz="4" w:space="0" w:color="auto"/>
            </w:tcBorders>
            <w:shd w:val="clear" w:color="auto" w:fill="auto"/>
            <w:noWrap/>
            <w:vAlign w:val="bottom"/>
            <w:hideMark/>
          </w:tcPr>
          <w:p w14:paraId="3EBC3DAF" w14:textId="77777777" w:rsidR="00385743" w:rsidRPr="00385743" w:rsidRDefault="00385743" w:rsidP="00385743">
            <w:pPr>
              <w:jc w:val="right"/>
              <w:rPr>
                <w:color w:val="000000"/>
                <w:sz w:val="20"/>
                <w:szCs w:val="20"/>
              </w:rPr>
            </w:pPr>
            <w:r w:rsidRPr="00385743">
              <w:rPr>
                <w:color w:val="000000"/>
                <w:sz w:val="20"/>
                <w:szCs w:val="20"/>
              </w:rPr>
              <w:t>1.00</w:t>
            </w:r>
          </w:p>
        </w:tc>
        <w:tc>
          <w:tcPr>
            <w:tcW w:w="868" w:type="dxa"/>
            <w:tcBorders>
              <w:top w:val="nil"/>
              <w:left w:val="nil"/>
              <w:bottom w:val="single" w:sz="4" w:space="0" w:color="auto"/>
              <w:right w:val="single" w:sz="4" w:space="0" w:color="auto"/>
            </w:tcBorders>
            <w:shd w:val="clear" w:color="auto" w:fill="auto"/>
            <w:noWrap/>
            <w:vAlign w:val="bottom"/>
            <w:hideMark/>
          </w:tcPr>
          <w:p w14:paraId="56972DF3" w14:textId="77777777" w:rsidR="00385743" w:rsidRPr="00385743" w:rsidRDefault="00385743" w:rsidP="00385743">
            <w:pPr>
              <w:rPr>
                <w:color w:val="000000"/>
                <w:sz w:val="20"/>
                <w:szCs w:val="20"/>
              </w:rPr>
            </w:pPr>
            <w:r w:rsidRPr="00385743">
              <w:rPr>
                <w:color w:val="000000"/>
                <w:sz w:val="20"/>
                <w:szCs w:val="20"/>
              </w:rPr>
              <w:t> </w:t>
            </w:r>
          </w:p>
        </w:tc>
        <w:tc>
          <w:tcPr>
            <w:tcW w:w="868" w:type="dxa"/>
            <w:tcBorders>
              <w:top w:val="nil"/>
              <w:left w:val="nil"/>
              <w:bottom w:val="single" w:sz="4" w:space="0" w:color="auto"/>
              <w:right w:val="single" w:sz="4" w:space="0" w:color="auto"/>
            </w:tcBorders>
            <w:shd w:val="clear" w:color="auto" w:fill="auto"/>
            <w:noWrap/>
            <w:vAlign w:val="bottom"/>
            <w:hideMark/>
          </w:tcPr>
          <w:p w14:paraId="00CAB925" w14:textId="77777777" w:rsidR="00385743" w:rsidRPr="00385743" w:rsidRDefault="00385743" w:rsidP="00385743">
            <w:pPr>
              <w:rPr>
                <w:color w:val="000000"/>
                <w:sz w:val="20"/>
                <w:szCs w:val="20"/>
              </w:rPr>
            </w:pPr>
            <w:r w:rsidRPr="00385743">
              <w:rPr>
                <w:color w:val="000000"/>
                <w:sz w:val="20"/>
                <w:szCs w:val="20"/>
              </w:rPr>
              <w:t> </w:t>
            </w:r>
          </w:p>
        </w:tc>
      </w:tr>
      <w:tr w:rsidR="00385743" w:rsidRPr="00385743" w14:paraId="714A918B" w14:textId="77777777" w:rsidTr="00D06FC0">
        <w:trPr>
          <w:trHeight w:val="255"/>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7529C289" w14:textId="196AEDA1" w:rsidR="00385743" w:rsidRPr="00385743" w:rsidRDefault="00D06FC0" w:rsidP="00385743">
            <w:pPr>
              <w:rPr>
                <w:color w:val="000000"/>
                <w:sz w:val="20"/>
                <w:szCs w:val="20"/>
              </w:rPr>
            </w:pPr>
            <w:r>
              <w:rPr>
                <w:color w:val="000000"/>
                <w:sz w:val="20"/>
                <w:szCs w:val="20"/>
              </w:rPr>
              <w:t xml:space="preserve">Savings to GDP: </w:t>
            </w:r>
            <w:proofErr w:type="spellStart"/>
            <w:r w:rsidR="00385743" w:rsidRPr="00385743">
              <w:rPr>
                <w:color w:val="000000"/>
                <w:sz w:val="20"/>
                <w:szCs w:val="20"/>
              </w:rPr>
              <w:t>savgdp</w:t>
            </w:r>
            <w:proofErr w:type="spellEnd"/>
          </w:p>
        </w:tc>
        <w:tc>
          <w:tcPr>
            <w:tcW w:w="867" w:type="dxa"/>
            <w:tcBorders>
              <w:top w:val="nil"/>
              <w:left w:val="nil"/>
              <w:bottom w:val="single" w:sz="4" w:space="0" w:color="auto"/>
              <w:right w:val="single" w:sz="4" w:space="0" w:color="auto"/>
            </w:tcBorders>
            <w:shd w:val="clear" w:color="auto" w:fill="auto"/>
            <w:noWrap/>
            <w:vAlign w:val="bottom"/>
            <w:hideMark/>
          </w:tcPr>
          <w:p w14:paraId="5E18F4A2" w14:textId="77777777" w:rsidR="00385743" w:rsidRPr="00385743" w:rsidRDefault="00385743" w:rsidP="00385743">
            <w:pPr>
              <w:jc w:val="right"/>
              <w:rPr>
                <w:color w:val="000000"/>
                <w:sz w:val="20"/>
                <w:szCs w:val="20"/>
              </w:rPr>
            </w:pPr>
            <w:r w:rsidRPr="00385743">
              <w:rPr>
                <w:color w:val="000000"/>
                <w:sz w:val="20"/>
                <w:szCs w:val="20"/>
              </w:rPr>
              <w:t>-0.31</w:t>
            </w:r>
          </w:p>
        </w:tc>
        <w:tc>
          <w:tcPr>
            <w:tcW w:w="868" w:type="dxa"/>
            <w:tcBorders>
              <w:top w:val="nil"/>
              <w:left w:val="nil"/>
              <w:bottom w:val="single" w:sz="4" w:space="0" w:color="auto"/>
              <w:right w:val="single" w:sz="4" w:space="0" w:color="auto"/>
            </w:tcBorders>
            <w:shd w:val="clear" w:color="auto" w:fill="auto"/>
            <w:noWrap/>
            <w:vAlign w:val="bottom"/>
            <w:hideMark/>
          </w:tcPr>
          <w:p w14:paraId="7E6DD638" w14:textId="77777777" w:rsidR="00385743" w:rsidRPr="00385743" w:rsidRDefault="00385743" w:rsidP="00385743">
            <w:pPr>
              <w:jc w:val="right"/>
              <w:rPr>
                <w:color w:val="000000"/>
                <w:sz w:val="20"/>
                <w:szCs w:val="20"/>
              </w:rPr>
            </w:pPr>
            <w:r w:rsidRPr="00385743">
              <w:rPr>
                <w:color w:val="000000"/>
                <w:sz w:val="20"/>
                <w:szCs w:val="20"/>
              </w:rPr>
              <w:t>0.06</w:t>
            </w:r>
          </w:p>
        </w:tc>
        <w:tc>
          <w:tcPr>
            <w:tcW w:w="868" w:type="dxa"/>
            <w:tcBorders>
              <w:top w:val="nil"/>
              <w:left w:val="nil"/>
              <w:bottom w:val="single" w:sz="4" w:space="0" w:color="auto"/>
              <w:right w:val="single" w:sz="4" w:space="0" w:color="auto"/>
            </w:tcBorders>
            <w:shd w:val="clear" w:color="auto" w:fill="auto"/>
            <w:noWrap/>
            <w:vAlign w:val="bottom"/>
            <w:hideMark/>
          </w:tcPr>
          <w:p w14:paraId="56C02DB6" w14:textId="77777777" w:rsidR="00385743" w:rsidRPr="00385743" w:rsidRDefault="00385743" w:rsidP="00385743">
            <w:pPr>
              <w:jc w:val="right"/>
              <w:rPr>
                <w:color w:val="000000"/>
                <w:sz w:val="20"/>
                <w:szCs w:val="20"/>
              </w:rPr>
            </w:pPr>
            <w:r w:rsidRPr="00385743">
              <w:rPr>
                <w:color w:val="000000"/>
                <w:sz w:val="20"/>
                <w:szCs w:val="20"/>
              </w:rPr>
              <w:t>-0.26</w:t>
            </w:r>
          </w:p>
        </w:tc>
        <w:tc>
          <w:tcPr>
            <w:tcW w:w="868" w:type="dxa"/>
            <w:tcBorders>
              <w:top w:val="nil"/>
              <w:left w:val="nil"/>
              <w:bottom w:val="single" w:sz="4" w:space="0" w:color="auto"/>
              <w:right w:val="single" w:sz="4" w:space="0" w:color="auto"/>
            </w:tcBorders>
            <w:shd w:val="clear" w:color="auto" w:fill="auto"/>
            <w:noWrap/>
            <w:vAlign w:val="bottom"/>
            <w:hideMark/>
          </w:tcPr>
          <w:p w14:paraId="25A67343" w14:textId="77777777" w:rsidR="00385743" w:rsidRPr="00385743" w:rsidRDefault="00385743" w:rsidP="00385743">
            <w:pPr>
              <w:jc w:val="right"/>
              <w:rPr>
                <w:color w:val="000000"/>
                <w:sz w:val="20"/>
                <w:szCs w:val="20"/>
              </w:rPr>
            </w:pPr>
            <w:r w:rsidRPr="00385743">
              <w:rPr>
                <w:color w:val="000000"/>
                <w:sz w:val="20"/>
                <w:szCs w:val="20"/>
              </w:rPr>
              <w:t>0.19</w:t>
            </w:r>
          </w:p>
        </w:tc>
        <w:tc>
          <w:tcPr>
            <w:tcW w:w="868" w:type="dxa"/>
            <w:tcBorders>
              <w:top w:val="nil"/>
              <w:left w:val="nil"/>
              <w:bottom w:val="single" w:sz="4" w:space="0" w:color="auto"/>
              <w:right w:val="single" w:sz="4" w:space="0" w:color="auto"/>
            </w:tcBorders>
            <w:shd w:val="clear" w:color="auto" w:fill="auto"/>
            <w:noWrap/>
            <w:vAlign w:val="bottom"/>
            <w:hideMark/>
          </w:tcPr>
          <w:p w14:paraId="7DA0AA80" w14:textId="77777777" w:rsidR="00385743" w:rsidRPr="00385743" w:rsidRDefault="00385743" w:rsidP="00385743">
            <w:pPr>
              <w:jc w:val="right"/>
              <w:rPr>
                <w:color w:val="000000"/>
                <w:sz w:val="20"/>
                <w:szCs w:val="20"/>
              </w:rPr>
            </w:pPr>
            <w:r w:rsidRPr="00385743">
              <w:rPr>
                <w:color w:val="000000"/>
                <w:sz w:val="20"/>
                <w:szCs w:val="20"/>
              </w:rPr>
              <w:t>0.64</w:t>
            </w:r>
          </w:p>
        </w:tc>
        <w:tc>
          <w:tcPr>
            <w:tcW w:w="868" w:type="dxa"/>
            <w:tcBorders>
              <w:top w:val="nil"/>
              <w:left w:val="nil"/>
              <w:bottom w:val="single" w:sz="4" w:space="0" w:color="auto"/>
              <w:right w:val="single" w:sz="4" w:space="0" w:color="auto"/>
            </w:tcBorders>
            <w:shd w:val="clear" w:color="auto" w:fill="auto"/>
            <w:noWrap/>
            <w:vAlign w:val="bottom"/>
            <w:hideMark/>
          </w:tcPr>
          <w:p w14:paraId="17B9F68D" w14:textId="77777777" w:rsidR="00385743" w:rsidRPr="00385743" w:rsidRDefault="00385743" w:rsidP="00385743">
            <w:pPr>
              <w:jc w:val="right"/>
              <w:rPr>
                <w:color w:val="000000"/>
                <w:sz w:val="20"/>
                <w:szCs w:val="20"/>
              </w:rPr>
            </w:pPr>
            <w:r w:rsidRPr="00385743">
              <w:rPr>
                <w:color w:val="000000"/>
                <w:sz w:val="20"/>
                <w:szCs w:val="20"/>
              </w:rPr>
              <w:t>1.00</w:t>
            </w:r>
          </w:p>
        </w:tc>
        <w:tc>
          <w:tcPr>
            <w:tcW w:w="868" w:type="dxa"/>
            <w:tcBorders>
              <w:top w:val="nil"/>
              <w:left w:val="nil"/>
              <w:bottom w:val="single" w:sz="4" w:space="0" w:color="auto"/>
              <w:right w:val="single" w:sz="4" w:space="0" w:color="auto"/>
            </w:tcBorders>
            <w:shd w:val="clear" w:color="auto" w:fill="auto"/>
            <w:noWrap/>
            <w:vAlign w:val="bottom"/>
            <w:hideMark/>
          </w:tcPr>
          <w:p w14:paraId="5434310D" w14:textId="77777777" w:rsidR="00385743" w:rsidRPr="00385743" w:rsidRDefault="00385743" w:rsidP="00385743">
            <w:pPr>
              <w:rPr>
                <w:color w:val="000000"/>
                <w:sz w:val="20"/>
                <w:szCs w:val="20"/>
              </w:rPr>
            </w:pPr>
            <w:r w:rsidRPr="00385743">
              <w:rPr>
                <w:color w:val="000000"/>
                <w:sz w:val="20"/>
                <w:szCs w:val="20"/>
              </w:rPr>
              <w:t> </w:t>
            </w:r>
          </w:p>
        </w:tc>
      </w:tr>
      <w:tr w:rsidR="00385743" w:rsidRPr="00385743" w14:paraId="6E1FC5DB" w14:textId="77777777" w:rsidTr="00D06FC0">
        <w:trPr>
          <w:trHeight w:val="255"/>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54BE68D2" w14:textId="19FB7F63" w:rsidR="00385743" w:rsidRPr="00385743" w:rsidRDefault="00D06FC0" w:rsidP="00385743">
            <w:pPr>
              <w:rPr>
                <w:color w:val="000000"/>
                <w:sz w:val="20"/>
                <w:szCs w:val="20"/>
              </w:rPr>
            </w:pPr>
            <w:r>
              <w:rPr>
                <w:color w:val="000000"/>
                <w:sz w:val="20"/>
                <w:szCs w:val="20"/>
              </w:rPr>
              <w:t xml:space="preserve">Investment to GDP: </w:t>
            </w:r>
            <w:proofErr w:type="spellStart"/>
            <w:r w:rsidR="00385743" w:rsidRPr="00385743">
              <w:rPr>
                <w:color w:val="000000"/>
                <w:sz w:val="20"/>
                <w:szCs w:val="20"/>
              </w:rPr>
              <w:t>invgdp</w:t>
            </w:r>
            <w:proofErr w:type="spellEnd"/>
          </w:p>
        </w:tc>
        <w:tc>
          <w:tcPr>
            <w:tcW w:w="867" w:type="dxa"/>
            <w:tcBorders>
              <w:top w:val="nil"/>
              <w:left w:val="nil"/>
              <w:bottom w:val="single" w:sz="4" w:space="0" w:color="auto"/>
              <w:right w:val="single" w:sz="4" w:space="0" w:color="auto"/>
            </w:tcBorders>
            <w:shd w:val="clear" w:color="auto" w:fill="auto"/>
            <w:noWrap/>
            <w:vAlign w:val="bottom"/>
            <w:hideMark/>
          </w:tcPr>
          <w:p w14:paraId="27C82CB6" w14:textId="77777777" w:rsidR="00385743" w:rsidRPr="00385743" w:rsidRDefault="00385743" w:rsidP="00385743">
            <w:pPr>
              <w:jc w:val="right"/>
              <w:rPr>
                <w:color w:val="000000"/>
                <w:sz w:val="20"/>
                <w:szCs w:val="20"/>
              </w:rPr>
            </w:pPr>
            <w:r w:rsidRPr="00385743">
              <w:rPr>
                <w:color w:val="000000"/>
                <w:sz w:val="20"/>
                <w:szCs w:val="20"/>
              </w:rPr>
              <w:t>-0.24</w:t>
            </w:r>
          </w:p>
        </w:tc>
        <w:tc>
          <w:tcPr>
            <w:tcW w:w="868" w:type="dxa"/>
            <w:tcBorders>
              <w:top w:val="nil"/>
              <w:left w:val="nil"/>
              <w:bottom w:val="single" w:sz="4" w:space="0" w:color="auto"/>
              <w:right w:val="single" w:sz="4" w:space="0" w:color="auto"/>
            </w:tcBorders>
            <w:shd w:val="clear" w:color="auto" w:fill="auto"/>
            <w:noWrap/>
            <w:vAlign w:val="bottom"/>
            <w:hideMark/>
          </w:tcPr>
          <w:p w14:paraId="45681596" w14:textId="77777777" w:rsidR="00385743" w:rsidRPr="00385743" w:rsidRDefault="00385743" w:rsidP="00385743">
            <w:pPr>
              <w:jc w:val="right"/>
              <w:rPr>
                <w:color w:val="000000"/>
                <w:sz w:val="20"/>
                <w:szCs w:val="20"/>
              </w:rPr>
            </w:pPr>
            <w:r w:rsidRPr="00385743">
              <w:rPr>
                <w:color w:val="000000"/>
                <w:sz w:val="20"/>
                <w:szCs w:val="20"/>
              </w:rPr>
              <w:t>0.05</w:t>
            </w:r>
          </w:p>
        </w:tc>
        <w:tc>
          <w:tcPr>
            <w:tcW w:w="868" w:type="dxa"/>
            <w:tcBorders>
              <w:top w:val="nil"/>
              <w:left w:val="nil"/>
              <w:bottom w:val="single" w:sz="4" w:space="0" w:color="auto"/>
              <w:right w:val="single" w:sz="4" w:space="0" w:color="auto"/>
            </w:tcBorders>
            <w:shd w:val="clear" w:color="auto" w:fill="auto"/>
            <w:noWrap/>
            <w:vAlign w:val="bottom"/>
            <w:hideMark/>
          </w:tcPr>
          <w:p w14:paraId="451102AB" w14:textId="77777777" w:rsidR="00385743" w:rsidRPr="00385743" w:rsidRDefault="00385743" w:rsidP="00385743">
            <w:pPr>
              <w:jc w:val="right"/>
              <w:rPr>
                <w:color w:val="000000"/>
                <w:sz w:val="20"/>
                <w:szCs w:val="20"/>
              </w:rPr>
            </w:pPr>
            <w:r w:rsidRPr="00385743">
              <w:rPr>
                <w:color w:val="000000"/>
                <w:sz w:val="20"/>
                <w:szCs w:val="20"/>
              </w:rPr>
              <w:t>-0.21</w:t>
            </w:r>
          </w:p>
        </w:tc>
        <w:tc>
          <w:tcPr>
            <w:tcW w:w="868" w:type="dxa"/>
            <w:tcBorders>
              <w:top w:val="nil"/>
              <w:left w:val="nil"/>
              <w:bottom w:val="single" w:sz="4" w:space="0" w:color="auto"/>
              <w:right w:val="single" w:sz="4" w:space="0" w:color="auto"/>
            </w:tcBorders>
            <w:shd w:val="clear" w:color="auto" w:fill="auto"/>
            <w:noWrap/>
            <w:vAlign w:val="bottom"/>
            <w:hideMark/>
          </w:tcPr>
          <w:p w14:paraId="38A03888" w14:textId="77777777" w:rsidR="00385743" w:rsidRPr="00385743" w:rsidRDefault="00385743" w:rsidP="00385743">
            <w:pPr>
              <w:jc w:val="right"/>
              <w:rPr>
                <w:color w:val="000000"/>
                <w:sz w:val="20"/>
                <w:szCs w:val="20"/>
              </w:rPr>
            </w:pPr>
            <w:r w:rsidRPr="00385743">
              <w:rPr>
                <w:color w:val="000000"/>
                <w:sz w:val="20"/>
                <w:szCs w:val="20"/>
              </w:rPr>
              <w:t>0.14</w:t>
            </w:r>
          </w:p>
        </w:tc>
        <w:tc>
          <w:tcPr>
            <w:tcW w:w="868" w:type="dxa"/>
            <w:tcBorders>
              <w:top w:val="nil"/>
              <w:left w:val="nil"/>
              <w:bottom w:val="single" w:sz="4" w:space="0" w:color="auto"/>
              <w:right w:val="single" w:sz="4" w:space="0" w:color="auto"/>
            </w:tcBorders>
            <w:shd w:val="clear" w:color="auto" w:fill="auto"/>
            <w:noWrap/>
            <w:vAlign w:val="bottom"/>
            <w:hideMark/>
          </w:tcPr>
          <w:p w14:paraId="75A58E26" w14:textId="77777777" w:rsidR="00385743" w:rsidRPr="00385743" w:rsidRDefault="00385743" w:rsidP="00385743">
            <w:pPr>
              <w:jc w:val="right"/>
              <w:rPr>
                <w:color w:val="000000"/>
                <w:sz w:val="20"/>
                <w:szCs w:val="20"/>
              </w:rPr>
            </w:pPr>
            <w:r w:rsidRPr="00385743">
              <w:rPr>
                <w:color w:val="000000"/>
                <w:sz w:val="20"/>
                <w:szCs w:val="20"/>
              </w:rPr>
              <w:t>-0.21</w:t>
            </w:r>
          </w:p>
        </w:tc>
        <w:tc>
          <w:tcPr>
            <w:tcW w:w="868" w:type="dxa"/>
            <w:tcBorders>
              <w:top w:val="nil"/>
              <w:left w:val="nil"/>
              <w:bottom w:val="single" w:sz="4" w:space="0" w:color="auto"/>
              <w:right w:val="single" w:sz="4" w:space="0" w:color="auto"/>
            </w:tcBorders>
            <w:shd w:val="clear" w:color="auto" w:fill="auto"/>
            <w:noWrap/>
            <w:vAlign w:val="bottom"/>
            <w:hideMark/>
          </w:tcPr>
          <w:p w14:paraId="6B4B325A" w14:textId="77777777" w:rsidR="00385743" w:rsidRPr="00385743" w:rsidRDefault="00385743" w:rsidP="00385743">
            <w:pPr>
              <w:jc w:val="right"/>
              <w:rPr>
                <w:color w:val="000000"/>
                <w:sz w:val="20"/>
                <w:szCs w:val="20"/>
              </w:rPr>
            </w:pPr>
            <w:r w:rsidRPr="00385743">
              <w:rPr>
                <w:color w:val="000000"/>
                <w:sz w:val="20"/>
                <w:szCs w:val="20"/>
              </w:rPr>
              <w:t>0.43</w:t>
            </w:r>
          </w:p>
        </w:tc>
        <w:tc>
          <w:tcPr>
            <w:tcW w:w="868" w:type="dxa"/>
            <w:tcBorders>
              <w:top w:val="nil"/>
              <w:left w:val="nil"/>
              <w:bottom w:val="single" w:sz="4" w:space="0" w:color="auto"/>
              <w:right w:val="single" w:sz="4" w:space="0" w:color="auto"/>
            </w:tcBorders>
            <w:shd w:val="clear" w:color="auto" w:fill="auto"/>
            <w:noWrap/>
            <w:vAlign w:val="bottom"/>
            <w:hideMark/>
          </w:tcPr>
          <w:p w14:paraId="3ED78BED" w14:textId="77777777" w:rsidR="00385743" w:rsidRPr="00385743" w:rsidRDefault="00385743" w:rsidP="00385743">
            <w:pPr>
              <w:jc w:val="right"/>
              <w:rPr>
                <w:color w:val="000000"/>
                <w:sz w:val="20"/>
                <w:szCs w:val="20"/>
              </w:rPr>
            </w:pPr>
            <w:r w:rsidRPr="00385743">
              <w:rPr>
                <w:color w:val="000000"/>
                <w:sz w:val="20"/>
                <w:szCs w:val="20"/>
              </w:rPr>
              <w:t>1.00</w:t>
            </w:r>
          </w:p>
        </w:tc>
      </w:tr>
    </w:tbl>
    <w:p w14:paraId="543A24BC" w14:textId="1565558C" w:rsidR="00385743" w:rsidRDefault="00385743" w:rsidP="0035674B"/>
    <w:p w14:paraId="799D9692" w14:textId="77777777" w:rsidR="00BB6E7C" w:rsidRDefault="00BB6E7C" w:rsidP="006955D9">
      <w:pPr>
        <w:spacing w:line="480" w:lineRule="auto"/>
        <w:jc w:val="center"/>
        <w:rPr>
          <w:b/>
          <w:bCs/>
        </w:rPr>
      </w:pPr>
    </w:p>
    <w:p w14:paraId="6B8FAA3B" w14:textId="14CC386E" w:rsidR="006955D9" w:rsidRDefault="006955D9" w:rsidP="006955D9">
      <w:pPr>
        <w:spacing w:line="480" w:lineRule="auto"/>
        <w:jc w:val="center"/>
      </w:pPr>
      <w:r>
        <w:rPr>
          <w:b/>
          <w:bCs/>
        </w:rPr>
        <w:t xml:space="preserve">Table 4: </w:t>
      </w:r>
      <w:r>
        <w:t>Coverage of Countries</w:t>
      </w:r>
    </w:p>
    <w:tbl>
      <w:tblPr>
        <w:tblW w:w="9631" w:type="dxa"/>
        <w:tblLook w:val="04A0" w:firstRow="1" w:lastRow="0" w:firstColumn="1" w:lastColumn="0" w:noHBand="0" w:noVBand="1"/>
      </w:tblPr>
      <w:tblGrid>
        <w:gridCol w:w="3371"/>
        <w:gridCol w:w="788"/>
        <w:gridCol w:w="1870"/>
        <w:gridCol w:w="1854"/>
        <w:gridCol w:w="852"/>
        <w:gridCol w:w="896"/>
      </w:tblGrid>
      <w:tr w:rsidR="006955D9" w:rsidRPr="006955D9" w14:paraId="0A67C220" w14:textId="77777777" w:rsidTr="006955D9">
        <w:trPr>
          <w:trHeight w:val="294"/>
        </w:trPr>
        <w:tc>
          <w:tcPr>
            <w:tcW w:w="337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53525" w14:textId="77777777" w:rsidR="006955D9" w:rsidRPr="006955D9" w:rsidRDefault="006955D9" w:rsidP="006955D9">
            <w:pPr>
              <w:rPr>
                <w:b/>
                <w:bCs/>
                <w:color w:val="000000"/>
                <w:sz w:val="20"/>
                <w:szCs w:val="20"/>
              </w:rPr>
            </w:pPr>
            <w:r w:rsidRPr="006955D9">
              <w:rPr>
                <w:b/>
                <w:bCs/>
                <w:color w:val="000000"/>
                <w:sz w:val="20"/>
                <w:szCs w:val="20"/>
              </w:rPr>
              <w:t>Region</w:t>
            </w:r>
          </w:p>
        </w:tc>
        <w:tc>
          <w:tcPr>
            <w:tcW w:w="5364" w:type="dxa"/>
            <w:gridSpan w:val="4"/>
            <w:tcBorders>
              <w:top w:val="single" w:sz="4" w:space="0" w:color="auto"/>
              <w:left w:val="nil"/>
              <w:bottom w:val="single" w:sz="4" w:space="0" w:color="auto"/>
              <w:right w:val="single" w:sz="4" w:space="0" w:color="auto"/>
            </w:tcBorders>
            <w:shd w:val="clear" w:color="auto" w:fill="auto"/>
            <w:noWrap/>
            <w:vAlign w:val="bottom"/>
            <w:hideMark/>
          </w:tcPr>
          <w:p w14:paraId="1FC47940" w14:textId="77777777" w:rsidR="006955D9" w:rsidRPr="006955D9" w:rsidRDefault="006955D9" w:rsidP="006955D9">
            <w:pPr>
              <w:jc w:val="center"/>
              <w:rPr>
                <w:b/>
                <w:bCs/>
                <w:color w:val="000000"/>
                <w:sz w:val="20"/>
                <w:szCs w:val="20"/>
              </w:rPr>
            </w:pPr>
            <w:r w:rsidRPr="006955D9">
              <w:rPr>
                <w:b/>
                <w:bCs/>
                <w:color w:val="000000"/>
                <w:sz w:val="20"/>
                <w:szCs w:val="20"/>
              </w:rPr>
              <w:t>Income Group</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14:paraId="4F6C578E" w14:textId="77777777" w:rsidR="006955D9" w:rsidRPr="006955D9" w:rsidRDefault="006955D9" w:rsidP="006955D9">
            <w:pPr>
              <w:rPr>
                <w:b/>
                <w:bCs/>
                <w:color w:val="000000"/>
                <w:sz w:val="20"/>
                <w:szCs w:val="20"/>
              </w:rPr>
            </w:pPr>
            <w:r w:rsidRPr="006955D9">
              <w:rPr>
                <w:b/>
                <w:bCs/>
                <w:color w:val="000000"/>
                <w:sz w:val="20"/>
                <w:szCs w:val="20"/>
              </w:rPr>
              <w:t> </w:t>
            </w:r>
          </w:p>
        </w:tc>
      </w:tr>
      <w:tr w:rsidR="006955D9" w:rsidRPr="006955D9" w14:paraId="1A06058C" w14:textId="77777777" w:rsidTr="006955D9">
        <w:trPr>
          <w:trHeight w:val="283"/>
        </w:trPr>
        <w:tc>
          <w:tcPr>
            <w:tcW w:w="3371" w:type="dxa"/>
            <w:vMerge/>
            <w:tcBorders>
              <w:top w:val="single" w:sz="4" w:space="0" w:color="auto"/>
              <w:left w:val="single" w:sz="4" w:space="0" w:color="auto"/>
              <w:bottom w:val="single" w:sz="4" w:space="0" w:color="auto"/>
              <w:right w:val="single" w:sz="4" w:space="0" w:color="auto"/>
            </w:tcBorders>
            <w:vAlign w:val="center"/>
            <w:hideMark/>
          </w:tcPr>
          <w:p w14:paraId="498EE971" w14:textId="77777777" w:rsidR="006955D9" w:rsidRPr="006955D9" w:rsidRDefault="006955D9" w:rsidP="006955D9">
            <w:pPr>
              <w:rPr>
                <w:b/>
                <w:bCs/>
                <w:color w:val="000000"/>
                <w:sz w:val="20"/>
                <w:szCs w:val="20"/>
              </w:rPr>
            </w:pPr>
          </w:p>
        </w:tc>
        <w:tc>
          <w:tcPr>
            <w:tcW w:w="788" w:type="dxa"/>
            <w:tcBorders>
              <w:top w:val="nil"/>
              <w:left w:val="nil"/>
              <w:bottom w:val="single" w:sz="4" w:space="0" w:color="auto"/>
              <w:right w:val="single" w:sz="4" w:space="0" w:color="auto"/>
            </w:tcBorders>
            <w:shd w:val="clear" w:color="auto" w:fill="auto"/>
            <w:noWrap/>
            <w:vAlign w:val="bottom"/>
            <w:hideMark/>
          </w:tcPr>
          <w:p w14:paraId="0A9E6726" w14:textId="2D7356BF" w:rsidR="006955D9" w:rsidRPr="006955D9" w:rsidRDefault="006955D9" w:rsidP="006955D9">
            <w:pPr>
              <w:jc w:val="center"/>
              <w:rPr>
                <w:b/>
                <w:bCs/>
                <w:color w:val="000000"/>
                <w:sz w:val="20"/>
                <w:szCs w:val="20"/>
              </w:rPr>
            </w:pPr>
            <w:r w:rsidRPr="006955D9">
              <w:rPr>
                <w:b/>
                <w:bCs/>
                <w:color w:val="000000"/>
                <w:sz w:val="20"/>
                <w:szCs w:val="20"/>
              </w:rPr>
              <w:t>Low</w:t>
            </w:r>
          </w:p>
        </w:tc>
        <w:tc>
          <w:tcPr>
            <w:tcW w:w="1870" w:type="dxa"/>
            <w:tcBorders>
              <w:top w:val="nil"/>
              <w:left w:val="nil"/>
              <w:bottom w:val="single" w:sz="4" w:space="0" w:color="auto"/>
              <w:right w:val="single" w:sz="4" w:space="0" w:color="auto"/>
            </w:tcBorders>
            <w:shd w:val="clear" w:color="auto" w:fill="auto"/>
            <w:noWrap/>
            <w:vAlign w:val="bottom"/>
            <w:hideMark/>
          </w:tcPr>
          <w:p w14:paraId="79E7E123" w14:textId="77777777" w:rsidR="006955D9" w:rsidRPr="006955D9" w:rsidRDefault="006955D9" w:rsidP="006955D9">
            <w:pPr>
              <w:jc w:val="center"/>
              <w:rPr>
                <w:b/>
                <w:bCs/>
                <w:color w:val="000000"/>
                <w:sz w:val="20"/>
                <w:szCs w:val="20"/>
              </w:rPr>
            </w:pPr>
            <w:r w:rsidRPr="006955D9">
              <w:rPr>
                <w:b/>
                <w:bCs/>
                <w:color w:val="000000"/>
                <w:sz w:val="20"/>
                <w:szCs w:val="20"/>
              </w:rPr>
              <w:t>Lower-Middle</w:t>
            </w:r>
          </w:p>
        </w:tc>
        <w:tc>
          <w:tcPr>
            <w:tcW w:w="1854" w:type="dxa"/>
            <w:tcBorders>
              <w:top w:val="nil"/>
              <w:left w:val="nil"/>
              <w:bottom w:val="single" w:sz="4" w:space="0" w:color="auto"/>
              <w:right w:val="single" w:sz="4" w:space="0" w:color="auto"/>
            </w:tcBorders>
            <w:shd w:val="clear" w:color="auto" w:fill="auto"/>
            <w:noWrap/>
            <w:vAlign w:val="bottom"/>
            <w:hideMark/>
          </w:tcPr>
          <w:p w14:paraId="4FB4EEBB" w14:textId="77777777" w:rsidR="006955D9" w:rsidRPr="006955D9" w:rsidRDefault="006955D9" w:rsidP="006955D9">
            <w:pPr>
              <w:jc w:val="center"/>
              <w:rPr>
                <w:b/>
                <w:bCs/>
                <w:color w:val="000000"/>
                <w:sz w:val="20"/>
                <w:szCs w:val="20"/>
              </w:rPr>
            </w:pPr>
            <w:r w:rsidRPr="006955D9">
              <w:rPr>
                <w:b/>
                <w:bCs/>
                <w:color w:val="000000"/>
                <w:sz w:val="20"/>
                <w:szCs w:val="20"/>
              </w:rPr>
              <w:t>Upper-Middle</w:t>
            </w:r>
          </w:p>
        </w:tc>
        <w:tc>
          <w:tcPr>
            <w:tcW w:w="851" w:type="dxa"/>
            <w:tcBorders>
              <w:top w:val="nil"/>
              <w:left w:val="nil"/>
              <w:bottom w:val="single" w:sz="4" w:space="0" w:color="auto"/>
              <w:right w:val="single" w:sz="4" w:space="0" w:color="auto"/>
            </w:tcBorders>
            <w:shd w:val="clear" w:color="auto" w:fill="auto"/>
            <w:noWrap/>
            <w:vAlign w:val="bottom"/>
            <w:hideMark/>
          </w:tcPr>
          <w:p w14:paraId="6B374EE0" w14:textId="77777777" w:rsidR="006955D9" w:rsidRPr="006955D9" w:rsidRDefault="006955D9" w:rsidP="006955D9">
            <w:pPr>
              <w:jc w:val="center"/>
              <w:rPr>
                <w:b/>
                <w:bCs/>
                <w:color w:val="000000"/>
                <w:sz w:val="20"/>
                <w:szCs w:val="20"/>
              </w:rPr>
            </w:pPr>
            <w:r w:rsidRPr="006955D9">
              <w:rPr>
                <w:b/>
                <w:bCs/>
                <w:color w:val="000000"/>
                <w:sz w:val="20"/>
                <w:szCs w:val="20"/>
              </w:rPr>
              <w:t>High</w:t>
            </w:r>
          </w:p>
        </w:tc>
        <w:tc>
          <w:tcPr>
            <w:tcW w:w="896" w:type="dxa"/>
            <w:tcBorders>
              <w:top w:val="nil"/>
              <w:left w:val="nil"/>
              <w:bottom w:val="single" w:sz="4" w:space="0" w:color="auto"/>
              <w:right w:val="single" w:sz="4" w:space="0" w:color="auto"/>
            </w:tcBorders>
            <w:shd w:val="clear" w:color="auto" w:fill="auto"/>
            <w:noWrap/>
            <w:vAlign w:val="bottom"/>
            <w:hideMark/>
          </w:tcPr>
          <w:p w14:paraId="43D9EA80" w14:textId="77777777" w:rsidR="006955D9" w:rsidRPr="006955D9" w:rsidRDefault="006955D9" w:rsidP="006955D9">
            <w:pPr>
              <w:jc w:val="center"/>
              <w:rPr>
                <w:b/>
                <w:bCs/>
                <w:color w:val="000000"/>
                <w:sz w:val="20"/>
                <w:szCs w:val="20"/>
              </w:rPr>
            </w:pPr>
            <w:r w:rsidRPr="006955D9">
              <w:rPr>
                <w:b/>
                <w:bCs/>
                <w:color w:val="000000"/>
                <w:sz w:val="20"/>
                <w:szCs w:val="20"/>
              </w:rPr>
              <w:t>Total</w:t>
            </w:r>
          </w:p>
        </w:tc>
      </w:tr>
      <w:tr w:rsidR="006955D9" w:rsidRPr="006955D9" w14:paraId="36D57BD5" w14:textId="77777777" w:rsidTr="006955D9">
        <w:trPr>
          <w:trHeight w:val="283"/>
        </w:trPr>
        <w:tc>
          <w:tcPr>
            <w:tcW w:w="3371" w:type="dxa"/>
            <w:tcBorders>
              <w:top w:val="nil"/>
              <w:left w:val="single" w:sz="4" w:space="0" w:color="auto"/>
              <w:bottom w:val="single" w:sz="4" w:space="0" w:color="auto"/>
              <w:right w:val="single" w:sz="4" w:space="0" w:color="auto"/>
            </w:tcBorders>
            <w:shd w:val="clear" w:color="auto" w:fill="auto"/>
            <w:noWrap/>
            <w:vAlign w:val="bottom"/>
            <w:hideMark/>
          </w:tcPr>
          <w:p w14:paraId="740F858D" w14:textId="3CD3ADB6" w:rsidR="006955D9" w:rsidRPr="006955D9" w:rsidRDefault="006955D9" w:rsidP="006955D9">
            <w:pPr>
              <w:rPr>
                <w:color w:val="000000"/>
                <w:sz w:val="20"/>
                <w:szCs w:val="20"/>
              </w:rPr>
            </w:pPr>
            <w:r w:rsidRPr="006955D9">
              <w:rPr>
                <w:color w:val="000000"/>
                <w:sz w:val="20"/>
                <w:szCs w:val="20"/>
              </w:rPr>
              <w:t>East Asia and Pacific</w:t>
            </w:r>
          </w:p>
        </w:tc>
        <w:tc>
          <w:tcPr>
            <w:tcW w:w="788" w:type="dxa"/>
            <w:tcBorders>
              <w:top w:val="nil"/>
              <w:left w:val="nil"/>
              <w:bottom w:val="single" w:sz="4" w:space="0" w:color="auto"/>
              <w:right w:val="single" w:sz="4" w:space="0" w:color="auto"/>
            </w:tcBorders>
            <w:shd w:val="clear" w:color="auto" w:fill="auto"/>
            <w:noWrap/>
            <w:vAlign w:val="bottom"/>
            <w:hideMark/>
          </w:tcPr>
          <w:p w14:paraId="12836D2F" w14:textId="77777777" w:rsidR="006955D9" w:rsidRPr="006955D9" w:rsidRDefault="006955D9" w:rsidP="006955D9">
            <w:pPr>
              <w:jc w:val="center"/>
              <w:rPr>
                <w:color w:val="000000"/>
                <w:sz w:val="20"/>
                <w:szCs w:val="20"/>
              </w:rPr>
            </w:pPr>
            <w:r w:rsidRPr="006955D9">
              <w:rPr>
                <w:color w:val="000000"/>
                <w:sz w:val="20"/>
                <w:szCs w:val="20"/>
              </w:rPr>
              <w:t>0</w:t>
            </w:r>
          </w:p>
        </w:tc>
        <w:tc>
          <w:tcPr>
            <w:tcW w:w="1870" w:type="dxa"/>
            <w:tcBorders>
              <w:top w:val="nil"/>
              <w:left w:val="nil"/>
              <w:bottom w:val="single" w:sz="4" w:space="0" w:color="auto"/>
              <w:right w:val="single" w:sz="4" w:space="0" w:color="auto"/>
            </w:tcBorders>
            <w:shd w:val="clear" w:color="auto" w:fill="auto"/>
            <w:noWrap/>
            <w:vAlign w:val="bottom"/>
            <w:hideMark/>
          </w:tcPr>
          <w:p w14:paraId="57005A65" w14:textId="77777777" w:rsidR="006955D9" w:rsidRPr="006955D9" w:rsidRDefault="006955D9" w:rsidP="006955D9">
            <w:pPr>
              <w:jc w:val="center"/>
              <w:rPr>
                <w:color w:val="000000"/>
                <w:sz w:val="20"/>
                <w:szCs w:val="20"/>
              </w:rPr>
            </w:pPr>
            <w:r w:rsidRPr="006955D9">
              <w:rPr>
                <w:color w:val="000000"/>
                <w:sz w:val="20"/>
                <w:szCs w:val="20"/>
              </w:rPr>
              <w:t>13</w:t>
            </w:r>
          </w:p>
        </w:tc>
        <w:tc>
          <w:tcPr>
            <w:tcW w:w="1854" w:type="dxa"/>
            <w:tcBorders>
              <w:top w:val="nil"/>
              <w:left w:val="nil"/>
              <w:bottom w:val="single" w:sz="4" w:space="0" w:color="auto"/>
              <w:right w:val="single" w:sz="4" w:space="0" w:color="auto"/>
            </w:tcBorders>
            <w:shd w:val="clear" w:color="auto" w:fill="auto"/>
            <w:noWrap/>
            <w:vAlign w:val="bottom"/>
            <w:hideMark/>
          </w:tcPr>
          <w:p w14:paraId="4398C8FB" w14:textId="77777777" w:rsidR="006955D9" w:rsidRPr="006955D9" w:rsidRDefault="006955D9" w:rsidP="006955D9">
            <w:pPr>
              <w:jc w:val="center"/>
              <w:rPr>
                <w:color w:val="000000"/>
                <w:sz w:val="20"/>
                <w:szCs w:val="20"/>
              </w:rPr>
            </w:pPr>
            <w:r w:rsidRPr="006955D9">
              <w:rPr>
                <w:color w:val="000000"/>
                <w:sz w:val="20"/>
                <w:szCs w:val="20"/>
              </w:rPr>
              <w:t>6</w:t>
            </w:r>
          </w:p>
        </w:tc>
        <w:tc>
          <w:tcPr>
            <w:tcW w:w="851" w:type="dxa"/>
            <w:tcBorders>
              <w:top w:val="nil"/>
              <w:left w:val="nil"/>
              <w:bottom w:val="single" w:sz="4" w:space="0" w:color="auto"/>
              <w:right w:val="single" w:sz="4" w:space="0" w:color="auto"/>
            </w:tcBorders>
            <w:shd w:val="clear" w:color="auto" w:fill="auto"/>
            <w:noWrap/>
            <w:vAlign w:val="bottom"/>
            <w:hideMark/>
          </w:tcPr>
          <w:p w14:paraId="57631B6D" w14:textId="77777777" w:rsidR="006955D9" w:rsidRPr="006955D9" w:rsidRDefault="006955D9" w:rsidP="006955D9">
            <w:pPr>
              <w:jc w:val="center"/>
              <w:rPr>
                <w:color w:val="000000"/>
                <w:sz w:val="20"/>
                <w:szCs w:val="20"/>
              </w:rPr>
            </w:pPr>
            <w:r w:rsidRPr="006955D9">
              <w:rPr>
                <w:color w:val="000000"/>
                <w:sz w:val="20"/>
                <w:szCs w:val="20"/>
              </w:rPr>
              <w:t>8</w:t>
            </w:r>
          </w:p>
        </w:tc>
        <w:tc>
          <w:tcPr>
            <w:tcW w:w="896" w:type="dxa"/>
            <w:tcBorders>
              <w:top w:val="nil"/>
              <w:left w:val="nil"/>
              <w:bottom w:val="single" w:sz="4" w:space="0" w:color="auto"/>
              <w:right w:val="single" w:sz="4" w:space="0" w:color="auto"/>
            </w:tcBorders>
            <w:shd w:val="clear" w:color="auto" w:fill="auto"/>
            <w:noWrap/>
            <w:vAlign w:val="bottom"/>
            <w:hideMark/>
          </w:tcPr>
          <w:p w14:paraId="10200110" w14:textId="77777777" w:rsidR="006955D9" w:rsidRPr="006955D9" w:rsidRDefault="006955D9" w:rsidP="006955D9">
            <w:pPr>
              <w:jc w:val="center"/>
              <w:rPr>
                <w:b/>
                <w:bCs/>
                <w:color w:val="000000"/>
                <w:sz w:val="20"/>
                <w:szCs w:val="20"/>
              </w:rPr>
            </w:pPr>
            <w:r w:rsidRPr="006955D9">
              <w:rPr>
                <w:b/>
                <w:bCs/>
                <w:color w:val="000000"/>
                <w:sz w:val="20"/>
                <w:szCs w:val="20"/>
              </w:rPr>
              <w:t>27</w:t>
            </w:r>
          </w:p>
        </w:tc>
      </w:tr>
      <w:tr w:rsidR="006955D9" w:rsidRPr="006955D9" w14:paraId="6A7BB3C9" w14:textId="77777777" w:rsidTr="006955D9">
        <w:trPr>
          <w:trHeight w:val="283"/>
        </w:trPr>
        <w:tc>
          <w:tcPr>
            <w:tcW w:w="3371" w:type="dxa"/>
            <w:tcBorders>
              <w:top w:val="nil"/>
              <w:left w:val="single" w:sz="4" w:space="0" w:color="auto"/>
              <w:bottom w:val="single" w:sz="4" w:space="0" w:color="auto"/>
              <w:right w:val="single" w:sz="4" w:space="0" w:color="auto"/>
            </w:tcBorders>
            <w:shd w:val="clear" w:color="auto" w:fill="auto"/>
            <w:noWrap/>
            <w:vAlign w:val="bottom"/>
            <w:hideMark/>
          </w:tcPr>
          <w:p w14:paraId="36FC7CFC" w14:textId="77777777" w:rsidR="006955D9" w:rsidRPr="006955D9" w:rsidRDefault="006955D9" w:rsidP="006955D9">
            <w:pPr>
              <w:rPr>
                <w:color w:val="000000"/>
                <w:sz w:val="20"/>
                <w:szCs w:val="20"/>
              </w:rPr>
            </w:pPr>
            <w:r w:rsidRPr="006955D9">
              <w:rPr>
                <w:color w:val="000000"/>
                <w:sz w:val="20"/>
                <w:szCs w:val="20"/>
              </w:rPr>
              <w:t>Europe and Central Asia</w:t>
            </w:r>
          </w:p>
        </w:tc>
        <w:tc>
          <w:tcPr>
            <w:tcW w:w="788" w:type="dxa"/>
            <w:tcBorders>
              <w:top w:val="nil"/>
              <w:left w:val="nil"/>
              <w:bottom w:val="single" w:sz="4" w:space="0" w:color="auto"/>
              <w:right w:val="single" w:sz="4" w:space="0" w:color="auto"/>
            </w:tcBorders>
            <w:shd w:val="clear" w:color="auto" w:fill="auto"/>
            <w:noWrap/>
            <w:vAlign w:val="bottom"/>
            <w:hideMark/>
          </w:tcPr>
          <w:p w14:paraId="0F53AAE3" w14:textId="77777777" w:rsidR="006955D9" w:rsidRPr="006955D9" w:rsidRDefault="006955D9" w:rsidP="006955D9">
            <w:pPr>
              <w:jc w:val="center"/>
              <w:rPr>
                <w:color w:val="000000"/>
                <w:sz w:val="20"/>
                <w:szCs w:val="20"/>
              </w:rPr>
            </w:pPr>
            <w:r w:rsidRPr="006955D9">
              <w:rPr>
                <w:color w:val="000000"/>
                <w:sz w:val="20"/>
                <w:szCs w:val="20"/>
              </w:rPr>
              <w:t>1</w:t>
            </w:r>
          </w:p>
        </w:tc>
        <w:tc>
          <w:tcPr>
            <w:tcW w:w="1870" w:type="dxa"/>
            <w:tcBorders>
              <w:top w:val="nil"/>
              <w:left w:val="nil"/>
              <w:bottom w:val="single" w:sz="4" w:space="0" w:color="auto"/>
              <w:right w:val="single" w:sz="4" w:space="0" w:color="auto"/>
            </w:tcBorders>
            <w:shd w:val="clear" w:color="auto" w:fill="auto"/>
            <w:noWrap/>
            <w:vAlign w:val="bottom"/>
            <w:hideMark/>
          </w:tcPr>
          <w:p w14:paraId="17CF8A0E" w14:textId="77777777" w:rsidR="006955D9" w:rsidRPr="006955D9" w:rsidRDefault="006955D9" w:rsidP="006955D9">
            <w:pPr>
              <w:jc w:val="center"/>
              <w:rPr>
                <w:color w:val="000000"/>
                <w:sz w:val="20"/>
                <w:szCs w:val="20"/>
              </w:rPr>
            </w:pPr>
            <w:r w:rsidRPr="006955D9">
              <w:rPr>
                <w:color w:val="000000"/>
                <w:sz w:val="20"/>
                <w:szCs w:val="20"/>
              </w:rPr>
              <w:t>4</w:t>
            </w:r>
          </w:p>
        </w:tc>
        <w:tc>
          <w:tcPr>
            <w:tcW w:w="1854" w:type="dxa"/>
            <w:tcBorders>
              <w:top w:val="nil"/>
              <w:left w:val="nil"/>
              <w:bottom w:val="single" w:sz="4" w:space="0" w:color="auto"/>
              <w:right w:val="single" w:sz="4" w:space="0" w:color="auto"/>
            </w:tcBorders>
            <w:shd w:val="clear" w:color="auto" w:fill="auto"/>
            <w:noWrap/>
            <w:vAlign w:val="bottom"/>
            <w:hideMark/>
          </w:tcPr>
          <w:p w14:paraId="0FEFE86C" w14:textId="77777777" w:rsidR="006955D9" w:rsidRPr="006955D9" w:rsidRDefault="006955D9" w:rsidP="006955D9">
            <w:pPr>
              <w:jc w:val="center"/>
              <w:rPr>
                <w:color w:val="000000"/>
                <w:sz w:val="20"/>
                <w:szCs w:val="20"/>
              </w:rPr>
            </w:pPr>
            <w:r w:rsidRPr="006955D9">
              <w:rPr>
                <w:color w:val="000000"/>
                <w:sz w:val="20"/>
                <w:szCs w:val="20"/>
              </w:rPr>
              <w:t>14</w:t>
            </w:r>
          </w:p>
        </w:tc>
        <w:tc>
          <w:tcPr>
            <w:tcW w:w="851" w:type="dxa"/>
            <w:tcBorders>
              <w:top w:val="nil"/>
              <w:left w:val="nil"/>
              <w:bottom w:val="single" w:sz="4" w:space="0" w:color="auto"/>
              <w:right w:val="single" w:sz="4" w:space="0" w:color="auto"/>
            </w:tcBorders>
            <w:shd w:val="clear" w:color="auto" w:fill="auto"/>
            <w:noWrap/>
            <w:vAlign w:val="bottom"/>
            <w:hideMark/>
          </w:tcPr>
          <w:p w14:paraId="01B42698" w14:textId="77777777" w:rsidR="006955D9" w:rsidRPr="006955D9" w:rsidRDefault="006955D9" w:rsidP="006955D9">
            <w:pPr>
              <w:jc w:val="center"/>
              <w:rPr>
                <w:color w:val="000000"/>
                <w:sz w:val="20"/>
                <w:szCs w:val="20"/>
              </w:rPr>
            </w:pPr>
            <w:r w:rsidRPr="006955D9">
              <w:rPr>
                <w:color w:val="000000"/>
                <w:sz w:val="20"/>
                <w:szCs w:val="20"/>
              </w:rPr>
              <w:t>28</w:t>
            </w:r>
          </w:p>
        </w:tc>
        <w:tc>
          <w:tcPr>
            <w:tcW w:w="896" w:type="dxa"/>
            <w:tcBorders>
              <w:top w:val="nil"/>
              <w:left w:val="nil"/>
              <w:bottom w:val="single" w:sz="4" w:space="0" w:color="auto"/>
              <w:right w:val="single" w:sz="4" w:space="0" w:color="auto"/>
            </w:tcBorders>
            <w:shd w:val="clear" w:color="auto" w:fill="auto"/>
            <w:noWrap/>
            <w:vAlign w:val="bottom"/>
            <w:hideMark/>
          </w:tcPr>
          <w:p w14:paraId="773940E6" w14:textId="77777777" w:rsidR="006955D9" w:rsidRPr="006955D9" w:rsidRDefault="006955D9" w:rsidP="006955D9">
            <w:pPr>
              <w:jc w:val="center"/>
              <w:rPr>
                <w:b/>
                <w:bCs/>
                <w:color w:val="000000"/>
                <w:sz w:val="20"/>
                <w:szCs w:val="20"/>
              </w:rPr>
            </w:pPr>
            <w:r w:rsidRPr="006955D9">
              <w:rPr>
                <w:b/>
                <w:bCs/>
                <w:color w:val="000000"/>
                <w:sz w:val="20"/>
                <w:szCs w:val="20"/>
              </w:rPr>
              <w:t>47</w:t>
            </w:r>
          </w:p>
        </w:tc>
      </w:tr>
      <w:tr w:rsidR="006955D9" w:rsidRPr="006955D9" w14:paraId="418660EA" w14:textId="77777777" w:rsidTr="006955D9">
        <w:trPr>
          <w:trHeight w:val="283"/>
        </w:trPr>
        <w:tc>
          <w:tcPr>
            <w:tcW w:w="3371" w:type="dxa"/>
            <w:tcBorders>
              <w:top w:val="nil"/>
              <w:left w:val="single" w:sz="4" w:space="0" w:color="auto"/>
              <w:bottom w:val="single" w:sz="4" w:space="0" w:color="auto"/>
              <w:right w:val="single" w:sz="4" w:space="0" w:color="auto"/>
            </w:tcBorders>
            <w:shd w:val="clear" w:color="auto" w:fill="auto"/>
            <w:noWrap/>
            <w:vAlign w:val="bottom"/>
            <w:hideMark/>
          </w:tcPr>
          <w:p w14:paraId="26AD1D15" w14:textId="77777777" w:rsidR="006955D9" w:rsidRPr="006955D9" w:rsidRDefault="006955D9" w:rsidP="006955D9">
            <w:pPr>
              <w:rPr>
                <w:color w:val="000000"/>
                <w:sz w:val="20"/>
                <w:szCs w:val="20"/>
              </w:rPr>
            </w:pPr>
            <w:r w:rsidRPr="006955D9">
              <w:rPr>
                <w:color w:val="000000"/>
                <w:sz w:val="20"/>
                <w:szCs w:val="20"/>
              </w:rPr>
              <w:t>Latin America</w:t>
            </w:r>
          </w:p>
        </w:tc>
        <w:tc>
          <w:tcPr>
            <w:tcW w:w="788" w:type="dxa"/>
            <w:tcBorders>
              <w:top w:val="nil"/>
              <w:left w:val="nil"/>
              <w:bottom w:val="single" w:sz="4" w:space="0" w:color="auto"/>
              <w:right w:val="single" w:sz="4" w:space="0" w:color="auto"/>
            </w:tcBorders>
            <w:shd w:val="clear" w:color="auto" w:fill="auto"/>
            <w:noWrap/>
            <w:vAlign w:val="bottom"/>
            <w:hideMark/>
          </w:tcPr>
          <w:p w14:paraId="5A417A28" w14:textId="77777777" w:rsidR="006955D9" w:rsidRPr="006955D9" w:rsidRDefault="006955D9" w:rsidP="006955D9">
            <w:pPr>
              <w:jc w:val="center"/>
              <w:rPr>
                <w:color w:val="000000"/>
                <w:sz w:val="20"/>
                <w:szCs w:val="20"/>
              </w:rPr>
            </w:pPr>
            <w:r w:rsidRPr="006955D9">
              <w:rPr>
                <w:color w:val="000000"/>
                <w:sz w:val="20"/>
                <w:szCs w:val="20"/>
              </w:rPr>
              <w:t>1</w:t>
            </w:r>
          </w:p>
        </w:tc>
        <w:tc>
          <w:tcPr>
            <w:tcW w:w="1870" w:type="dxa"/>
            <w:tcBorders>
              <w:top w:val="nil"/>
              <w:left w:val="nil"/>
              <w:bottom w:val="single" w:sz="4" w:space="0" w:color="auto"/>
              <w:right w:val="single" w:sz="4" w:space="0" w:color="auto"/>
            </w:tcBorders>
            <w:shd w:val="clear" w:color="auto" w:fill="auto"/>
            <w:noWrap/>
            <w:vAlign w:val="bottom"/>
            <w:hideMark/>
          </w:tcPr>
          <w:p w14:paraId="1CF82DF8" w14:textId="77777777" w:rsidR="006955D9" w:rsidRPr="006955D9" w:rsidRDefault="006955D9" w:rsidP="006955D9">
            <w:pPr>
              <w:jc w:val="center"/>
              <w:rPr>
                <w:color w:val="000000"/>
                <w:sz w:val="20"/>
                <w:szCs w:val="20"/>
              </w:rPr>
            </w:pPr>
            <w:r w:rsidRPr="006955D9">
              <w:rPr>
                <w:color w:val="000000"/>
                <w:sz w:val="20"/>
                <w:szCs w:val="20"/>
              </w:rPr>
              <w:t>4</w:t>
            </w:r>
          </w:p>
        </w:tc>
        <w:tc>
          <w:tcPr>
            <w:tcW w:w="1854" w:type="dxa"/>
            <w:tcBorders>
              <w:top w:val="nil"/>
              <w:left w:val="nil"/>
              <w:bottom w:val="single" w:sz="4" w:space="0" w:color="auto"/>
              <w:right w:val="single" w:sz="4" w:space="0" w:color="auto"/>
            </w:tcBorders>
            <w:shd w:val="clear" w:color="auto" w:fill="auto"/>
            <w:noWrap/>
            <w:vAlign w:val="bottom"/>
            <w:hideMark/>
          </w:tcPr>
          <w:p w14:paraId="780849F9" w14:textId="77777777" w:rsidR="006955D9" w:rsidRPr="006955D9" w:rsidRDefault="006955D9" w:rsidP="006955D9">
            <w:pPr>
              <w:jc w:val="center"/>
              <w:rPr>
                <w:color w:val="000000"/>
                <w:sz w:val="20"/>
                <w:szCs w:val="20"/>
              </w:rPr>
            </w:pPr>
            <w:r w:rsidRPr="006955D9">
              <w:rPr>
                <w:color w:val="000000"/>
                <w:sz w:val="20"/>
                <w:szCs w:val="20"/>
              </w:rPr>
              <w:t>18</w:t>
            </w:r>
          </w:p>
        </w:tc>
        <w:tc>
          <w:tcPr>
            <w:tcW w:w="851" w:type="dxa"/>
            <w:tcBorders>
              <w:top w:val="nil"/>
              <w:left w:val="nil"/>
              <w:bottom w:val="single" w:sz="4" w:space="0" w:color="auto"/>
              <w:right w:val="single" w:sz="4" w:space="0" w:color="auto"/>
            </w:tcBorders>
            <w:shd w:val="clear" w:color="auto" w:fill="auto"/>
            <w:noWrap/>
            <w:vAlign w:val="bottom"/>
            <w:hideMark/>
          </w:tcPr>
          <w:p w14:paraId="710ACF36" w14:textId="77777777" w:rsidR="006955D9" w:rsidRPr="006955D9" w:rsidRDefault="006955D9" w:rsidP="006955D9">
            <w:pPr>
              <w:jc w:val="center"/>
              <w:rPr>
                <w:color w:val="000000"/>
                <w:sz w:val="20"/>
                <w:szCs w:val="20"/>
              </w:rPr>
            </w:pPr>
            <w:r w:rsidRPr="006955D9">
              <w:rPr>
                <w:color w:val="000000"/>
                <w:sz w:val="20"/>
                <w:szCs w:val="20"/>
              </w:rPr>
              <w:t>9</w:t>
            </w:r>
          </w:p>
        </w:tc>
        <w:tc>
          <w:tcPr>
            <w:tcW w:w="896" w:type="dxa"/>
            <w:tcBorders>
              <w:top w:val="nil"/>
              <w:left w:val="nil"/>
              <w:bottom w:val="single" w:sz="4" w:space="0" w:color="auto"/>
              <w:right w:val="single" w:sz="4" w:space="0" w:color="auto"/>
            </w:tcBorders>
            <w:shd w:val="clear" w:color="auto" w:fill="auto"/>
            <w:noWrap/>
            <w:vAlign w:val="bottom"/>
            <w:hideMark/>
          </w:tcPr>
          <w:p w14:paraId="46BC5143" w14:textId="77777777" w:rsidR="006955D9" w:rsidRPr="006955D9" w:rsidRDefault="006955D9" w:rsidP="006955D9">
            <w:pPr>
              <w:jc w:val="center"/>
              <w:rPr>
                <w:b/>
                <w:bCs/>
                <w:color w:val="000000"/>
                <w:sz w:val="20"/>
                <w:szCs w:val="20"/>
              </w:rPr>
            </w:pPr>
            <w:r w:rsidRPr="006955D9">
              <w:rPr>
                <w:b/>
                <w:bCs/>
                <w:color w:val="000000"/>
                <w:sz w:val="20"/>
                <w:szCs w:val="20"/>
              </w:rPr>
              <w:t>32</w:t>
            </w:r>
          </w:p>
        </w:tc>
      </w:tr>
      <w:tr w:rsidR="006955D9" w:rsidRPr="006955D9" w14:paraId="34DDE208" w14:textId="77777777" w:rsidTr="006955D9">
        <w:trPr>
          <w:trHeight w:val="283"/>
        </w:trPr>
        <w:tc>
          <w:tcPr>
            <w:tcW w:w="3371" w:type="dxa"/>
            <w:tcBorders>
              <w:top w:val="nil"/>
              <w:left w:val="single" w:sz="4" w:space="0" w:color="auto"/>
              <w:bottom w:val="single" w:sz="4" w:space="0" w:color="auto"/>
              <w:right w:val="single" w:sz="4" w:space="0" w:color="auto"/>
            </w:tcBorders>
            <w:shd w:val="clear" w:color="auto" w:fill="auto"/>
            <w:noWrap/>
            <w:vAlign w:val="bottom"/>
            <w:hideMark/>
          </w:tcPr>
          <w:p w14:paraId="5B40C839" w14:textId="77777777" w:rsidR="006955D9" w:rsidRPr="006955D9" w:rsidRDefault="006955D9" w:rsidP="006955D9">
            <w:pPr>
              <w:rPr>
                <w:color w:val="000000"/>
                <w:sz w:val="20"/>
                <w:szCs w:val="20"/>
              </w:rPr>
            </w:pPr>
            <w:r w:rsidRPr="006955D9">
              <w:rPr>
                <w:color w:val="000000"/>
                <w:sz w:val="20"/>
                <w:szCs w:val="20"/>
              </w:rPr>
              <w:t>Middle East and North Africa</w:t>
            </w:r>
          </w:p>
        </w:tc>
        <w:tc>
          <w:tcPr>
            <w:tcW w:w="788" w:type="dxa"/>
            <w:tcBorders>
              <w:top w:val="nil"/>
              <w:left w:val="nil"/>
              <w:bottom w:val="single" w:sz="4" w:space="0" w:color="auto"/>
              <w:right w:val="single" w:sz="4" w:space="0" w:color="auto"/>
            </w:tcBorders>
            <w:shd w:val="clear" w:color="auto" w:fill="auto"/>
            <w:noWrap/>
            <w:vAlign w:val="bottom"/>
            <w:hideMark/>
          </w:tcPr>
          <w:p w14:paraId="5F4E1D07" w14:textId="77777777" w:rsidR="006955D9" w:rsidRPr="006955D9" w:rsidRDefault="006955D9" w:rsidP="006955D9">
            <w:pPr>
              <w:jc w:val="center"/>
              <w:rPr>
                <w:color w:val="000000"/>
                <w:sz w:val="20"/>
                <w:szCs w:val="20"/>
              </w:rPr>
            </w:pPr>
            <w:r w:rsidRPr="006955D9">
              <w:rPr>
                <w:color w:val="000000"/>
                <w:sz w:val="20"/>
                <w:szCs w:val="20"/>
              </w:rPr>
              <w:t>2</w:t>
            </w:r>
          </w:p>
        </w:tc>
        <w:tc>
          <w:tcPr>
            <w:tcW w:w="1870" w:type="dxa"/>
            <w:tcBorders>
              <w:top w:val="nil"/>
              <w:left w:val="nil"/>
              <w:bottom w:val="single" w:sz="4" w:space="0" w:color="auto"/>
              <w:right w:val="single" w:sz="4" w:space="0" w:color="auto"/>
            </w:tcBorders>
            <w:shd w:val="clear" w:color="auto" w:fill="auto"/>
            <w:noWrap/>
            <w:vAlign w:val="bottom"/>
            <w:hideMark/>
          </w:tcPr>
          <w:p w14:paraId="52BC8C14" w14:textId="77777777" w:rsidR="006955D9" w:rsidRPr="006955D9" w:rsidRDefault="006955D9" w:rsidP="006955D9">
            <w:pPr>
              <w:jc w:val="center"/>
              <w:rPr>
                <w:color w:val="000000"/>
                <w:sz w:val="20"/>
                <w:szCs w:val="20"/>
              </w:rPr>
            </w:pPr>
            <w:r w:rsidRPr="006955D9">
              <w:rPr>
                <w:color w:val="000000"/>
                <w:sz w:val="20"/>
                <w:szCs w:val="20"/>
              </w:rPr>
              <w:t>4</w:t>
            </w:r>
          </w:p>
        </w:tc>
        <w:tc>
          <w:tcPr>
            <w:tcW w:w="1854" w:type="dxa"/>
            <w:tcBorders>
              <w:top w:val="nil"/>
              <w:left w:val="nil"/>
              <w:bottom w:val="single" w:sz="4" w:space="0" w:color="auto"/>
              <w:right w:val="single" w:sz="4" w:space="0" w:color="auto"/>
            </w:tcBorders>
            <w:shd w:val="clear" w:color="auto" w:fill="auto"/>
            <w:noWrap/>
            <w:vAlign w:val="bottom"/>
            <w:hideMark/>
          </w:tcPr>
          <w:p w14:paraId="2656C2BE" w14:textId="77777777" w:rsidR="006955D9" w:rsidRPr="006955D9" w:rsidRDefault="006955D9" w:rsidP="006955D9">
            <w:pPr>
              <w:jc w:val="center"/>
              <w:rPr>
                <w:color w:val="000000"/>
                <w:sz w:val="20"/>
                <w:szCs w:val="20"/>
              </w:rPr>
            </w:pPr>
            <w:r w:rsidRPr="006955D9">
              <w:rPr>
                <w:color w:val="000000"/>
                <w:sz w:val="20"/>
                <w:szCs w:val="20"/>
              </w:rPr>
              <w:t>6</w:t>
            </w:r>
          </w:p>
        </w:tc>
        <w:tc>
          <w:tcPr>
            <w:tcW w:w="851" w:type="dxa"/>
            <w:tcBorders>
              <w:top w:val="nil"/>
              <w:left w:val="nil"/>
              <w:bottom w:val="single" w:sz="4" w:space="0" w:color="auto"/>
              <w:right w:val="single" w:sz="4" w:space="0" w:color="auto"/>
            </w:tcBorders>
            <w:shd w:val="clear" w:color="auto" w:fill="auto"/>
            <w:noWrap/>
            <w:vAlign w:val="bottom"/>
            <w:hideMark/>
          </w:tcPr>
          <w:p w14:paraId="6979C6F1" w14:textId="77777777" w:rsidR="006955D9" w:rsidRPr="006955D9" w:rsidRDefault="006955D9" w:rsidP="006955D9">
            <w:pPr>
              <w:jc w:val="center"/>
              <w:rPr>
                <w:color w:val="000000"/>
                <w:sz w:val="20"/>
                <w:szCs w:val="20"/>
              </w:rPr>
            </w:pPr>
            <w:r w:rsidRPr="006955D9">
              <w:rPr>
                <w:color w:val="000000"/>
                <w:sz w:val="20"/>
                <w:szCs w:val="20"/>
              </w:rPr>
              <w:t>8</w:t>
            </w:r>
          </w:p>
        </w:tc>
        <w:tc>
          <w:tcPr>
            <w:tcW w:w="896" w:type="dxa"/>
            <w:tcBorders>
              <w:top w:val="nil"/>
              <w:left w:val="nil"/>
              <w:bottom w:val="single" w:sz="4" w:space="0" w:color="auto"/>
              <w:right w:val="single" w:sz="4" w:space="0" w:color="auto"/>
            </w:tcBorders>
            <w:shd w:val="clear" w:color="auto" w:fill="auto"/>
            <w:noWrap/>
            <w:vAlign w:val="bottom"/>
            <w:hideMark/>
          </w:tcPr>
          <w:p w14:paraId="7FD1F62C" w14:textId="77777777" w:rsidR="006955D9" w:rsidRPr="006955D9" w:rsidRDefault="006955D9" w:rsidP="006955D9">
            <w:pPr>
              <w:jc w:val="center"/>
              <w:rPr>
                <w:b/>
                <w:bCs/>
                <w:color w:val="000000"/>
                <w:sz w:val="20"/>
                <w:szCs w:val="20"/>
              </w:rPr>
            </w:pPr>
            <w:r w:rsidRPr="006955D9">
              <w:rPr>
                <w:b/>
                <w:bCs/>
                <w:color w:val="000000"/>
                <w:sz w:val="20"/>
                <w:szCs w:val="20"/>
              </w:rPr>
              <w:t>20</w:t>
            </w:r>
          </w:p>
        </w:tc>
      </w:tr>
      <w:tr w:rsidR="006955D9" w:rsidRPr="006955D9" w14:paraId="111B4B8B" w14:textId="77777777" w:rsidTr="006955D9">
        <w:trPr>
          <w:trHeight w:val="283"/>
        </w:trPr>
        <w:tc>
          <w:tcPr>
            <w:tcW w:w="3371" w:type="dxa"/>
            <w:tcBorders>
              <w:top w:val="nil"/>
              <w:left w:val="single" w:sz="4" w:space="0" w:color="auto"/>
              <w:bottom w:val="single" w:sz="4" w:space="0" w:color="auto"/>
              <w:right w:val="single" w:sz="4" w:space="0" w:color="auto"/>
            </w:tcBorders>
            <w:shd w:val="clear" w:color="auto" w:fill="auto"/>
            <w:noWrap/>
            <w:vAlign w:val="bottom"/>
            <w:hideMark/>
          </w:tcPr>
          <w:p w14:paraId="3F35240C" w14:textId="77777777" w:rsidR="006955D9" w:rsidRPr="006955D9" w:rsidRDefault="006955D9" w:rsidP="006955D9">
            <w:pPr>
              <w:rPr>
                <w:color w:val="000000"/>
                <w:sz w:val="20"/>
                <w:szCs w:val="20"/>
              </w:rPr>
            </w:pPr>
            <w:r w:rsidRPr="006955D9">
              <w:rPr>
                <w:color w:val="000000"/>
                <w:sz w:val="20"/>
                <w:szCs w:val="20"/>
              </w:rPr>
              <w:t>North America</w:t>
            </w:r>
          </w:p>
        </w:tc>
        <w:tc>
          <w:tcPr>
            <w:tcW w:w="788" w:type="dxa"/>
            <w:tcBorders>
              <w:top w:val="nil"/>
              <w:left w:val="nil"/>
              <w:bottom w:val="single" w:sz="4" w:space="0" w:color="auto"/>
              <w:right w:val="single" w:sz="4" w:space="0" w:color="auto"/>
            </w:tcBorders>
            <w:shd w:val="clear" w:color="auto" w:fill="auto"/>
            <w:noWrap/>
            <w:vAlign w:val="bottom"/>
            <w:hideMark/>
          </w:tcPr>
          <w:p w14:paraId="74B4C3B6" w14:textId="77777777" w:rsidR="006955D9" w:rsidRPr="006955D9" w:rsidRDefault="006955D9" w:rsidP="006955D9">
            <w:pPr>
              <w:jc w:val="center"/>
              <w:rPr>
                <w:color w:val="000000"/>
                <w:sz w:val="20"/>
                <w:szCs w:val="20"/>
              </w:rPr>
            </w:pPr>
            <w:r w:rsidRPr="006955D9">
              <w:rPr>
                <w:color w:val="000000"/>
                <w:sz w:val="20"/>
                <w:szCs w:val="20"/>
              </w:rPr>
              <w:t>0</w:t>
            </w:r>
          </w:p>
        </w:tc>
        <w:tc>
          <w:tcPr>
            <w:tcW w:w="1870" w:type="dxa"/>
            <w:tcBorders>
              <w:top w:val="nil"/>
              <w:left w:val="nil"/>
              <w:bottom w:val="single" w:sz="4" w:space="0" w:color="auto"/>
              <w:right w:val="single" w:sz="4" w:space="0" w:color="auto"/>
            </w:tcBorders>
            <w:shd w:val="clear" w:color="auto" w:fill="auto"/>
            <w:noWrap/>
            <w:vAlign w:val="bottom"/>
            <w:hideMark/>
          </w:tcPr>
          <w:p w14:paraId="55C517C6" w14:textId="77777777" w:rsidR="006955D9" w:rsidRPr="006955D9" w:rsidRDefault="006955D9" w:rsidP="006955D9">
            <w:pPr>
              <w:jc w:val="center"/>
              <w:rPr>
                <w:color w:val="000000"/>
                <w:sz w:val="20"/>
                <w:szCs w:val="20"/>
              </w:rPr>
            </w:pPr>
            <w:r w:rsidRPr="006955D9">
              <w:rPr>
                <w:color w:val="000000"/>
                <w:sz w:val="20"/>
                <w:szCs w:val="20"/>
              </w:rPr>
              <w:t>0</w:t>
            </w:r>
            <w:bookmarkStart w:id="1" w:name="_GoBack"/>
            <w:bookmarkEnd w:id="1"/>
          </w:p>
        </w:tc>
        <w:tc>
          <w:tcPr>
            <w:tcW w:w="1854" w:type="dxa"/>
            <w:tcBorders>
              <w:top w:val="nil"/>
              <w:left w:val="nil"/>
              <w:bottom w:val="single" w:sz="4" w:space="0" w:color="auto"/>
              <w:right w:val="single" w:sz="4" w:space="0" w:color="auto"/>
            </w:tcBorders>
            <w:shd w:val="clear" w:color="auto" w:fill="auto"/>
            <w:noWrap/>
            <w:vAlign w:val="bottom"/>
            <w:hideMark/>
          </w:tcPr>
          <w:p w14:paraId="052DEE1C" w14:textId="77777777" w:rsidR="006955D9" w:rsidRPr="006955D9" w:rsidRDefault="006955D9" w:rsidP="006955D9">
            <w:pPr>
              <w:jc w:val="center"/>
              <w:rPr>
                <w:color w:val="000000"/>
                <w:sz w:val="20"/>
                <w:szCs w:val="20"/>
              </w:rPr>
            </w:pPr>
            <w:r w:rsidRPr="006955D9">
              <w:rPr>
                <w:color w:val="000000"/>
                <w:sz w:val="20"/>
                <w:szCs w:val="20"/>
              </w:rPr>
              <w:t>0</w:t>
            </w:r>
          </w:p>
        </w:tc>
        <w:tc>
          <w:tcPr>
            <w:tcW w:w="851" w:type="dxa"/>
            <w:tcBorders>
              <w:top w:val="nil"/>
              <w:left w:val="nil"/>
              <w:bottom w:val="single" w:sz="4" w:space="0" w:color="auto"/>
              <w:right w:val="single" w:sz="4" w:space="0" w:color="auto"/>
            </w:tcBorders>
            <w:shd w:val="clear" w:color="auto" w:fill="auto"/>
            <w:noWrap/>
            <w:vAlign w:val="bottom"/>
            <w:hideMark/>
          </w:tcPr>
          <w:p w14:paraId="4E146038" w14:textId="77777777" w:rsidR="006955D9" w:rsidRPr="006955D9" w:rsidRDefault="006955D9" w:rsidP="006955D9">
            <w:pPr>
              <w:jc w:val="center"/>
              <w:rPr>
                <w:color w:val="000000"/>
                <w:sz w:val="20"/>
                <w:szCs w:val="20"/>
              </w:rPr>
            </w:pPr>
            <w:r w:rsidRPr="006955D9">
              <w:rPr>
                <w:color w:val="000000"/>
                <w:sz w:val="20"/>
                <w:szCs w:val="20"/>
              </w:rPr>
              <w:t>2</w:t>
            </w:r>
          </w:p>
        </w:tc>
        <w:tc>
          <w:tcPr>
            <w:tcW w:w="896" w:type="dxa"/>
            <w:tcBorders>
              <w:top w:val="nil"/>
              <w:left w:val="nil"/>
              <w:bottom w:val="single" w:sz="4" w:space="0" w:color="auto"/>
              <w:right w:val="single" w:sz="4" w:space="0" w:color="auto"/>
            </w:tcBorders>
            <w:shd w:val="clear" w:color="auto" w:fill="auto"/>
            <w:noWrap/>
            <w:vAlign w:val="bottom"/>
            <w:hideMark/>
          </w:tcPr>
          <w:p w14:paraId="7EBC1916" w14:textId="77777777" w:rsidR="006955D9" w:rsidRPr="006955D9" w:rsidRDefault="006955D9" w:rsidP="006955D9">
            <w:pPr>
              <w:jc w:val="center"/>
              <w:rPr>
                <w:b/>
                <w:bCs/>
                <w:color w:val="000000"/>
                <w:sz w:val="20"/>
                <w:szCs w:val="20"/>
              </w:rPr>
            </w:pPr>
            <w:r w:rsidRPr="006955D9">
              <w:rPr>
                <w:b/>
                <w:bCs/>
                <w:color w:val="000000"/>
                <w:sz w:val="20"/>
                <w:szCs w:val="20"/>
              </w:rPr>
              <w:t>2</w:t>
            </w:r>
          </w:p>
        </w:tc>
      </w:tr>
      <w:tr w:rsidR="006955D9" w:rsidRPr="006955D9" w14:paraId="0BF12E3F" w14:textId="77777777" w:rsidTr="006955D9">
        <w:trPr>
          <w:trHeight w:val="283"/>
        </w:trPr>
        <w:tc>
          <w:tcPr>
            <w:tcW w:w="3371" w:type="dxa"/>
            <w:tcBorders>
              <w:top w:val="nil"/>
              <w:left w:val="single" w:sz="4" w:space="0" w:color="auto"/>
              <w:bottom w:val="single" w:sz="4" w:space="0" w:color="auto"/>
              <w:right w:val="single" w:sz="4" w:space="0" w:color="auto"/>
            </w:tcBorders>
            <w:shd w:val="clear" w:color="auto" w:fill="auto"/>
            <w:noWrap/>
            <w:vAlign w:val="bottom"/>
            <w:hideMark/>
          </w:tcPr>
          <w:p w14:paraId="5F2DD25C" w14:textId="77777777" w:rsidR="006955D9" w:rsidRPr="006955D9" w:rsidRDefault="006955D9" w:rsidP="006955D9">
            <w:pPr>
              <w:rPr>
                <w:color w:val="000000"/>
                <w:sz w:val="20"/>
                <w:szCs w:val="20"/>
              </w:rPr>
            </w:pPr>
            <w:r w:rsidRPr="006955D9">
              <w:rPr>
                <w:color w:val="000000"/>
                <w:sz w:val="20"/>
                <w:szCs w:val="20"/>
              </w:rPr>
              <w:t>South Asia</w:t>
            </w:r>
          </w:p>
        </w:tc>
        <w:tc>
          <w:tcPr>
            <w:tcW w:w="788" w:type="dxa"/>
            <w:tcBorders>
              <w:top w:val="nil"/>
              <w:left w:val="nil"/>
              <w:bottom w:val="single" w:sz="4" w:space="0" w:color="auto"/>
              <w:right w:val="single" w:sz="4" w:space="0" w:color="auto"/>
            </w:tcBorders>
            <w:shd w:val="clear" w:color="auto" w:fill="auto"/>
            <w:noWrap/>
            <w:vAlign w:val="bottom"/>
            <w:hideMark/>
          </w:tcPr>
          <w:p w14:paraId="7BEBFC78" w14:textId="77777777" w:rsidR="006955D9" w:rsidRPr="006955D9" w:rsidRDefault="006955D9" w:rsidP="006955D9">
            <w:pPr>
              <w:jc w:val="center"/>
              <w:rPr>
                <w:color w:val="000000"/>
                <w:sz w:val="20"/>
                <w:szCs w:val="20"/>
              </w:rPr>
            </w:pPr>
            <w:r w:rsidRPr="006955D9">
              <w:rPr>
                <w:color w:val="000000"/>
                <w:sz w:val="20"/>
                <w:szCs w:val="20"/>
              </w:rPr>
              <w:t>2</w:t>
            </w:r>
          </w:p>
        </w:tc>
        <w:tc>
          <w:tcPr>
            <w:tcW w:w="1870" w:type="dxa"/>
            <w:tcBorders>
              <w:top w:val="nil"/>
              <w:left w:val="nil"/>
              <w:bottom w:val="single" w:sz="4" w:space="0" w:color="auto"/>
              <w:right w:val="single" w:sz="4" w:space="0" w:color="auto"/>
            </w:tcBorders>
            <w:shd w:val="clear" w:color="auto" w:fill="auto"/>
            <w:noWrap/>
            <w:vAlign w:val="bottom"/>
            <w:hideMark/>
          </w:tcPr>
          <w:p w14:paraId="27417AC3" w14:textId="77777777" w:rsidR="006955D9" w:rsidRPr="006955D9" w:rsidRDefault="006955D9" w:rsidP="006955D9">
            <w:pPr>
              <w:jc w:val="center"/>
              <w:rPr>
                <w:color w:val="000000"/>
                <w:sz w:val="20"/>
                <w:szCs w:val="20"/>
              </w:rPr>
            </w:pPr>
            <w:r w:rsidRPr="006955D9">
              <w:rPr>
                <w:color w:val="000000"/>
                <w:sz w:val="20"/>
                <w:szCs w:val="20"/>
              </w:rPr>
              <w:t>4</w:t>
            </w:r>
          </w:p>
        </w:tc>
        <w:tc>
          <w:tcPr>
            <w:tcW w:w="1854" w:type="dxa"/>
            <w:tcBorders>
              <w:top w:val="nil"/>
              <w:left w:val="nil"/>
              <w:bottom w:val="single" w:sz="4" w:space="0" w:color="auto"/>
              <w:right w:val="single" w:sz="4" w:space="0" w:color="auto"/>
            </w:tcBorders>
            <w:shd w:val="clear" w:color="auto" w:fill="auto"/>
            <w:noWrap/>
            <w:vAlign w:val="bottom"/>
            <w:hideMark/>
          </w:tcPr>
          <w:p w14:paraId="160F455D" w14:textId="77777777" w:rsidR="006955D9" w:rsidRPr="006955D9" w:rsidRDefault="006955D9" w:rsidP="006955D9">
            <w:pPr>
              <w:jc w:val="center"/>
              <w:rPr>
                <w:color w:val="000000"/>
                <w:sz w:val="20"/>
                <w:szCs w:val="20"/>
              </w:rPr>
            </w:pPr>
            <w:r w:rsidRPr="006955D9">
              <w:rPr>
                <w:color w:val="000000"/>
                <w:sz w:val="20"/>
                <w:szCs w:val="20"/>
              </w:rPr>
              <w:t>2</w:t>
            </w:r>
          </w:p>
        </w:tc>
        <w:tc>
          <w:tcPr>
            <w:tcW w:w="851" w:type="dxa"/>
            <w:tcBorders>
              <w:top w:val="nil"/>
              <w:left w:val="nil"/>
              <w:bottom w:val="single" w:sz="4" w:space="0" w:color="auto"/>
              <w:right w:val="single" w:sz="4" w:space="0" w:color="auto"/>
            </w:tcBorders>
            <w:shd w:val="clear" w:color="auto" w:fill="auto"/>
            <w:noWrap/>
            <w:vAlign w:val="bottom"/>
            <w:hideMark/>
          </w:tcPr>
          <w:p w14:paraId="62E4AEF0" w14:textId="77777777" w:rsidR="006955D9" w:rsidRPr="006955D9" w:rsidRDefault="006955D9" w:rsidP="006955D9">
            <w:pPr>
              <w:jc w:val="center"/>
              <w:rPr>
                <w:color w:val="000000"/>
                <w:sz w:val="20"/>
                <w:szCs w:val="20"/>
              </w:rPr>
            </w:pPr>
            <w:r w:rsidRPr="006955D9">
              <w:rPr>
                <w:color w:val="000000"/>
                <w:sz w:val="20"/>
                <w:szCs w:val="20"/>
              </w:rPr>
              <w:t>0</w:t>
            </w:r>
          </w:p>
        </w:tc>
        <w:tc>
          <w:tcPr>
            <w:tcW w:w="896" w:type="dxa"/>
            <w:tcBorders>
              <w:top w:val="nil"/>
              <w:left w:val="nil"/>
              <w:bottom w:val="single" w:sz="4" w:space="0" w:color="auto"/>
              <w:right w:val="single" w:sz="4" w:space="0" w:color="auto"/>
            </w:tcBorders>
            <w:shd w:val="clear" w:color="auto" w:fill="auto"/>
            <w:noWrap/>
            <w:vAlign w:val="bottom"/>
            <w:hideMark/>
          </w:tcPr>
          <w:p w14:paraId="7A182931" w14:textId="77777777" w:rsidR="006955D9" w:rsidRPr="006955D9" w:rsidRDefault="006955D9" w:rsidP="006955D9">
            <w:pPr>
              <w:jc w:val="center"/>
              <w:rPr>
                <w:b/>
                <w:bCs/>
                <w:color w:val="000000"/>
                <w:sz w:val="20"/>
                <w:szCs w:val="20"/>
              </w:rPr>
            </w:pPr>
            <w:r w:rsidRPr="006955D9">
              <w:rPr>
                <w:b/>
                <w:bCs/>
                <w:color w:val="000000"/>
                <w:sz w:val="20"/>
                <w:szCs w:val="20"/>
              </w:rPr>
              <w:t>8</w:t>
            </w:r>
          </w:p>
        </w:tc>
      </w:tr>
      <w:tr w:rsidR="006955D9" w:rsidRPr="006955D9" w14:paraId="26733C26" w14:textId="77777777" w:rsidTr="006955D9">
        <w:trPr>
          <w:trHeight w:val="283"/>
        </w:trPr>
        <w:tc>
          <w:tcPr>
            <w:tcW w:w="3371" w:type="dxa"/>
            <w:tcBorders>
              <w:top w:val="nil"/>
              <w:left w:val="single" w:sz="4" w:space="0" w:color="auto"/>
              <w:bottom w:val="single" w:sz="4" w:space="0" w:color="auto"/>
              <w:right w:val="single" w:sz="4" w:space="0" w:color="auto"/>
            </w:tcBorders>
            <w:shd w:val="clear" w:color="auto" w:fill="auto"/>
            <w:noWrap/>
            <w:vAlign w:val="bottom"/>
            <w:hideMark/>
          </w:tcPr>
          <w:p w14:paraId="3E87DAAA" w14:textId="77777777" w:rsidR="006955D9" w:rsidRPr="006955D9" w:rsidRDefault="006955D9" w:rsidP="006955D9">
            <w:pPr>
              <w:rPr>
                <w:color w:val="000000"/>
                <w:sz w:val="20"/>
                <w:szCs w:val="20"/>
              </w:rPr>
            </w:pPr>
            <w:r w:rsidRPr="006955D9">
              <w:rPr>
                <w:color w:val="000000"/>
                <w:sz w:val="20"/>
                <w:szCs w:val="20"/>
              </w:rPr>
              <w:t>Sub-Saharan Africa</w:t>
            </w:r>
          </w:p>
        </w:tc>
        <w:tc>
          <w:tcPr>
            <w:tcW w:w="788" w:type="dxa"/>
            <w:tcBorders>
              <w:top w:val="nil"/>
              <w:left w:val="nil"/>
              <w:bottom w:val="single" w:sz="4" w:space="0" w:color="auto"/>
              <w:right w:val="single" w:sz="4" w:space="0" w:color="auto"/>
            </w:tcBorders>
            <w:shd w:val="clear" w:color="auto" w:fill="auto"/>
            <w:noWrap/>
            <w:vAlign w:val="bottom"/>
            <w:hideMark/>
          </w:tcPr>
          <w:p w14:paraId="7CDC72F0" w14:textId="77777777" w:rsidR="006955D9" w:rsidRPr="006955D9" w:rsidRDefault="006955D9" w:rsidP="006955D9">
            <w:pPr>
              <w:jc w:val="center"/>
              <w:rPr>
                <w:color w:val="000000"/>
                <w:sz w:val="20"/>
                <w:szCs w:val="20"/>
              </w:rPr>
            </w:pPr>
            <w:r w:rsidRPr="006955D9">
              <w:rPr>
                <w:color w:val="000000"/>
                <w:sz w:val="20"/>
                <w:szCs w:val="20"/>
              </w:rPr>
              <w:t>23</w:t>
            </w:r>
          </w:p>
        </w:tc>
        <w:tc>
          <w:tcPr>
            <w:tcW w:w="1870" w:type="dxa"/>
            <w:tcBorders>
              <w:top w:val="nil"/>
              <w:left w:val="nil"/>
              <w:bottom w:val="single" w:sz="4" w:space="0" w:color="auto"/>
              <w:right w:val="single" w:sz="4" w:space="0" w:color="auto"/>
            </w:tcBorders>
            <w:shd w:val="clear" w:color="auto" w:fill="auto"/>
            <w:noWrap/>
            <w:vAlign w:val="bottom"/>
            <w:hideMark/>
          </w:tcPr>
          <w:p w14:paraId="30325075" w14:textId="77777777" w:rsidR="006955D9" w:rsidRPr="006955D9" w:rsidRDefault="006955D9" w:rsidP="006955D9">
            <w:pPr>
              <w:jc w:val="center"/>
              <w:rPr>
                <w:color w:val="000000"/>
                <w:sz w:val="20"/>
                <w:szCs w:val="20"/>
              </w:rPr>
            </w:pPr>
            <w:r w:rsidRPr="006955D9">
              <w:rPr>
                <w:color w:val="000000"/>
                <w:sz w:val="20"/>
                <w:szCs w:val="20"/>
              </w:rPr>
              <w:t>17</w:t>
            </w:r>
          </w:p>
        </w:tc>
        <w:tc>
          <w:tcPr>
            <w:tcW w:w="1854" w:type="dxa"/>
            <w:tcBorders>
              <w:top w:val="nil"/>
              <w:left w:val="nil"/>
              <w:bottom w:val="single" w:sz="4" w:space="0" w:color="auto"/>
              <w:right w:val="single" w:sz="4" w:space="0" w:color="auto"/>
            </w:tcBorders>
            <w:shd w:val="clear" w:color="auto" w:fill="auto"/>
            <w:noWrap/>
            <w:vAlign w:val="bottom"/>
            <w:hideMark/>
          </w:tcPr>
          <w:p w14:paraId="1545684E" w14:textId="77777777" w:rsidR="006955D9" w:rsidRPr="006955D9" w:rsidRDefault="006955D9" w:rsidP="006955D9">
            <w:pPr>
              <w:jc w:val="center"/>
              <w:rPr>
                <w:color w:val="000000"/>
                <w:sz w:val="20"/>
                <w:szCs w:val="20"/>
              </w:rPr>
            </w:pPr>
            <w:r w:rsidRPr="006955D9">
              <w:rPr>
                <w:color w:val="000000"/>
                <w:sz w:val="20"/>
                <w:szCs w:val="20"/>
              </w:rPr>
              <w:t>6</w:t>
            </w:r>
          </w:p>
        </w:tc>
        <w:tc>
          <w:tcPr>
            <w:tcW w:w="851" w:type="dxa"/>
            <w:tcBorders>
              <w:top w:val="nil"/>
              <w:left w:val="nil"/>
              <w:bottom w:val="single" w:sz="4" w:space="0" w:color="auto"/>
              <w:right w:val="single" w:sz="4" w:space="0" w:color="auto"/>
            </w:tcBorders>
            <w:shd w:val="clear" w:color="auto" w:fill="auto"/>
            <w:noWrap/>
            <w:vAlign w:val="bottom"/>
            <w:hideMark/>
          </w:tcPr>
          <w:p w14:paraId="22BF3CF9" w14:textId="77777777" w:rsidR="006955D9" w:rsidRPr="006955D9" w:rsidRDefault="006955D9" w:rsidP="006955D9">
            <w:pPr>
              <w:jc w:val="center"/>
              <w:rPr>
                <w:color w:val="000000"/>
                <w:sz w:val="20"/>
                <w:szCs w:val="20"/>
              </w:rPr>
            </w:pPr>
            <w:r w:rsidRPr="006955D9">
              <w:rPr>
                <w:color w:val="000000"/>
                <w:sz w:val="20"/>
                <w:szCs w:val="20"/>
              </w:rPr>
              <w:t>1</w:t>
            </w:r>
          </w:p>
        </w:tc>
        <w:tc>
          <w:tcPr>
            <w:tcW w:w="896" w:type="dxa"/>
            <w:tcBorders>
              <w:top w:val="nil"/>
              <w:left w:val="nil"/>
              <w:bottom w:val="single" w:sz="4" w:space="0" w:color="auto"/>
              <w:right w:val="single" w:sz="4" w:space="0" w:color="auto"/>
            </w:tcBorders>
            <w:shd w:val="clear" w:color="auto" w:fill="auto"/>
            <w:noWrap/>
            <w:vAlign w:val="bottom"/>
            <w:hideMark/>
          </w:tcPr>
          <w:p w14:paraId="1D92DE9F" w14:textId="77777777" w:rsidR="006955D9" w:rsidRPr="006955D9" w:rsidRDefault="006955D9" w:rsidP="006955D9">
            <w:pPr>
              <w:jc w:val="center"/>
              <w:rPr>
                <w:b/>
                <w:bCs/>
                <w:color w:val="000000"/>
                <w:sz w:val="20"/>
                <w:szCs w:val="20"/>
              </w:rPr>
            </w:pPr>
            <w:r w:rsidRPr="006955D9">
              <w:rPr>
                <w:b/>
                <w:bCs/>
                <w:color w:val="000000"/>
                <w:sz w:val="20"/>
                <w:szCs w:val="20"/>
              </w:rPr>
              <w:t>47</w:t>
            </w:r>
          </w:p>
        </w:tc>
      </w:tr>
      <w:tr w:rsidR="006955D9" w:rsidRPr="006955D9" w14:paraId="49082D9C" w14:textId="77777777" w:rsidTr="006955D9">
        <w:trPr>
          <w:trHeight w:val="283"/>
        </w:trPr>
        <w:tc>
          <w:tcPr>
            <w:tcW w:w="3371" w:type="dxa"/>
            <w:tcBorders>
              <w:top w:val="nil"/>
              <w:left w:val="single" w:sz="4" w:space="0" w:color="auto"/>
              <w:bottom w:val="single" w:sz="4" w:space="0" w:color="auto"/>
              <w:right w:val="single" w:sz="4" w:space="0" w:color="auto"/>
            </w:tcBorders>
            <w:shd w:val="clear" w:color="auto" w:fill="auto"/>
            <w:noWrap/>
            <w:vAlign w:val="bottom"/>
            <w:hideMark/>
          </w:tcPr>
          <w:p w14:paraId="2DD75519" w14:textId="77777777" w:rsidR="006955D9" w:rsidRPr="006955D9" w:rsidRDefault="006955D9" w:rsidP="006955D9">
            <w:pPr>
              <w:rPr>
                <w:b/>
                <w:bCs/>
                <w:color w:val="000000"/>
                <w:sz w:val="20"/>
                <w:szCs w:val="20"/>
              </w:rPr>
            </w:pPr>
            <w:r w:rsidRPr="006955D9">
              <w:rPr>
                <w:b/>
                <w:bCs/>
                <w:color w:val="000000"/>
                <w:sz w:val="20"/>
                <w:szCs w:val="20"/>
              </w:rPr>
              <w:t>Total</w:t>
            </w:r>
          </w:p>
        </w:tc>
        <w:tc>
          <w:tcPr>
            <w:tcW w:w="788" w:type="dxa"/>
            <w:tcBorders>
              <w:top w:val="nil"/>
              <w:left w:val="nil"/>
              <w:bottom w:val="single" w:sz="4" w:space="0" w:color="auto"/>
              <w:right w:val="single" w:sz="4" w:space="0" w:color="auto"/>
            </w:tcBorders>
            <w:shd w:val="clear" w:color="auto" w:fill="auto"/>
            <w:noWrap/>
            <w:vAlign w:val="bottom"/>
            <w:hideMark/>
          </w:tcPr>
          <w:p w14:paraId="38E86B03" w14:textId="77777777" w:rsidR="006955D9" w:rsidRPr="006955D9" w:rsidRDefault="006955D9" w:rsidP="006955D9">
            <w:pPr>
              <w:jc w:val="center"/>
              <w:rPr>
                <w:b/>
                <w:bCs/>
                <w:color w:val="000000"/>
                <w:sz w:val="20"/>
                <w:szCs w:val="20"/>
              </w:rPr>
            </w:pPr>
            <w:r w:rsidRPr="006955D9">
              <w:rPr>
                <w:b/>
                <w:bCs/>
                <w:color w:val="000000"/>
                <w:sz w:val="20"/>
                <w:szCs w:val="20"/>
              </w:rPr>
              <w:t>29</w:t>
            </w:r>
          </w:p>
        </w:tc>
        <w:tc>
          <w:tcPr>
            <w:tcW w:w="1870" w:type="dxa"/>
            <w:tcBorders>
              <w:top w:val="nil"/>
              <w:left w:val="nil"/>
              <w:bottom w:val="single" w:sz="4" w:space="0" w:color="auto"/>
              <w:right w:val="single" w:sz="4" w:space="0" w:color="auto"/>
            </w:tcBorders>
            <w:shd w:val="clear" w:color="auto" w:fill="auto"/>
            <w:noWrap/>
            <w:vAlign w:val="bottom"/>
            <w:hideMark/>
          </w:tcPr>
          <w:p w14:paraId="475E1E24" w14:textId="77777777" w:rsidR="006955D9" w:rsidRPr="006955D9" w:rsidRDefault="006955D9" w:rsidP="006955D9">
            <w:pPr>
              <w:jc w:val="center"/>
              <w:rPr>
                <w:b/>
                <w:bCs/>
                <w:color w:val="000000"/>
                <w:sz w:val="20"/>
                <w:szCs w:val="20"/>
              </w:rPr>
            </w:pPr>
            <w:r w:rsidRPr="006955D9">
              <w:rPr>
                <w:b/>
                <w:bCs/>
                <w:color w:val="000000"/>
                <w:sz w:val="20"/>
                <w:szCs w:val="20"/>
              </w:rPr>
              <w:t>46</w:t>
            </w:r>
          </w:p>
        </w:tc>
        <w:tc>
          <w:tcPr>
            <w:tcW w:w="1854" w:type="dxa"/>
            <w:tcBorders>
              <w:top w:val="nil"/>
              <w:left w:val="nil"/>
              <w:bottom w:val="single" w:sz="4" w:space="0" w:color="auto"/>
              <w:right w:val="single" w:sz="4" w:space="0" w:color="auto"/>
            </w:tcBorders>
            <w:shd w:val="clear" w:color="auto" w:fill="auto"/>
            <w:noWrap/>
            <w:vAlign w:val="bottom"/>
            <w:hideMark/>
          </w:tcPr>
          <w:p w14:paraId="00B732EF" w14:textId="77777777" w:rsidR="006955D9" w:rsidRPr="006955D9" w:rsidRDefault="006955D9" w:rsidP="006955D9">
            <w:pPr>
              <w:jc w:val="center"/>
              <w:rPr>
                <w:b/>
                <w:bCs/>
                <w:color w:val="000000"/>
                <w:sz w:val="20"/>
                <w:szCs w:val="20"/>
              </w:rPr>
            </w:pPr>
            <w:r w:rsidRPr="006955D9">
              <w:rPr>
                <w:b/>
                <w:bCs/>
                <w:color w:val="000000"/>
                <w:sz w:val="20"/>
                <w:szCs w:val="20"/>
              </w:rPr>
              <w:t>52</w:t>
            </w:r>
          </w:p>
        </w:tc>
        <w:tc>
          <w:tcPr>
            <w:tcW w:w="851" w:type="dxa"/>
            <w:tcBorders>
              <w:top w:val="nil"/>
              <w:left w:val="nil"/>
              <w:bottom w:val="single" w:sz="4" w:space="0" w:color="auto"/>
              <w:right w:val="single" w:sz="4" w:space="0" w:color="auto"/>
            </w:tcBorders>
            <w:shd w:val="clear" w:color="auto" w:fill="auto"/>
            <w:noWrap/>
            <w:vAlign w:val="bottom"/>
            <w:hideMark/>
          </w:tcPr>
          <w:p w14:paraId="0F29A4DD" w14:textId="77777777" w:rsidR="006955D9" w:rsidRPr="006955D9" w:rsidRDefault="006955D9" w:rsidP="006955D9">
            <w:pPr>
              <w:jc w:val="center"/>
              <w:rPr>
                <w:b/>
                <w:bCs/>
                <w:color w:val="000000"/>
                <w:sz w:val="20"/>
                <w:szCs w:val="20"/>
              </w:rPr>
            </w:pPr>
            <w:r w:rsidRPr="006955D9">
              <w:rPr>
                <w:b/>
                <w:bCs/>
                <w:color w:val="000000"/>
                <w:sz w:val="20"/>
                <w:szCs w:val="20"/>
              </w:rPr>
              <w:t>56</w:t>
            </w:r>
          </w:p>
        </w:tc>
        <w:tc>
          <w:tcPr>
            <w:tcW w:w="896" w:type="dxa"/>
            <w:tcBorders>
              <w:top w:val="nil"/>
              <w:left w:val="nil"/>
              <w:bottom w:val="single" w:sz="4" w:space="0" w:color="auto"/>
              <w:right w:val="single" w:sz="4" w:space="0" w:color="auto"/>
            </w:tcBorders>
            <w:shd w:val="clear" w:color="auto" w:fill="auto"/>
            <w:noWrap/>
            <w:vAlign w:val="bottom"/>
            <w:hideMark/>
          </w:tcPr>
          <w:p w14:paraId="4BA661F1" w14:textId="77777777" w:rsidR="006955D9" w:rsidRPr="006955D9" w:rsidRDefault="006955D9" w:rsidP="006955D9">
            <w:pPr>
              <w:jc w:val="center"/>
              <w:rPr>
                <w:b/>
                <w:bCs/>
                <w:color w:val="000000"/>
                <w:sz w:val="20"/>
                <w:szCs w:val="20"/>
              </w:rPr>
            </w:pPr>
            <w:r w:rsidRPr="006955D9">
              <w:rPr>
                <w:b/>
                <w:bCs/>
                <w:color w:val="000000"/>
                <w:sz w:val="20"/>
                <w:szCs w:val="20"/>
              </w:rPr>
              <w:t>183</w:t>
            </w:r>
          </w:p>
        </w:tc>
      </w:tr>
    </w:tbl>
    <w:p w14:paraId="5C3E2827" w14:textId="12BD00E2" w:rsidR="0087713E" w:rsidRDefault="006955D9" w:rsidP="0035674B">
      <w:r w:rsidRPr="006955D9">
        <w:rPr>
          <w:b/>
          <w:bCs/>
        </w:rPr>
        <w:t>Note</w:t>
      </w:r>
      <w:r>
        <w:t>: the region is defined by the World Bank.</w:t>
      </w:r>
    </w:p>
    <w:p w14:paraId="658B1A29" w14:textId="24777E13" w:rsidR="00D06FC0" w:rsidRDefault="00D06FC0" w:rsidP="0035674B"/>
    <w:p w14:paraId="3496B5E1" w14:textId="77777777" w:rsidR="00BB6E7C" w:rsidRDefault="00BB6E7C" w:rsidP="00650984">
      <w:pPr>
        <w:spacing w:line="480" w:lineRule="auto"/>
        <w:jc w:val="center"/>
        <w:rPr>
          <w:b/>
          <w:bCs/>
        </w:rPr>
      </w:pPr>
    </w:p>
    <w:p w14:paraId="172C56F4" w14:textId="1F5C5788" w:rsidR="00D06FC0" w:rsidRDefault="00650984" w:rsidP="00650984">
      <w:pPr>
        <w:spacing w:line="480" w:lineRule="auto"/>
        <w:jc w:val="center"/>
      </w:pPr>
      <w:r w:rsidRPr="00F93AC7">
        <w:rPr>
          <w:b/>
          <w:bCs/>
        </w:rPr>
        <w:t xml:space="preserve">Table 5: </w:t>
      </w:r>
      <w:r w:rsidRPr="00F93AC7">
        <w:t>The cutoffs for the classification of countries into subgroups</w:t>
      </w:r>
    </w:p>
    <w:tbl>
      <w:tblPr>
        <w:tblW w:w="9129" w:type="dxa"/>
        <w:tblLook w:val="04A0" w:firstRow="1" w:lastRow="0" w:firstColumn="1" w:lastColumn="0" w:noHBand="0" w:noVBand="1"/>
      </w:tblPr>
      <w:tblGrid>
        <w:gridCol w:w="1149"/>
        <w:gridCol w:w="1640"/>
        <w:gridCol w:w="2500"/>
        <w:gridCol w:w="1880"/>
        <w:gridCol w:w="1960"/>
      </w:tblGrid>
      <w:tr w:rsidR="00C365E0" w:rsidRPr="00C365E0" w14:paraId="576116ED" w14:textId="77777777" w:rsidTr="00F93AC7">
        <w:trPr>
          <w:trHeight w:val="288"/>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26860" w14:textId="77777777" w:rsidR="00C365E0" w:rsidRPr="00C365E0" w:rsidRDefault="00C365E0" w:rsidP="00C365E0">
            <w:pPr>
              <w:rPr>
                <w:b/>
                <w:bCs/>
                <w:color w:val="000000"/>
                <w:sz w:val="20"/>
                <w:szCs w:val="20"/>
              </w:rPr>
            </w:pPr>
            <w:r w:rsidRPr="00C365E0">
              <w:rPr>
                <w:b/>
                <w:bCs/>
                <w:color w:val="000000"/>
                <w:sz w:val="20"/>
                <w:szCs w:val="20"/>
              </w:rPr>
              <w:t>Percentiles</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0CB0218" w14:textId="77777777" w:rsidR="00C365E0" w:rsidRPr="00C365E0" w:rsidRDefault="00C365E0" w:rsidP="00650984">
            <w:pPr>
              <w:jc w:val="center"/>
              <w:rPr>
                <w:b/>
                <w:bCs/>
                <w:color w:val="000000"/>
                <w:sz w:val="20"/>
                <w:szCs w:val="20"/>
              </w:rPr>
            </w:pPr>
            <w:r w:rsidRPr="00C365E0">
              <w:rPr>
                <w:b/>
                <w:bCs/>
                <w:color w:val="000000"/>
                <w:sz w:val="20"/>
                <w:szCs w:val="20"/>
              </w:rPr>
              <w:t xml:space="preserve">Life </w:t>
            </w:r>
            <w:proofErr w:type="spellStart"/>
            <w:r w:rsidRPr="00C365E0">
              <w:rPr>
                <w:b/>
                <w:bCs/>
                <w:color w:val="000000"/>
                <w:sz w:val="20"/>
                <w:szCs w:val="20"/>
              </w:rPr>
              <w:t>Expenctancy</w:t>
            </w:r>
            <w:proofErr w:type="spellEnd"/>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14:paraId="78C71A3C" w14:textId="09466E6E" w:rsidR="00650984" w:rsidRDefault="00C365E0" w:rsidP="00650984">
            <w:pPr>
              <w:jc w:val="center"/>
              <w:rPr>
                <w:b/>
                <w:bCs/>
                <w:color w:val="000000"/>
                <w:sz w:val="20"/>
                <w:szCs w:val="20"/>
              </w:rPr>
            </w:pPr>
            <w:r w:rsidRPr="00C365E0">
              <w:rPr>
                <w:b/>
                <w:bCs/>
                <w:color w:val="000000"/>
                <w:sz w:val="20"/>
                <w:szCs w:val="20"/>
              </w:rPr>
              <w:t>Social Insurance</w:t>
            </w:r>
          </w:p>
          <w:p w14:paraId="771C16AD" w14:textId="3EE881C4" w:rsidR="00C365E0" w:rsidRPr="00C365E0" w:rsidRDefault="00C365E0" w:rsidP="00650984">
            <w:pPr>
              <w:jc w:val="center"/>
              <w:rPr>
                <w:b/>
                <w:bCs/>
                <w:color w:val="000000"/>
                <w:sz w:val="20"/>
                <w:szCs w:val="20"/>
              </w:rPr>
            </w:pPr>
            <w:r w:rsidRPr="00C365E0">
              <w:rPr>
                <w:b/>
                <w:bCs/>
                <w:color w:val="000000"/>
                <w:sz w:val="20"/>
                <w:szCs w:val="20"/>
              </w:rPr>
              <w:t>Coverage</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0B9EE163" w14:textId="77777777" w:rsidR="00C365E0" w:rsidRPr="00C365E0" w:rsidRDefault="00C365E0" w:rsidP="00650984">
            <w:pPr>
              <w:jc w:val="center"/>
              <w:rPr>
                <w:b/>
                <w:bCs/>
                <w:color w:val="000000"/>
                <w:sz w:val="20"/>
                <w:szCs w:val="20"/>
              </w:rPr>
            </w:pPr>
            <w:r w:rsidRPr="00C365E0">
              <w:rPr>
                <w:b/>
                <w:bCs/>
                <w:color w:val="000000"/>
                <w:sz w:val="20"/>
                <w:szCs w:val="20"/>
              </w:rPr>
              <w:t>Financial Openness</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6939543A" w14:textId="77777777" w:rsidR="00C365E0" w:rsidRPr="00C365E0" w:rsidRDefault="00C365E0" w:rsidP="00650984">
            <w:pPr>
              <w:jc w:val="center"/>
              <w:rPr>
                <w:b/>
                <w:bCs/>
                <w:color w:val="000000"/>
                <w:sz w:val="20"/>
                <w:szCs w:val="20"/>
              </w:rPr>
            </w:pPr>
            <w:r w:rsidRPr="00C365E0">
              <w:rPr>
                <w:b/>
                <w:bCs/>
                <w:color w:val="000000"/>
                <w:sz w:val="20"/>
                <w:szCs w:val="20"/>
              </w:rPr>
              <w:t>Financial Deepening</w:t>
            </w:r>
          </w:p>
        </w:tc>
      </w:tr>
      <w:tr w:rsidR="00C365E0" w:rsidRPr="00C365E0" w14:paraId="6D29DD57" w14:textId="77777777" w:rsidTr="00F93AC7">
        <w:trPr>
          <w:trHeight w:val="288"/>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42B9647B" w14:textId="40BD83E6" w:rsidR="00C365E0" w:rsidRPr="00C365E0" w:rsidRDefault="00C94B23" w:rsidP="00C365E0">
            <w:pPr>
              <w:jc w:val="right"/>
              <w:rPr>
                <w:b/>
                <w:bCs/>
                <w:color w:val="000000"/>
                <w:sz w:val="20"/>
                <w:szCs w:val="20"/>
              </w:rPr>
            </w:pPr>
            <w:r>
              <w:rPr>
                <w:b/>
                <w:bCs/>
                <w:color w:val="000000"/>
                <w:sz w:val="20"/>
                <w:szCs w:val="20"/>
              </w:rPr>
              <w:t>33</w:t>
            </w:r>
            <w:r w:rsidR="00C365E0" w:rsidRPr="00C365E0">
              <w:rPr>
                <w:b/>
                <w:bCs/>
                <w:color w:val="000000"/>
                <w:sz w:val="20"/>
                <w:szCs w:val="20"/>
              </w:rPr>
              <w:t>%</w:t>
            </w:r>
          </w:p>
        </w:tc>
        <w:tc>
          <w:tcPr>
            <w:tcW w:w="1640" w:type="dxa"/>
            <w:tcBorders>
              <w:top w:val="nil"/>
              <w:left w:val="nil"/>
              <w:bottom w:val="single" w:sz="4" w:space="0" w:color="auto"/>
              <w:right w:val="single" w:sz="4" w:space="0" w:color="auto"/>
            </w:tcBorders>
            <w:shd w:val="clear" w:color="auto" w:fill="auto"/>
            <w:noWrap/>
            <w:vAlign w:val="bottom"/>
            <w:hideMark/>
          </w:tcPr>
          <w:p w14:paraId="5D50891D" w14:textId="3D805438" w:rsidR="00C365E0" w:rsidRPr="00C365E0" w:rsidRDefault="00F93AC7" w:rsidP="00C365E0">
            <w:pPr>
              <w:jc w:val="right"/>
              <w:rPr>
                <w:color w:val="000000"/>
                <w:sz w:val="20"/>
                <w:szCs w:val="20"/>
              </w:rPr>
            </w:pPr>
            <w:r w:rsidRPr="00F93AC7">
              <w:rPr>
                <w:color w:val="000000"/>
                <w:sz w:val="20"/>
                <w:szCs w:val="20"/>
              </w:rPr>
              <w:t xml:space="preserve">  61.459</w:t>
            </w:r>
          </w:p>
        </w:tc>
        <w:tc>
          <w:tcPr>
            <w:tcW w:w="2500" w:type="dxa"/>
            <w:tcBorders>
              <w:top w:val="nil"/>
              <w:left w:val="nil"/>
              <w:bottom w:val="single" w:sz="4" w:space="0" w:color="auto"/>
              <w:right w:val="single" w:sz="4" w:space="0" w:color="auto"/>
            </w:tcBorders>
            <w:shd w:val="clear" w:color="auto" w:fill="auto"/>
            <w:noWrap/>
            <w:vAlign w:val="bottom"/>
            <w:hideMark/>
          </w:tcPr>
          <w:p w14:paraId="75A913D8" w14:textId="5DEB7F51" w:rsidR="00C365E0" w:rsidRPr="00C365E0" w:rsidRDefault="00F93AC7" w:rsidP="00C365E0">
            <w:pPr>
              <w:jc w:val="right"/>
              <w:rPr>
                <w:color w:val="000000"/>
                <w:sz w:val="20"/>
                <w:szCs w:val="20"/>
              </w:rPr>
            </w:pPr>
            <w:r w:rsidRPr="00F93AC7">
              <w:rPr>
                <w:color w:val="000000"/>
                <w:sz w:val="20"/>
                <w:szCs w:val="20"/>
              </w:rPr>
              <w:t>6.626981</w:t>
            </w:r>
          </w:p>
        </w:tc>
        <w:tc>
          <w:tcPr>
            <w:tcW w:w="1880" w:type="dxa"/>
            <w:tcBorders>
              <w:top w:val="nil"/>
              <w:left w:val="nil"/>
              <w:bottom w:val="single" w:sz="4" w:space="0" w:color="auto"/>
              <w:right w:val="single" w:sz="4" w:space="0" w:color="auto"/>
            </w:tcBorders>
            <w:shd w:val="clear" w:color="auto" w:fill="auto"/>
            <w:noWrap/>
            <w:vAlign w:val="bottom"/>
            <w:hideMark/>
          </w:tcPr>
          <w:p w14:paraId="726B3E66" w14:textId="3D6D979B" w:rsidR="00C365E0" w:rsidRPr="00C365E0" w:rsidRDefault="00F93AC7" w:rsidP="00C365E0">
            <w:pPr>
              <w:jc w:val="right"/>
              <w:rPr>
                <w:color w:val="000000"/>
                <w:sz w:val="20"/>
                <w:szCs w:val="20"/>
              </w:rPr>
            </w:pPr>
            <w:r w:rsidRPr="00F93AC7">
              <w:rPr>
                <w:color w:val="000000"/>
                <w:sz w:val="20"/>
                <w:szCs w:val="20"/>
              </w:rPr>
              <w:t>-1.210019</w:t>
            </w:r>
          </w:p>
        </w:tc>
        <w:tc>
          <w:tcPr>
            <w:tcW w:w="1960" w:type="dxa"/>
            <w:tcBorders>
              <w:top w:val="nil"/>
              <w:left w:val="nil"/>
              <w:bottom w:val="single" w:sz="4" w:space="0" w:color="auto"/>
              <w:right w:val="single" w:sz="4" w:space="0" w:color="auto"/>
            </w:tcBorders>
            <w:shd w:val="clear" w:color="auto" w:fill="auto"/>
            <w:noWrap/>
            <w:vAlign w:val="bottom"/>
            <w:hideMark/>
          </w:tcPr>
          <w:p w14:paraId="1745D5DA" w14:textId="613D9938" w:rsidR="00C365E0" w:rsidRPr="00C365E0" w:rsidRDefault="00F93AC7" w:rsidP="00C365E0">
            <w:pPr>
              <w:jc w:val="right"/>
              <w:rPr>
                <w:color w:val="000000"/>
                <w:sz w:val="20"/>
                <w:szCs w:val="20"/>
              </w:rPr>
            </w:pPr>
            <w:r w:rsidRPr="00F93AC7">
              <w:rPr>
                <w:color w:val="000000"/>
                <w:sz w:val="20"/>
                <w:szCs w:val="20"/>
              </w:rPr>
              <w:t>26.63833</w:t>
            </w:r>
          </w:p>
        </w:tc>
      </w:tr>
      <w:tr w:rsidR="00C365E0" w:rsidRPr="00C365E0" w14:paraId="59A5BC26" w14:textId="77777777" w:rsidTr="00F93AC7">
        <w:trPr>
          <w:trHeight w:val="288"/>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7A1D47F1" w14:textId="5A4731B3" w:rsidR="00C365E0" w:rsidRPr="00C365E0" w:rsidRDefault="00C94B23" w:rsidP="00C365E0">
            <w:pPr>
              <w:jc w:val="right"/>
              <w:rPr>
                <w:b/>
                <w:bCs/>
                <w:color w:val="000000"/>
                <w:sz w:val="20"/>
                <w:szCs w:val="20"/>
              </w:rPr>
            </w:pPr>
            <w:r>
              <w:rPr>
                <w:b/>
                <w:bCs/>
                <w:color w:val="000000"/>
                <w:sz w:val="20"/>
                <w:szCs w:val="20"/>
              </w:rPr>
              <w:t>6</w:t>
            </w:r>
            <w:r w:rsidR="00F93AC7">
              <w:rPr>
                <w:b/>
                <w:bCs/>
                <w:color w:val="000000"/>
                <w:sz w:val="20"/>
                <w:szCs w:val="20"/>
              </w:rPr>
              <w:t>7</w:t>
            </w:r>
            <w:r w:rsidR="00C365E0" w:rsidRPr="00C365E0">
              <w:rPr>
                <w:b/>
                <w:bCs/>
                <w:color w:val="000000"/>
                <w:sz w:val="20"/>
                <w:szCs w:val="20"/>
              </w:rPr>
              <w:t>%</w:t>
            </w:r>
          </w:p>
        </w:tc>
        <w:tc>
          <w:tcPr>
            <w:tcW w:w="1640" w:type="dxa"/>
            <w:tcBorders>
              <w:top w:val="nil"/>
              <w:left w:val="nil"/>
              <w:bottom w:val="single" w:sz="4" w:space="0" w:color="auto"/>
              <w:right w:val="single" w:sz="4" w:space="0" w:color="auto"/>
            </w:tcBorders>
            <w:shd w:val="clear" w:color="auto" w:fill="auto"/>
            <w:noWrap/>
            <w:vAlign w:val="bottom"/>
            <w:hideMark/>
          </w:tcPr>
          <w:p w14:paraId="505DD3C6" w14:textId="0BD6F36D" w:rsidR="00C365E0" w:rsidRPr="00C365E0" w:rsidRDefault="00F93AC7" w:rsidP="00C365E0">
            <w:pPr>
              <w:jc w:val="right"/>
              <w:rPr>
                <w:color w:val="000000"/>
                <w:sz w:val="20"/>
                <w:szCs w:val="20"/>
              </w:rPr>
            </w:pPr>
            <w:r w:rsidRPr="00F93AC7">
              <w:rPr>
                <w:color w:val="000000"/>
                <w:sz w:val="20"/>
                <w:szCs w:val="20"/>
              </w:rPr>
              <w:t>71.267</w:t>
            </w:r>
          </w:p>
        </w:tc>
        <w:tc>
          <w:tcPr>
            <w:tcW w:w="2500" w:type="dxa"/>
            <w:tcBorders>
              <w:top w:val="nil"/>
              <w:left w:val="nil"/>
              <w:bottom w:val="single" w:sz="4" w:space="0" w:color="auto"/>
              <w:right w:val="single" w:sz="4" w:space="0" w:color="auto"/>
            </w:tcBorders>
            <w:shd w:val="clear" w:color="auto" w:fill="auto"/>
            <w:noWrap/>
            <w:vAlign w:val="bottom"/>
            <w:hideMark/>
          </w:tcPr>
          <w:p w14:paraId="3A922A12" w14:textId="34CE154C" w:rsidR="00C365E0" w:rsidRPr="00C365E0" w:rsidRDefault="00F93AC7" w:rsidP="00C365E0">
            <w:pPr>
              <w:jc w:val="right"/>
              <w:rPr>
                <w:color w:val="000000"/>
                <w:sz w:val="20"/>
                <w:szCs w:val="20"/>
              </w:rPr>
            </w:pPr>
            <w:r w:rsidRPr="00F93AC7">
              <w:rPr>
                <w:color w:val="000000"/>
                <w:sz w:val="20"/>
                <w:szCs w:val="20"/>
              </w:rPr>
              <w:t>31.87976</w:t>
            </w:r>
          </w:p>
        </w:tc>
        <w:tc>
          <w:tcPr>
            <w:tcW w:w="1880" w:type="dxa"/>
            <w:tcBorders>
              <w:top w:val="nil"/>
              <w:left w:val="nil"/>
              <w:bottom w:val="single" w:sz="4" w:space="0" w:color="auto"/>
              <w:right w:val="single" w:sz="4" w:space="0" w:color="auto"/>
            </w:tcBorders>
            <w:shd w:val="clear" w:color="auto" w:fill="auto"/>
            <w:noWrap/>
            <w:vAlign w:val="bottom"/>
            <w:hideMark/>
          </w:tcPr>
          <w:p w14:paraId="1464D7E6" w14:textId="1EDCB7CA" w:rsidR="00C365E0" w:rsidRPr="00C365E0" w:rsidRDefault="00F93AC7" w:rsidP="00C365E0">
            <w:pPr>
              <w:jc w:val="right"/>
              <w:rPr>
                <w:color w:val="000000"/>
                <w:sz w:val="20"/>
                <w:szCs w:val="20"/>
              </w:rPr>
            </w:pPr>
            <w:r w:rsidRPr="00F93AC7">
              <w:rPr>
                <w:color w:val="000000"/>
                <w:sz w:val="20"/>
                <w:szCs w:val="20"/>
              </w:rPr>
              <w:t>1.06519</w:t>
            </w:r>
          </w:p>
        </w:tc>
        <w:tc>
          <w:tcPr>
            <w:tcW w:w="1960" w:type="dxa"/>
            <w:tcBorders>
              <w:top w:val="nil"/>
              <w:left w:val="nil"/>
              <w:bottom w:val="single" w:sz="4" w:space="0" w:color="auto"/>
              <w:right w:val="single" w:sz="4" w:space="0" w:color="auto"/>
            </w:tcBorders>
            <w:shd w:val="clear" w:color="auto" w:fill="auto"/>
            <w:noWrap/>
            <w:vAlign w:val="bottom"/>
            <w:hideMark/>
          </w:tcPr>
          <w:p w14:paraId="7BBB407B" w14:textId="0DC2A89C" w:rsidR="00C365E0" w:rsidRPr="00C365E0" w:rsidRDefault="00F93AC7" w:rsidP="00C365E0">
            <w:pPr>
              <w:jc w:val="right"/>
              <w:rPr>
                <w:color w:val="000000"/>
                <w:sz w:val="20"/>
                <w:szCs w:val="20"/>
              </w:rPr>
            </w:pPr>
            <w:r w:rsidRPr="00F93AC7">
              <w:rPr>
                <w:color w:val="000000"/>
                <w:sz w:val="20"/>
                <w:szCs w:val="20"/>
              </w:rPr>
              <w:t>50.20963</w:t>
            </w:r>
          </w:p>
        </w:tc>
      </w:tr>
    </w:tbl>
    <w:p w14:paraId="099BE867" w14:textId="504545E2" w:rsidR="00D06FC0" w:rsidRDefault="00D06FC0" w:rsidP="0035674B"/>
    <w:p w14:paraId="0C96CC2A" w14:textId="77777777" w:rsidR="00F93AC7" w:rsidRDefault="00F93AC7" w:rsidP="0035674B"/>
    <w:p w14:paraId="5E6CAD23" w14:textId="0A3B12AD" w:rsidR="00D06FC0" w:rsidRDefault="00D06FC0" w:rsidP="0035674B"/>
    <w:p w14:paraId="17482D19" w14:textId="46F6DF0A" w:rsidR="00D06FC0" w:rsidRDefault="00D06FC0" w:rsidP="0035674B"/>
    <w:p w14:paraId="2C57E1AD" w14:textId="77777777" w:rsidR="00BB6E7C" w:rsidRDefault="00BB6E7C" w:rsidP="00214B02">
      <w:pPr>
        <w:spacing w:line="480" w:lineRule="auto"/>
        <w:jc w:val="center"/>
        <w:rPr>
          <w:b/>
          <w:bCs/>
        </w:rPr>
      </w:pPr>
    </w:p>
    <w:p w14:paraId="45CFE162" w14:textId="77777777" w:rsidR="00BB6E7C" w:rsidRDefault="00BB6E7C" w:rsidP="00214B02">
      <w:pPr>
        <w:spacing w:line="480" w:lineRule="auto"/>
        <w:jc w:val="center"/>
        <w:rPr>
          <w:b/>
          <w:bCs/>
        </w:rPr>
      </w:pPr>
    </w:p>
    <w:p w14:paraId="33A0C506" w14:textId="77777777" w:rsidR="00BB6E7C" w:rsidRDefault="00BB6E7C" w:rsidP="00214B02">
      <w:pPr>
        <w:spacing w:line="480" w:lineRule="auto"/>
        <w:jc w:val="center"/>
        <w:rPr>
          <w:b/>
          <w:bCs/>
        </w:rPr>
      </w:pPr>
    </w:p>
    <w:p w14:paraId="46095D07" w14:textId="0C284041" w:rsidR="00214B02" w:rsidRPr="003C2D23" w:rsidRDefault="00214B02" w:rsidP="003C2D23">
      <w:pPr>
        <w:spacing w:line="480" w:lineRule="auto"/>
        <w:jc w:val="center"/>
      </w:pPr>
      <w:r>
        <w:rPr>
          <w:b/>
          <w:bCs/>
        </w:rPr>
        <w:lastRenderedPageBreak/>
        <w:t xml:space="preserve">Table 6: </w:t>
      </w:r>
      <w:r w:rsidR="00BB6E7C">
        <w:t>The Granger Causality Test Results</w:t>
      </w:r>
    </w:p>
    <w:tbl>
      <w:tblPr>
        <w:tblW w:w="9530" w:type="dxa"/>
        <w:tblLayout w:type="fixed"/>
        <w:tblLook w:val="04A0" w:firstRow="1" w:lastRow="0" w:firstColumn="1" w:lastColumn="0" w:noHBand="0" w:noVBand="1"/>
      </w:tblPr>
      <w:tblGrid>
        <w:gridCol w:w="1117"/>
        <w:gridCol w:w="2658"/>
        <w:gridCol w:w="720"/>
        <w:gridCol w:w="494"/>
        <w:gridCol w:w="676"/>
        <w:gridCol w:w="720"/>
        <w:gridCol w:w="549"/>
        <w:gridCol w:w="649"/>
        <w:gridCol w:w="872"/>
        <w:gridCol w:w="425"/>
        <w:gridCol w:w="650"/>
      </w:tblGrid>
      <w:tr w:rsidR="00214B02" w14:paraId="456BE3C5" w14:textId="77777777" w:rsidTr="009634C4">
        <w:trPr>
          <w:trHeight w:val="431"/>
        </w:trPr>
        <w:tc>
          <w:tcPr>
            <w:tcW w:w="1117" w:type="dxa"/>
            <w:tcBorders>
              <w:top w:val="single" w:sz="4" w:space="0" w:color="auto"/>
              <w:left w:val="single" w:sz="4" w:space="0" w:color="auto"/>
              <w:bottom w:val="nil"/>
              <w:right w:val="nil"/>
            </w:tcBorders>
            <w:shd w:val="clear" w:color="auto" w:fill="auto"/>
            <w:noWrap/>
            <w:vAlign w:val="bottom"/>
            <w:hideMark/>
          </w:tcPr>
          <w:p w14:paraId="7042AC4F" w14:textId="35884157" w:rsidR="00214B02" w:rsidRDefault="00214B02" w:rsidP="00214B02">
            <w:pPr>
              <w:rPr>
                <w:color w:val="000000"/>
                <w:sz w:val="22"/>
                <w:szCs w:val="22"/>
              </w:rPr>
            </w:pPr>
            <w:r>
              <w:rPr>
                <w:color w:val="000000"/>
                <w:sz w:val="22"/>
                <w:szCs w:val="22"/>
              </w:rPr>
              <w:t>Equation</w:t>
            </w:r>
            <w:r w:rsidR="003C2D23">
              <w:rPr>
                <w:color w:val="000000"/>
                <w:sz w:val="22"/>
                <w:szCs w:val="22"/>
              </w:rPr>
              <w:t xml:space="preserve"> </w:t>
            </w:r>
          </w:p>
        </w:tc>
        <w:tc>
          <w:tcPr>
            <w:tcW w:w="2658" w:type="dxa"/>
            <w:tcBorders>
              <w:top w:val="single" w:sz="4" w:space="0" w:color="auto"/>
              <w:left w:val="nil"/>
              <w:bottom w:val="nil"/>
              <w:right w:val="single" w:sz="4" w:space="0" w:color="auto"/>
            </w:tcBorders>
            <w:shd w:val="clear" w:color="auto" w:fill="auto"/>
            <w:noWrap/>
            <w:vAlign w:val="bottom"/>
            <w:hideMark/>
          </w:tcPr>
          <w:p w14:paraId="48D93993" w14:textId="77777777" w:rsidR="00214B02" w:rsidRDefault="00214B02" w:rsidP="00214B02">
            <w:pPr>
              <w:rPr>
                <w:color w:val="000000"/>
                <w:sz w:val="22"/>
                <w:szCs w:val="22"/>
              </w:rPr>
            </w:pPr>
          </w:p>
        </w:tc>
        <w:tc>
          <w:tcPr>
            <w:tcW w:w="189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2A560" w14:textId="497B370E" w:rsidR="00214B02" w:rsidRDefault="003C2D23" w:rsidP="00214B02">
            <w:pPr>
              <w:jc w:val="center"/>
              <w:rPr>
                <w:color w:val="000000"/>
                <w:sz w:val="22"/>
                <w:szCs w:val="22"/>
              </w:rPr>
            </w:pPr>
            <w:r>
              <w:rPr>
                <w:color w:val="000000"/>
                <w:sz w:val="22"/>
                <w:szCs w:val="22"/>
              </w:rPr>
              <w:t>Two-Variable</w:t>
            </w:r>
          </w:p>
        </w:tc>
        <w:tc>
          <w:tcPr>
            <w:tcW w:w="191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F4012" w14:textId="0F357307" w:rsidR="00214B02" w:rsidRDefault="00BB6E7C" w:rsidP="00214B02">
            <w:pPr>
              <w:jc w:val="center"/>
              <w:rPr>
                <w:color w:val="000000"/>
                <w:sz w:val="22"/>
                <w:szCs w:val="22"/>
              </w:rPr>
            </w:pPr>
            <w:r>
              <w:rPr>
                <w:color w:val="000000"/>
                <w:sz w:val="22"/>
                <w:szCs w:val="22"/>
              </w:rPr>
              <w:t>Baseline</w:t>
            </w:r>
          </w:p>
        </w:tc>
        <w:tc>
          <w:tcPr>
            <w:tcW w:w="194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9D778" w14:textId="567A6A2E" w:rsidR="00214B02" w:rsidRDefault="00BB6E7C" w:rsidP="00214B02">
            <w:pPr>
              <w:jc w:val="center"/>
              <w:rPr>
                <w:color w:val="000000"/>
                <w:sz w:val="22"/>
                <w:szCs w:val="22"/>
              </w:rPr>
            </w:pPr>
            <w:r>
              <w:rPr>
                <w:color w:val="000000"/>
                <w:sz w:val="22"/>
                <w:szCs w:val="22"/>
              </w:rPr>
              <w:t xml:space="preserve">Extended Model </w:t>
            </w:r>
          </w:p>
        </w:tc>
      </w:tr>
      <w:tr w:rsidR="003C2D23" w14:paraId="721E24F9" w14:textId="77777777" w:rsidTr="009634C4">
        <w:trPr>
          <w:trHeight w:val="288"/>
        </w:trPr>
        <w:tc>
          <w:tcPr>
            <w:tcW w:w="1117" w:type="dxa"/>
            <w:tcBorders>
              <w:top w:val="nil"/>
              <w:left w:val="single" w:sz="4" w:space="0" w:color="auto"/>
              <w:bottom w:val="single" w:sz="4" w:space="0" w:color="auto"/>
              <w:right w:val="nil"/>
            </w:tcBorders>
            <w:shd w:val="clear" w:color="auto" w:fill="auto"/>
            <w:noWrap/>
            <w:vAlign w:val="bottom"/>
            <w:hideMark/>
          </w:tcPr>
          <w:p w14:paraId="570DD9DA" w14:textId="77777777" w:rsidR="00214B02" w:rsidRPr="003C2D23" w:rsidRDefault="00214B02" w:rsidP="00214B02">
            <w:pPr>
              <w:jc w:val="center"/>
              <w:rPr>
                <w:b/>
                <w:bCs/>
                <w:color w:val="000000"/>
                <w:sz w:val="22"/>
                <w:szCs w:val="22"/>
              </w:rPr>
            </w:pPr>
          </w:p>
        </w:tc>
        <w:tc>
          <w:tcPr>
            <w:tcW w:w="2658" w:type="dxa"/>
            <w:tcBorders>
              <w:top w:val="nil"/>
              <w:left w:val="nil"/>
              <w:bottom w:val="single" w:sz="4" w:space="0" w:color="auto"/>
              <w:right w:val="single" w:sz="4" w:space="0" w:color="auto"/>
            </w:tcBorders>
            <w:shd w:val="clear" w:color="auto" w:fill="auto"/>
            <w:noWrap/>
            <w:vAlign w:val="bottom"/>
            <w:hideMark/>
          </w:tcPr>
          <w:p w14:paraId="496B5F81" w14:textId="5A54034A" w:rsidR="00214B02" w:rsidRDefault="00214B02" w:rsidP="00214B02">
            <w:pPr>
              <w:rPr>
                <w:color w:val="000000"/>
                <w:sz w:val="22"/>
                <w:szCs w:val="22"/>
              </w:rPr>
            </w:pPr>
            <w:r>
              <w:rPr>
                <w:color w:val="000000"/>
                <w:sz w:val="22"/>
                <w:szCs w:val="22"/>
              </w:rPr>
              <w:t>Excluded</w:t>
            </w:r>
            <w:r w:rsidR="003C2D23">
              <w:rPr>
                <w:color w:val="000000"/>
                <w:sz w:val="22"/>
                <w:szCs w:val="22"/>
              </w:rPr>
              <w:t xml:space="preserve"> Variables</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BB380" w14:textId="77777777" w:rsidR="00214B02" w:rsidRDefault="00214B02" w:rsidP="00214B02">
            <w:pPr>
              <w:rPr>
                <w:color w:val="000000"/>
                <w:sz w:val="22"/>
                <w:szCs w:val="22"/>
              </w:rPr>
            </w:pPr>
            <w:r>
              <w:rPr>
                <w:color w:val="000000"/>
                <w:sz w:val="22"/>
                <w:szCs w:val="22"/>
              </w:rPr>
              <w:t>chi2</w:t>
            </w:r>
          </w:p>
        </w:tc>
        <w:tc>
          <w:tcPr>
            <w:tcW w:w="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214F6" w14:textId="7CC7160E" w:rsidR="00214B02" w:rsidRDefault="003C2D23" w:rsidP="00214B02">
            <w:pPr>
              <w:rPr>
                <w:color w:val="000000"/>
                <w:sz w:val="22"/>
                <w:szCs w:val="22"/>
              </w:rPr>
            </w:pPr>
            <w:r>
              <w:rPr>
                <w:color w:val="000000"/>
                <w:sz w:val="22"/>
                <w:szCs w:val="22"/>
              </w:rPr>
              <w:t>df</w:t>
            </w:r>
          </w:p>
        </w:tc>
        <w:tc>
          <w:tcPr>
            <w:tcW w:w="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AE494" w14:textId="77777777" w:rsidR="00214B02" w:rsidRDefault="00214B02" w:rsidP="00214B02">
            <w:pPr>
              <w:rPr>
                <w:color w:val="000000"/>
                <w:sz w:val="22"/>
                <w:szCs w:val="22"/>
              </w:rPr>
            </w:pPr>
            <w:r>
              <w:rPr>
                <w:color w:val="000000"/>
                <w:sz w:val="22"/>
                <w:szCs w:val="22"/>
              </w:rPr>
              <w:t>prob</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FD8FB" w14:textId="77777777" w:rsidR="00214B02" w:rsidRDefault="00214B02" w:rsidP="00214B02">
            <w:pPr>
              <w:rPr>
                <w:color w:val="000000"/>
                <w:sz w:val="22"/>
                <w:szCs w:val="22"/>
              </w:rPr>
            </w:pPr>
            <w:r>
              <w:rPr>
                <w:color w:val="000000"/>
                <w:sz w:val="22"/>
                <w:szCs w:val="22"/>
              </w:rPr>
              <w:t>chi2</w:t>
            </w:r>
          </w:p>
        </w:tc>
        <w:tc>
          <w:tcPr>
            <w:tcW w:w="5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3FF82" w14:textId="77777777" w:rsidR="00214B02" w:rsidRDefault="00214B02" w:rsidP="00214B02">
            <w:pPr>
              <w:rPr>
                <w:color w:val="000000"/>
                <w:sz w:val="22"/>
                <w:szCs w:val="22"/>
              </w:rPr>
            </w:pPr>
            <w:r>
              <w:rPr>
                <w:color w:val="000000"/>
                <w:sz w:val="22"/>
                <w:szCs w:val="22"/>
              </w:rPr>
              <w:t>df</w:t>
            </w:r>
          </w:p>
        </w:tc>
        <w:tc>
          <w:tcPr>
            <w:tcW w:w="6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DEE67" w14:textId="77777777" w:rsidR="00214B02" w:rsidRDefault="00214B02" w:rsidP="00214B02">
            <w:pPr>
              <w:rPr>
                <w:color w:val="000000"/>
                <w:sz w:val="22"/>
                <w:szCs w:val="22"/>
              </w:rPr>
            </w:pPr>
            <w:r>
              <w:rPr>
                <w:color w:val="000000"/>
                <w:sz w:val="22"/>
                <w:szCs w:val="22"/>
              </w:rPr>
              <w:t>prob</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FA687" w14:textId="77777777" w:rsidR="00214B02" w:rsidRDefault="00214B02" w:rsidP="00214B02">
            <w:pPr>
              <w:rPr>
                <w:color w:val="000000"/>
                <w:sz w:val="22"/>
                <w:szCs w:val="22"/>
              </w:rPr>
            </w:pPr>
            <w:r>
              <w:rPr>
                <w:color w:val="000000"/>
                <w:sz w:val="22"/>
                <w:szCs w:val="22"/>
              </w:rPr>
              <w:t>chi2</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48354" w14:textId="77777777" w:rsidR="00214B02" w:rsidRDefault="00214B02" w:rsidP="00214B02">
            <w:pPr>
              <w:rPr>
                <w:color w:val="000000"/>
                <w:sz w:val="22"/>
                <w:szCs w:val="22"/>
              </w:rPr>
            </w:pPr>
            <w:r>
              <w:rPr>
                <w:color w:val="000000"/>
                <w:sz w:val="22"/>
                <w:szCs w:val="22"/>
              </w:rPr>
              <w:t>df</w:t>
            </w:r>
          </w:p>
        </w:tc>
        <w:tc>
          <w:tcPr>
            <w:tcW w:w="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EF1C6" w14:textId="77777777" w:rsidR="00214B02" w:rsidRDefault="00214B02" w:rsidP="00214B02">
            <w:pPr>
              <w:rPr>
                <w:color w:val="000000"/>
                <w:sz w:val="22"/>
                <w:szCs w:val="22"/>
              </w:rPr>
            </w:pPr>
            <w:r>
              <w:rPr>
                <w:color w:val="000000"/>
                <w:sz w:val="22"/>
                <w:szCs w:val="22"/>
              </w:rPr>
              <w:t>prob</w:t>
            </w:r>
          </w:p>
        </w:tc>
      </w:tr>
      <w:tr w:rsidR="003C2D23" w14:paraId="0BE67202" w14:textId="77777777" w:rsidTr="009634C4">
        <w:trPr>
          <w:trHeight w:val="288"/>
        </w:trPr>
        <w:tc>
          <w:tcPr>
            <w:tcW w:w="3775" w:type="dxa"/>
            <w:gridSpan w:val="2"/>
            <w:tcBorders>
              <w:top w:val="single" w:sz="4" w:space="0" w:color="auto"/>
              <w:left w:val="single" w:sz="4" w:space="0" w:color="auto"/>
              <w:bottom w:val="nil"/>
              <w:right w:val="single" w:sz="4" w:space="0" w:color="auto"/>
            </w:tcBorders>
            <w:shd w:val="clear" w:color="auto" w:fill="auto"/>
            <w:noWrap/>
            <w:vAlign w:val="bottom"/>
            <w:hideMark/>
          </w:tcPr>
          <w:p w14:paraId="2A1E3E0F" w14:textId="112DCF04" w:rsidR="003C2D23" w:rsidRPr="003C2D23" w:rsidRDefault="003C2D23" w:rsidP="00214B02">
            <w:pPr>
              <w:rPr>
                <w:b/>
                <w:bCs/>
                <w:color w:val="000000"/>
                <w:sz w:val="22"/>
                <w:szCs w:val="22"/>
              </w:rPr>
            </w:pPr>
            <w:r w:rsidRPr="003C2D23">
              <w:rPr>
                <w:b/>
                <w:bCs/>
                <w:color w:val="000000"/>
                <w:sz w:val="22"/>
                <w:szCs w:val="22"/>
              </w:rPr>
              <w:t>Prime Saver</w:t>
            </w:r>
          </w:p>
        </w:tc>
        <w:tc>
          <w:tcPr>
            <w:tcW w:w="720" w:type="dxa"/>
            <w:tcBorders>
              <w:top w:val="single" w:sz="4" w:space="0" w:color="auto"/>
              <w:left w:val="single" w:sz="4" w:space="0" w:color="auto"/>
              <w:bottom w:val="nil"/>
              <w:right w:val="single" w:sz="4" w:space="0" w:color="auto"/>
            </w:tcBorders>
            <w:shd w:val="clear" w:color="auto" w:fill="auto"/>
            <w:noWrap/>
            <w:vAlign w:val="bottom"/>
            <w:hideMark/>
          </w:tcPr>
          <w:p w14:paraId="653F8297" w14:textId="77777777" w:rsidR="003C2D23" w:rsidRDefault="003C2D23" w:rsidP="00214B02">
            <w:pPr>
              <w:rPr>
                <w:sz w:val="20"/>
                <w:szCs w:val="20"/>
              </w:rPr>
            </w:pPr>
          </w:p>
        </w:tc>
        <w:tc>
          <w:tcPr>
            <w:tcW w:w="494" w:type="dxa"/>
            <w:tcBorders>
              <w:top w:val="single" w:sz="4" w:space="0" w:color="auto"/>
              <w:left w:val="single" w:sz="4" w:space="0" w:color="auto"/>
              <w:bottom w:val="nil"/>
              <w:right w:val="single" w:sz="4" w:space="0" w:color="auto"/>
            </w:tcBorders>
            <w:shd w:val="clear" w:color="auto" w:fill="auto"/>
            <w:noWrap/>
            <w:vAlign w:val="bottom"/>
            <w:hideMark/>
          </w:tcPr>
          <w:p w14:paraId="5081BD16" w14:textId="77777777" w:rsidR="003C2D23" w:rsidRDefault="003C2D23" w:rsidP="00214B02">
            <w:pPr>
              <w:rPr>
                <w:sz w:val="20"/>
                <w:szCs w:val="20"/>
              </w:rPr>
            </w:pPr>
          </w:p>
        </w:tc>
        <w:tc>
          <w:tcPr>
            <w:tcW w:w="676" w:type="dxa"/>
            <w:tcBorders>
              <w:top w:val="single" w:sz="4" w:space="0" w:color="auto"/>
              <w:left w:val="single" w:sz="4" w:space="0" w:color="auto"/>
              <w:bottom w:val="nil"/>
              <w:right w:val="single" w:sz="4" w:space="0" w:color="auto"/>
            </w:tcBorders>
            <w:shd w:val="clear" w:color="auto" w:fill="auto"/>
            <w:noWrap/>
            <w:vAlign w:val="bottom"/>
            <w:hideMark/>
          </w:tcPr>
          <w:p w14:paraId="1C3FD3DB" w14:textId="77777777" w:rsidR="003C2D23" w:rsidRDefault="003C2D23" w:rsidP="00214B02">
            <w:pPr>
              <w:rPr>
                <w:sz w:val="20"/>
                <w:szCs w:val="20"/>
              </w:rPr>
            </w:pPr>
          </w:p>
        </w:tc>
        <w:tc>
          <w:tcPr>
            <w:tcW w:w="720" w:type="dxa"/>
            <w:tcBorders>
              <w:top w:val="single" w:sz="4" w:space="0" w:color="auto"/>
              <w:left w:val="single" w:sz="4" w:space="0" w:color="auto"/>
              <w:bottom w:val="nil"/>
              <w:right w:val="single" w:sz="4" w:space="0" w:color="auto"/>
            </w:tcBorders>
            <w:shd w:val="clear" w:color="auto" w:fill="auto"/>
            <w:noWrap/>
            <w:vAlign w:val="bottom"/>
            <w:hideMark/>
          </w:tcPr>
          <w:p w14:paraId="57AF2A63" w14:textId="77777777" w:rsidR="003C2D23" w:rsidRDefault="003C2D23" w:rsidP="00214B02">
            <w:pPr>
              <w:rPr>
                <w:sz w:val="20"/>
                <w:szCs w:val="20"/>
              </w:rPr>
            </w:pPr>
          </w:p>
        </w:tc>
        <w:tc>
          <w:tcPr>
            <w:tcW w:w="549" w:type="dxa"/>
            <w:tcBorders>
              <w:top w:val="single" w:sz="4" w:space="0" w:color="auto"/>
              <w:left w:val="single" w:sz="4" w:space="0" w:color="auto"/>
              <w:bottom w:val="nil"/>
              <w:right w:val="single" w:sz="4" w:space="0" w:color="auto"/>
            </w:tcBorders>
            <w:shd w:val="clear" w:color="auto" w:fill="auto"/>
            <w:noWrap/>
            <w:vAlign w:val="bottom"/>
            <w:hideMark/>
          </w:tcPr>
          <w:p w14:paraId="75F9E9C9" w14:textId="77777777" w:rsidR="003C2D23" w:rsidRDefault="003C2D23" w:rsidP="00214B02">
            <w:pPr>
              <w:rPr>
                <w:sz w:val="20"/>
                <w:szCs w:val="20"/>
              </w:rPr>
            </w:pPr>
          </w:p>
        </w:tc>
        <w:tc>
          <w:tcPr>
            <w:tcW w:w="649" w:type="dxa"/>
            <w:tcBorders>
              <w:top w:val="single" w:sz="4" w:space="0" w:color="auto"/>
              <w:left w:val="single" w:sz="4" w:space="0" w:color="auto"/>
              <w:bottom w:val="nil"/>
              <w:right w:val="single" w:sz="4" w:space="0" w:color="auto"/>
            </w:tcBorders>
            <w:shd w:val="clear" w:color="auto" w:fill="auto"/>
            <w:noWrap/>
            <w:vAlign w:val="bottom"/>
            <w:hideMark/>
          </w:tcPr>
          <w:p w14:paraId="0F8AAB59" w14:textId="77777777" w:rsidR="003C2D23" w:rsidRDefault="003C2D23" w:rsidP="00214B02">
            <w:pPr>
              <w:rPr>
                <w:sz w:val="20"/>
                <w:szCs w:val="20"/>
              </w:rPr>
            </w:pPr>
          </w:p>
        </w:tc>
        <w:tc>
          <w:tcPr>
            <w:tcW w:w="872" w:type="dxa"/>
            <w:tcBorders>
              <w:top w:val="single" w:sz="4" w:space="0" w:color="auto"/>
              <w:left w:val="single" w:sz="4" w:space="0" w:color="auto"/>
              <w:bottom w:val="nil"/>
              <w:right w:val="single" w:sz="4" w:space="0" w:color="auto"/>
            </w:tcBorders>
            <w:shd w:val="clear" w:color="auto" w:fill="auto"/>
            <w:noWrap/>
            <w:vAlign w:val="bottom"/>
            <w:hideMark/>
          </w:tcPr>
          <w:p w14:paraId="55DC3B64" w14:textId="77777777" w:rsidR="003C2D23" w:rsidRDefault="003C2D23" w:rsidP="00214B02">
            <w:pPr>
              <w:rPr>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F3ECB" w14:textId="77777777" w:rsidR="003C2D23" w:rsidRDefault="003C2D23" w:rsidP="00214B02">
            <w:pPr>
              <w:rPr>
                <w:sz w:val="20"/>
                <w:szCs w:val="20"/>
              </w:rPr>
            </w:pPr>
          </w:p>
        </w:tc>
        <w:tc>
          <w:tcPr>
            <w:tcW w:w="650" w:type="dxa"/>
            <w:tcBorders>
              <w:top w:val="single" w:sz="4" w:space="0" w:color="auto"/>
              <w:left w:val="single" w:sz="4" w:space="0" w:color="auto"/>
              <w:bottom w:val="nil"/>
              <w:right w:val="single" w:sz="4" w:space="0" w:color="auto"/>
            </w:tcBorders>
            <w:shd w:val="clear" w:color="auto" w:fill="auto"/>
            <w:noWrap/>
            <w:vAlign w:val="bottom"/>
            <w:hideMark/>
          </w:tcPr>
          <w:p w14:paraId="1B78FF4A" w14:textId="77777777" w:rsidR="003C2D23" w:rsidRDefault="003C2D23" w:rsidP="00214B02">
            <w:pPr>
              <w:rPr>
                <w:sz w:val="20"/>
                <w:szCs w:val="20"/>
              </w:rPr>
            </w:pPr>
          </w:p>
        </w:tc>
      </w:tr>
      <w:tr w:rsidR="003C2D23" w14:paraId="4345A889"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22B06C14" w14:textId="77777777" w:rsidR="00214B02" w:rsidRDefault="00214B02" w:rsidP="00214B02">
            <w:pPr>
              <w:rPr>
                <w:sz w:val="20"/>
                <w:szCs w:val="20"/>
              </w:rPr>
            </w:pPr>
          </w:p>
        </w:tc>
        <w:tc>
          <w:tcPr>
            <w:tcW w:w="2658" w:type="dxa"/>
            <w:tcBorders>
              <w:top w:val="nil"/>
              <w:left w:val="nil"/>
              <w:bottom w:val="nil"/>
              <w:right w:val="single" w:sz="4" w:space="0" w:color="auto"/>
            </w:tcBorders>
            <w:shd w:val="clear" w:color="auto" w:fill="auto"/>
            <w:noWrap/>
            <w:vAlign w:val="bottom"/>
            <w:hideMark/>
          </w:tcPr>
          <w:p w14:paraId="652EFB54" w14:textId="16413E9F" w:rsidR="00214B02" w:rsidRDefault="003C2D23" w:rsidP="00214B02">
            <w:pPr>
              <w:rPr>
                <w:color w:val="000000"/>
                <w:sz w:val="22"/>
                <w:szCs w:val="22"/>
              </w:rPr>
            </w:pPr>
            <w:r>
              <w:rPr>
                <w:color w:val="000000"/>
                <w:sz w:val="22"/>
                <w:szCs w:val="22"/>
              </w:rPr>
              <w:t>Saving-Investment</w:t>
            </w:r>
          </w:p>
        </w:tc>
        <w:tc>
          <w:tcPr>
            <w:tcW w:w="720" w:type="dxa"/>
            <w:tcBorders>
              <w:top w:val="nil"/>
              <w:left w:val="single" w:sz="4" w:space="0" w:color="auto"/>
              <w:bottom w:val="nil"/>
              <w:right w:val="single" w:sz="4" w:space="0" w:color="auto"/>
            </w:tcBorders>
            <w:shd w:val="clear" w:color="auto" w:fill="auto"/>
            <w:noWrap/>
            <w:vAlign w:val="bottom"/>
            <w:hideMark/>
          </w:tcPr>
          <w:p w14:paraId="566CAAF8" w14:textId="77777777" w:rsidR="00214B02" w:rsidRDefault="00214B02" w:rsidP="00214B02">
            <w:pPr>
              <w:jc w:val="right"/>
              <w:rPr>
                <w:color w:val="000000"/>
                <w:sz w:val="22"/>
                <w:szCs w:val="22"/>
              </w:rPr>
            </w:pPr>
            <w:r>
              <w:rPr>
                <w:color w:val="000000"/>
                <w:sz w:val="22"/>
                <w:szCs w:val="22"/>
              </w:rPr>
              <w:t>66.51</w:t>
            </w:r>
          </w:p>
        </w:tc>
        <w:tc>
          <w:tcPr>
            <w:tcW w:w="494" w:type="dxa"/>
            <w:tcBorders>
              <w:top w:val="nil"/>
              <w:left w:val="single" w:sz="4" w:space="0" w:color="auto"/>
              <w:bottom w:val="nil"/>
              <w:right w:val="single" w:sz="4" w:space="0" w:color="auto"/>
            </w:tcBorders>
            <w:shd w:val="clear" w:color="auto" w:fill="auto"/>
            <w:noWrap/>
            <w:vAlign w:val="bottom"/>
            <w:hideMark/>
          </w:tcPr>
          <w:p w14:paraId="21E7C3B0" w14:textId="77777777" w:rsidR="00214B02" w:rsidRDefault="00214B02" w:rsidP="00214B02">
            <w:pPr>
              <w:jc w:val="right"/>
              <w:rPr>
                <w:color w:val="000000"/>
                <w:sz w:val="22"/>
                <w:szCs w:val="22"/>
              </w:rPr>
            </w:pPr>
            <w:r>
              <w:rPr>
                <w:color w:val="000000"/>
                <w:sz w:val="22"/>
                <w:szCs w:val="22"/>
              </w:rPr>
              <w:t>1</w:t>
            </w:r>
          </w:p>
        </w:tc>
        <w:tc>
          <w:tcPr>
            <w:tcW w:w="676" w:type="dxa"/>
            <w:tcBorders>
              <w:top w:val="nil"/>
              <w:left w:val="single" w:sz="4" w:space="0" w:color="auto"/>
              <w:bottom w:val="nil"/>
              <w:right w:val="single" w:sz="4" w:space="0" w:color="auto"/>
            </w:tcBorders>
            <w:shd w:val="clear" w:color="auto" w:fill="auto"/>
            <w:noWrap/>
            <w:vAlign w:val="bottom"/>
            <w:hideMark/>
          </w:tcPr>
          <w:p w14:paraId="534AF760" w14:textId="77777777" w:rsidR="00214B02" w:rsidRDefault="00214B02" w:rsidP="00214B02">
            <w:pPr>
              <w:jc w:val="right"/>
              <w:rPr>
                <w:color w:val="000000"/>
                <w:sz w:val="22"/>
                <w:szCs w:val="22"/>
              </w:rPr>
            </w:pPr>
            <w:r>
              <w:rPr>
                <w:color w:val="000000"/>
                <w:sz w:val="22"/>
                <w:szCs w:val="22"/>
              </w:rPr>
              <w:t>0.00</w:t>
            </w:r>
          </w:p>
        </w:tc>
        <w:tc>
          <w:tcPr>
            <w:tcW w:w="720" w:type="dxa"/>
            <w:tcBorders>
              <w:top w:val="nil"/>
              <w:left w:val="single" w:sz="4" w:space="0" w:color="auto"/>
              <w:bottom w:val="nil"/>
              <w:right w:val="single" w:sz="4" w:space="0" w:color="auto"/>
            </w:tcBorders>
            <w:shd w:val="clear" w:color="auto" w:fill="auto"/>
            <w:noWrap/>
            <w:vAlign w:val="bottom"/>
            <w:hideMark/>
          </w:tcPr>
          <w:p w14:paraId="7E00FFCE" w14:textId="77777777" w:rsidR="00214B02" w:rsidRDefault="00214B02" w:rsidP="00214B02">
            <w:pPr>
              <w:jc w:val="right"/>
              <w:rPr>
                <w:color w:val="000000"/>
                <w:sz w:val="22"/>
                <w:szCs w:val="22"/>
              </w:rPr>
            </w:pPr>
            <w:r>
              <w:rPr>
                <w:color w:val="000000"/>
                <w:sz w:val="22"/>
                <w:szCs w:val="22"/>
              </w:rPr>
              <w:t>7.35</w:t>
            </w:r>
          </w:p>
        </w:tc>
        <w:tc>
          <w:tcPr>
            <w:tcW w:w="549" w:type="dxa"/>
            <w:tcBorders>
              <w:top w:val="nil"/>
              <w:left w:val="single" w:sz="4" w:space="0" w:color="auto"/>
              <w:bottom w:val="nil"/>
              <w:right w:val="single" w:sz="4" w:space="0" w:color="auto"/>
            </w:tcBorders>
            <w:shd w:val="clear" w:color="auto" w:fill="auto"/>
            <w:noWrap/>
            <w:vAlign w:val="bottom"/>
            <w:hideMark/>
          </w:tcPr>
          <w:p w14:paraId="07626B30" w14:textId="77777777" w:rsidR="00214B02" w:rsidRDefault="00214B02" w:rsidP="00214B02">
            <w:pPr>
              <w:jc w:val="right"/>
              <w:rPr>
                <w:color w:val="000000"/>
                <w:sz w:val="22"/>
                <w:szCs w:val="22"/>
              </w:rPr>
            </w:pPr>
            <w:r>
              <w:rPr>
                <w:color w:val="000000"/>
                <w:sz w:val="22"/>
                <w:szCs w:val="22"/>
              </w:rPr>
              <w:t>1</w:t>
            </w:r>
          </w:p>
        </w:tc>
        <w:tc>
          <w:tcPr>
            <w:tcW w:w="649" w:type="dxa"/>
            <w:tcBorders>
              <w:top w:val="nil"/>
              <w:left w:val="single" w:sz="4" w:space="0" w:color="auto"/>
              <w:bottom w:val="nil"/>
              <w:right w:val="single" w:sz="4" w:space="0" w:color="auto"/>
            </w:tcBorders>
            <w:shd w:val="clear" w:color="auto" w:fill="auto"/>
            <w:noWrap/>
            <w:vAlign w:val="bottom"/>
            <w:hideMark/>
          </w:tcPr>
          <w:p w14:paraId="65B6D2E6" w14:textId="77777777" w:rsidR="00214B02" w:rsidRDefault="00214B02" w:rsidP="00214B02">
            <w:pPr>
              <w:jc w:val="right"/>
              <w:rPr>
                <w:color w:val="000000"/>
                <w:sz w:val="22"/>
                <w:szCs w:val="22"/>
              </w:rPr>
            </w:pPr>
            <w:r>
              <w:rPr>
                <w:color w:val="000000"/>
                <w:sz w:val="22"/>
                <w:szCs w:val="22"/>
              </w:rPr>
              <w:t>0.01</w:t>
            </w:r>
          </w:p>
        </w:tc>
        <w:tc>
          <w:tcPr>
            <w:tcW w:w="872" w:type="dxa"/>
            <w:tcBorders>
              <w:top w:val="nil"/>
              <w:left w:val="single" w:sz="4" w:space="0" w:color="auto"/>
              <w:bottom w:val="nil"/>
              <w:right w:val="single" w:sz="4" w:space="0" w:color="auto"/>
            </w:tcBorders>
            <w:shd w:val="clear" w:color="auto" w:fill="auto"/>
            <w:noWrap/>
            <w:vAlign w:val="bottom"/>
            <w:hideMark/>
          </w:tcPr>
          <w:p w14:paraId="31C59FD1" w14:textId="77777777" w:rsidR="00214B02" w:rsidRDefault="00214B02" w:rsidP="00214B02">
            <w:pPr>
              <w:jc w:val="right"/>
              <w:rPr>
                <w:color w:val="000000"/>
                <w:sz w:val="22"/>
                <w:szCs w:val="22"/>
              </w:rPr>
            </w:pPr>
            <w:r>
              <w:rPr>
                <w:color w:val="000000"/>
                <w:sz w:val="22"/>
                <w:szCs w:val="22"/>
              </w:rPr>
              <w:t>57.59</w:t>
            </w:r>
          </w:p>
        </w:tc>
        <w:tc>
          <w:tcPr>
            <w:tcW w:w="425" w:type="dxa"/>
            <w:tcBorders>
              <w:top w:val="single" w:sz="4" w:space="0" w:color="auto"/>
              <w:left w:val="single" w:sz="4" w:space="0" w:color="auto"/>
              <w:bottom w:val="nil"/>
              <w:right w:val="single" w:sz="4" w:space="0" w:color="auto"/>
            </w:tcBorders>
            <w:shd w:val="clear" w:color="auto" w:fill="auto"/>
            <w:noWrap/>
            <w:vAlign w:val="bottom"/>
            <w:hideMark/>
          </w:tcPr>
          <w:p w14:paraId="0590DBBD" w14:textId="77777777" w:rsidR="00214B02" w:rsidRDefault="00214B02" w:rsidP="00214B02">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214A87BA" w14:textId="77777777" w:rsidR="00214B02" w:rsidRDefault="00214B02" w:rsidP="00214B02">
            <w:pPr>
              <w:jc w:val="right"/>
              <w:rPr>
                <w:color w:val="000000"/>
                <w:sz w:val="22"/>
                <w:szCs w:val="22"/>
              </w:rPr>
            </w:pPr>
            <w:r>
              <w:rPr>
                <w:color w:val="000000"/>
                <w:sz w:val="22"/>
                <w:szCs w:val="22"/>
              </w:rPr>
              <w:t>0.00</w:t>
            </w:r>
          </w:p>
        </w:tc>
      </w:tr>
      <w:tr w:rsidR="003C2D23" w14:paraId="33D84C82"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625F71EC" w14:textId="77777777" w:rsidR="00214B02" w:rsidRDefault="00214B02" w:rsidP="00214B02">
            <w:pPr>
              <w:jc w:val="right"/>
              <w:rPr>
                <w:color w:val="000000"/>
                <w:sz w:val="22"/>
                <w:szCs w:val="22"/>
              </w:rPr>
            </w:pPr>
          </w:p>
        </w:tc>
        <w:tc>
          <w:tcPr>
            <w:tcW w:w="2658" w:type="dxa"/>
            <w:tcBorders>
              <w:top w:val="nil"/>
              <w:left w:val="nil"/>
              <w:bottom w:val="nil"/>
              <w:right w:val="single" w:sz="4" w:space="0" w:color="auto"/>
            </w:tcBorders>
            <w:shd w:val="clear" w:color="auto" w:fill="auto"/>
            <w:noWrap/>
            <w:vAlign w:val="bottom"/>
            <w:hideMark/>
          </w:tcPr>
          <w:p w14:paraId="02A268FE" w14:textId="33BFAEBB" w:rsidR="00214B02" w:rsidRDefault="003C2D23" w:rsidP="00214B02">
            <w:pPr>
              <w:rPr>
                <w:color w:val="000000"/>
                <w:sz w:val="22"/>
                <w:szCs w:val="22"/>
              </w:rPr>
            </w:pPr>
            <w:r>
              <w:rPr>
                <w:color w:val="000000"/>
                <w:sz w:val="22"/>
                <w:szCs w:val="22"/>
              </w:rPr>
              <w:t>Current Account</w:t>
            </w:r>
          </w:p>
        </w:tc>
        <w:tc>
          <w:tcPr>
            <w:tcW w:w="720" w:type="dxa"/>
            <w:tcBorders>
              <w:top w:val="nil"/>
              <w:left w:val="single" w:sz="4" w:space="0" w:color="auto"/>
              <w:bottom w:val="nil"/>
              <w:right w:val="single" w:sz="4" w:space="0" w:color="auto"/>
            </w:tcBorders>
            <w:shd w:val="clear" w:color="auto" w:fill="auto"/>
            <w:noWrap/>
            <w:vAlign w:val="bottom"/>
            <w:hideMark/>
          </w:tcPr>
          <w:p w14:paraId="2BA28E39" w14:textId="77777777" w:rsidR="00214B02" w:rsidRDefault="00214B02" w:rsidP="00214B02">
            <w:pPr>
              <w:rPr>
                <w:color w:val="000000"/>
                <w:sz w:val="22"/>
                <w:szCs w:val="22"/>
              </w:rPr>
            </w:pPr>
          </w:p>
        </w:tc>
        <w:tc>
          <w:tcPr>
            <w:tcW w:w="494" w:type="dxa"/>
            <w:tcBorders>
              <w:top w:val="nil"/>
              <w:left w:val="single" w:sz="4" w:space="0" w:color="auto"/>
              <w:bottom w:val="nil"/>
              <w:right w:val="single" w:sz="4" w:space="0" w:color="auto"/>
            </w:tcBorders>
            <w:shd w:val="clear" w:color="auto" w:fill="auto"/>
            <w:noWrap/>
            <w:vAlign w:val="bottom"/>
            <w:hideMark/>
          </w:tcPr>
          <w:p w14:paraId="1636F229" w14:textId="77777777" w:rsidR="00214B02" w:rsidRDefault="00214B02" w:rsidP="00214B02">
            <w:pPr>
              <w:rPr>
                <w:sz w:val="20"/>
                <w:szCs w:val="20"/>
              </w:rPr>
            </w:pPr>
          </w:p>
        </w:tc>
        <w:tc>
          <w:tcPr>
            <w:tcW w:w="676" w:type="dxa"/>
            <w:tcBorders>
              <w:top w:val="nil"/>
              <w:left w:val="single" w:sz="4" w:space="0" w:color="auto"/>
              <w:bottom w:val="nil"/>
              <w:right w:val="single" w:sz="4" w:space="0" w:color="auto"/>
            </w:tcBorders>
            <w:shd w:val="clear" w:color="auto" w:fill="auto"/>
            <w:noWrap/>
            <w:vAlign w:val="bottom"/>
            <w:hideMark/>
          </w:tcPr>
          <w:p w14:paraId="54F4C405" w14:textId="77777777" w:rsidR="00214B02" w:rsidRDefault="00214B02" w:rsidP="00214B02">
            <w:pPr>
              <w:rPr>
                <w:sz w:val="20"/>
                <w:szCs w:val="20"/>
              </w:rPr>
            </w:pPr>
          </w:p>
        </w:tc>
        <w:tc>
          <w:tcPr>
            <w:tcW w:w="720" w:type="dxa"/>
            <w:tcBorders>
              <w:top w:val="nil"/>
              <w:left w:val="single" w:sz="4" w:space="0" w:color="auto"/>
              <w:bottom w:val="nil"/>
              <w:right w:val="single" w:sz="4" w:space="0" w:color="auto"/>
            </w:tcBorders>
            <w:shd w:val="clear" w:color="auto" w:fill="auto"/>
            <w:noWrap/>
            <w:vAlign w:val="bottom"/>
            <w:hideMark/>
          </w:tcPr>
          <w:p w14:paraId="4D10C557" w14:textId="77777777" w:rsidR="00214B02" w:rsidRDefault="00214B02" w:rsidP="00214B02">
            <w:pPr>
              <w:jc w:val="right"/>
              <w:rPr>
                <w:color w:val="000000"/>
                <w:sz w:val="22"/>
                <w:szCs w:val="22"/>
              </w:rPr>
            </w:pPr>
            <w:r>
              <w:rPr>
                <w:color w:val="000000"/>
                <w:sz w:val="22"/>
                <w:szCs w:val="22"/>
              </w:rPr>
              <w:t>36.23</w:t>
            </w:r>
          </w:p>
        </w:tc>
        <w:tc>
          <w:tcPr>
            <w:tcW w:w="549" w:type="dxa"/>
            <w:tcBorders>
              <w:top w:val="nil"/>
              <w:left w:val="single" w:sz="4" w:space="0" w:color="auto"/>
              <w:bottom w:val="nil"/>
              <w:right w:val="single" w:sz="4" w:space="0" w:color="auto"/>
            </w:tcBorders>
            <w:shd w:val="clear" w:color="auto" w:fill="auto"/>
            <w:noWrap/>
            <w:vAlign w:val="bottom"/>
            <w:hideMark/>
          </w:tcPr>
          <w:p w14:paraId="176F6610" w14:textId="77777777" w:rsidR="00214B02" w:rsidRDefault="00214B02" w:rsidP="00214B02">
            <w:pPr>
              <w:jc w:val="right"/>
              <w:rPr>
                <w:color w:val="000000"/>
                <w:sz w:val="22"/>
                <w:szCs w:val="22"/>
              </w:rPr>
            </w:pPr>
            <w:r>
              <w:rPr>
                <w:color w:val="000000"/>
                <w:sz w:val="22"/>
                <w:szCs w:val="22"/>
              </w:rPr>
              <w:t>1</w:t>
            </w:r>
          </w:p>
        </w:tc>
        <w:tc>
          <w:tcPr>
            <w:tcW w:w="649" w:type="dxa"/>
            <w:tcBorders>
              <w:top w:val="nil"/>
              <w:left w:val="single" w:sz="4" w:space="0" w:color="auto"/>
              <w:bottom w:val="nil"/>
              <w:right w:val="single" w:sz="4" w:space="0" w:color="auto"/>
            </w:tcBorders>
            <w:shd w:val="clear" w:color="auto" w:fill="auto"/>
            <w:noWrap/>
            <w:vAlign w:val="bottom"/>
            <w:hideMark/>
          </w:tcPr>
          <w:p w14:paraId="27AB23EB" w14:textId="77777777" w:rsidR="00214B02" w:rsidRDefault="00214B02" w:rsidP="00214B02">
            <w:pPr>
              <w:jc w:val="right"/>
              <w:rPr>
                <w:color w:val="000000"/>
                <w:sz w:val="22"/>
                <w:szCs w:val="22"/>
              </w:rPr>
            </w:pPr>
            <w:r>
              <w:rPr>
                <w:color w:val="000000"/>
                <w:sz w:val="22"/>
                <w:szCs w:val="22"/>
              </w:rPr>
              <w:t>0.00</w:t>
            </w:r>
          </w:p>
        </w:tc>
        <w:tc>
          <w:tcPr>
            <w:tcW w:w="872" w:type="dxa"/>
            <w:tcBorders>
              <w:top w:val="nil"/>
              <w:left w:val="single" w:sz="4" w:space="0" w:color="auto"/>
              <w:bottom w:val="nil"/>
              <w:right w:val="single" w:sz="4" w:space="0" w:color="auto"/>
            </w:tcBorders>
            <w:shd w:val="clear" w:color="auto" w:fill="auto"/>
            <w:noWrap/>
            <w:vAlign w:val="bottom"/>
            <w:hideMark/>
          </w:tcPr>
          <w:p w14:paraId="6B8DB95F" w14:textId="77777777" w:rsidR="00214B02" w:rsidRDefault="00214B02" w:rsidP="00214B02">
            <w:pPr>
              <w:jc w:val="right"/>
              <w:rPr>
                <w:color w:val="000000"/>
                <w:sz w:val="22"/>
                <w:szCs w:val="22"/>
              </w:rPr>
            </w:pPr>
            <w:r>
              <w:rPr>
                <w:color w:val="000000"/>
                <w:sz w:val="22"/>
                <w:szCs w:val="22"/>
              </w:rPr>
              <w:t>113.24</w:t>
            </w:r>
          </w:p>
        </w:tc>
        <w:tc>
          <w:tcPr>
            <w:tcW w:w="425" w:type="dxa"/>
            <w:tcBorders>
              <w:top w:val="nil"/>
              <w:left w:val="single" w:sz="4" w:space="0" w:color="auto"/>
              <w:bottom w:val="nil"/>
              <w:right w:val="single" w:sz="4" w:space="0" w:color="auto"/>
            </w:tcBorders>
            <w:shd w:val="clear" w:color="auto" w:fill="auto"/>
            <w:noWrap/>
            <w:vAlign w:val="bottom"/>
            <w:hideMark/>
          </w:tcPr>
          <w:p w14:paraId="370D6AE5" w14:textId="77777777" w:rsidR="00214B02" w:rsidRDefault="00214B02" w:rsidP="00214B02">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18CAB6EC" w14:textId="77777777" w:rsidR="00214B02" w:rsidRDefault="00214B02" w:rsidP="00214B02">
            <w:pPr>
              <w:jc w:val="right"/>
              <w:rPr>
                <w:color w:val="000000"/>
                <w:sz w:val="22"/>
                <w:szCs w:val="22"/>
              </w:rPr>
            </w:pPr>
            <w:r>
              <w:rPr>
                <w:color w:val="000000"/>
                <w:sz w:val="22"/>
                <w:szCs w:val="22"/>
              </w:rPr>
              <w:t>0.00</w:t>
            </w:r>
          </w:p>
        </w:tc>
      </w:tr>
      <w:tr w:rsidR="003C2D23" w14:paraId="42B2313E"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0BFBE9BA" w14:textId="77777777" w:rsidR="00214B02" w:rsidRDefault="00214B02" w:rsidP="00214B02">
            <w:pPr>
              <w:jc w:val="right"/>
              <w:rPr>
                <w:color w:val="000000"/>
                <w:sz w:val="22"/>
                <w:szCs w:val="22"/>
              </w:rPr>
            </w:pPr>
          </w:p>
        </w:tc>
        <w:tc>
          <w:tcPr>
            <w:tcW w:w="2658" w:type="dxa"/>
            <w:tcBorders>
              <w:top w:val="nil"/>
              <w:left w:val="nil"/>
              <w:bottom w:val="nil"/>
              <w:right w:val="single" w:sz="4" w:space="0" w:color="auto"/>
            </w:tcBorders>
            <w:shd w:val="clear" w:color="auto" w:fill="auto"/>
            <w:noWrap/>
            <w:vAlign w:val="bottom"/>
            <w:hideMark/>
          </w:tcPr>
          <w:p w14:paraId="5A423785" w14:textId="64FBD5BA" w:rsidR="00214B02" w:rsidRDefault="003C2D23" w:rsidP="00214B02">
            <w:pPr>
              <w:rPr>
                <w:color w:val="000000"/>
                <w:sz w:val="22"/>
                <w:szCs w:val="22"/>
              </w:rPr>
            </w:pPr>
            <w:r>
              <w:rPr>
                <w:color w:val="000000"/>
                <w:sz w:val="22"/>
                <w:szCs w:val="22"/>
              </w:rPr>
              <w:t>Real Interest Rate</w:t>
            </w:r>
          </w:p>
        </w:tc>
        <w:tc>
          <w:tcPr>
            <w:tcW w:w="720" w:type="dxa"/>
            <w:tcBorders>
              <w:top w:val="nil"/>
              <w:left w:val="single" w:sz="4" w:space="0" w:color="auto"/>
              <w:bottom w:val="nil"/>
              <w:right w:val="single" w:sz="4" w:space="0" w:color="auto"/>
            </w:tcBorders>
            <w:shd w:val="clear" w:color="auto" w:fill="auto"/>
            <w:noWrap/>
            <w:vAlign w:val="bottom"/>
            <w:hideMark/>
          </w:tcPr>
          <w:p w14:paraId="3958D6F0" w14:textId="77777777" w:rsidR="00214B02" w:rsidRDefault="00214B02" w:rsidP="00214B02">
            <w:pPr>
              <w:rPr>
                <w:color w:val="000000"/>
                <w:sz w:val="22"/>
                <w:szCs w:val="22"/>
              </w:rPr>
            </w:pPr>
          </w:p>
        </w:tc>
        <w:tc>
          <w:tcPr>
            <w:tcW w:w="494" w:type="dxa"/>
            <w:tcBorders>
              <w:top w:val="nil"/>
              <w:left w:val="single" w:sz="4" w:space="0" w:color="auto"/>
              <w:bottom w:val="nil"/>
              <w:right w:val="single" w:sz="4" w:space="0" w:color="auto"/>
            </w:tcBorders>
            <w:shd w:val="clear" w:color="auto" w:fill="auto"/>
            <w:noWrap/>
            <w:vAlign w:val="bottom"/>
            <w:hideMark/>
          </w:tcPr>
          <w:p w14:paraId="203A8510" w14:textId="77777777" w:rsidR="00214B02" w:rsidRDefault="00214B02" w:rsidP="00214B02">
            <w:pPr>
              <w:rPr>
                <w:sz w:val="20"/>
                <w:szCs w:val="20"/>
              </w:rPr>
            </w:pPr>
          </w:p>
        </w:tc>
        <w:tc>
          <w:tcPr>
            <w:tcW w:w="676" w:type="dxa"/>
            <w:tcBorders>
              <w:top w:val="nil"/>
              <w:left w:val="single" w:sz="4" w:space="0" w:color="auto"/>
              <w:bottom w:val="nil"/>
              <w:right w:val="single" w:sz="4" w:space="0" w:color="auto"/>
            </w:tcBorders>
            <w:shd w:val="clear" w:color="auto" w:fill="auto"/>
            <w:noWrap/>
            <w:vAlign w:val="bottom"/>
            <w:hideMark/>
          </w:tcPr>
          <w:p w14:paraId="000F826B" w14:textId="77777777" w:rsidR="00214B02" w:rsidRDefault="00214B02" w:rsidP="00214B02">
            <w:pPr>
              <w:rPr>
                <w:sz w:val="20"/>
                <w:szCs w:val="20"/>
              </w:rPr>
            </w:pPr>
          </w:p>
        </w:tc>
        <w:tc>
          <w:tcPr>
            <w:tcW w:w="720" w:type="dxa"/>
            <w:tcBorders>
              <w:top w:val="nil"/>
              <w:left w:val="single" w:sz="4" w:space="0" w:color="auto"/>
              <w:bottom w:val="nil"/>
              <w:right w:val="single" w:sz="4" w:space="0" w:color="auto"/>
            </w:tcBorders>
            <w:shd w:val="clear" w:color="auto" w:fill="auto"/>
            <w:noWrap/>
            <w:vAlign w:val="bottom"/>
            <w:hideMark/>
          </w:tcPr>
          <w:p w14:paraId="6E0B00E9" w14:textId="77777777" w:rsidR="00214B02" w:rsidRDefault="00214B02" w:rsidP="00214B02">
            <w:pPr>
              <w:rPr>
                <w:sz w:val="20"/>
                <w:szCs w:val="20"/>
              </w:rPr>
            </w:pPr>
          </w:p>
        </w:tc>
        <w:tc>
          <w:tcPr>
            <w:tcW w:w="549" w:type="dxa"/>
            <w:tcBorders>
              <w:top w:val="nil"/>
              <w:left w:val="single" w:sz="4" w:space="0" w:color="auto"/>
              <w:bottom w:val="nil"/>
              <w:right w:val="single" w:sz="4" w:space="0" w:color="auto"/>
            </w:tcBorders>
            <w:shd w:val="clear" w:color="auto" w:fill="auto"/>
            <w:noWrap/>
            <w:vAlign w:val="bottom"/>
            <w:hideMark/>
          </w:tcPr>
          <w:p w14:paraId="372ED3C5" w14:textId="77777777" w:rsidR="00214B02" w:rsidRDefault="00214B02" w:rsidP="00214B02">
            <w:pPr>
              <w:rPr>
                <w:sz w:val="20"/>
                <w:szCs w:val="20"/>
              </w:rPr>
            </w:pPr>
          </w:p>
        </w:tc>
        <w:tc>
          <w:tcPr>
            <w:tcW w:w="649" w:type="dxa"/>
            <w:tcBorders>
              <w:top w:val="nil"/>
              <w:left w:val="single" w:sz="4" w:space="0" w:color="auto"/>
              <w:bottom w:val="nil"/>
              <w:right w:val="single" w:sz="4" w:space="0" w:color="auto"/>
            </w:tcBorders>
            <w:shd w:val="clear" w:color="auto" w:fill="auto"/>
            <w:noWrap/>
            <w:vAlign w:val="bottom"/>
            <w:hideMark/>
          </w:tcPr>
          <w:p w14:paraId="1A7F0E0D" w14:textId="77777777" w:rsidR="00214B02" w:rsidRDefault="00214B02" w:rsidP="00214B02">
            <w:pPr>
              <w:rPr>
                <w:sz w:val="20"/>
                <w:szCs w:val="20"/>
              </w:rPr>
            </w:pPr>
          </w:p>
        </w:tc>
        <w:tc>
          <w:tcPr>
            <w:tcW w:w="872" w:type="dxa"/>
            <w:tcBorders>
              <w:top w:val="nil"/>
              <w:left w:val="single" w:sz="4" w:space="0" w:color="auto"/>
              <w:bottom w:val="nil"/>
              <w:right w:val="single" w:sz="4" w:space="0" w:color="auto"/>
            </w:tcBorders>
            <w:shd w:val="clear" w:color="auto" w:fill="auto"/>
            <w:noWrap/>
            <w:vAlign w:val="bottom"/>
            <w:hideMark/>
          </w:tcPr>
          <w:p w14:paraId="174AC844" w14:textId="77777777" w:rsidR="00214B02" w:rsidRDefault="00214B02" w:rsidP="00214B02">
            <w:pPr>
              <w:jc w:val="right"/>
              <w:rPr>
                <w:color w:val="000000"/>
                <w:sz w:val="22"/>
                <w:szCs w:val="22"/>
              </w:rPr>
            </w:pPr>
            <w:r>
              <w:rPr>
                <w:color w:val="000000"/>
                <w:sz w:val="22"/>
                <w:szCs w:val="22"/>
              </w:rPr>
              <w:t>18.65</w:t>
            </w:r>
          </w:p>
        </w:tc>
        <w:tc>
          <w:tcPr>
            <w:tcW w:w="425" w:type="dxa"/>
            <w:tcBorders>
              <w:top w:val="nil"/>
              <w:left w:val="single" w:sz="4" w:space="0" w:color="auto"/>
              <w:bottom w:val="nil"/>
              <w:right w:val="single" w:sz="4" w:space="0" w:color="auto"/>
            </w:tcBorders>
            <w:shd w:val="clear" w:color="auto" w:fill="auto"/>
            <w:noWrap/>
            <w:vAlign w:val="bottom"/>
            <w:hideMark/>
          </w:tcPr>
          <w:p w14:paraId="2AF18D61" w14:textId="77777777" w:rsidR="00214B02" w:rsidRDefault="00214B02" w:rsidP="00214B02">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0FC99051" w14:textId="77777777" w:rsidR="00214B02" w:rsidRDefault="00214B02" w:rsidP="00214B02">
            <w:pPr>
              <w:jc w:val="right"/>
              <w:rPr>
                <w:color w:val="000000"/>
                <w:sz w:val="22"/>
                <w:szCs w:val="22"/>
              </w:rPr>
            </w:pPr>
            <w:r>
              <w:rPr>
                <w:color w:val="000000"/>
                <w:sz w:val="22"/>
                <w:szCs w:val="22"/>
              </w:rPr>
              <w:t>0.00</w:t>
            </w:r>
          </w:p>
        </w:tc>
      </w:tr>
      <w:tr w:rsidR="003C2D23" w14:paraId="4E94E6FF"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4917EBBE" w14:textId="77777777" w:rsidR="00214B02" w:rsidRDefault="00214B02" w:rsidP="00214B02">
            <w:pPr>
              <w:jc w:val="right"/>
              <w:rPr>
                <w:color w:val="000000"/>
                <w:sz w:val="22"/>
                <w:szCs w:val="22"/>
              </w:rPr>
            </w:pPr>
          </w:p>
        </w:tc>
        <w:tc>
          <w:tcPr>
            <w:tcW w:w="2658" w:type="dxa"/>
            <w:tcBorders>
              <w:top w:val="nil"/>
              <w:left w:val="nil"/>
              <w:bottom w:val="nil"/>
              <w:right w:val="single" w:sz="4" w:space="0" w:color="auto"/>
            </w:tcBorders>
            <w:shd w:val="clear" w:color="auto" w:fill="auto"/>
            <w:noWrap/>
            <w:vAlign w:val="bottom"/>
            <w:hideMark/>
          </w:tcPr>
          <w:p w14:paraId="35BBB828" w14:textId="3C5D0592" w:rsidR="00214B02" w:rsidRDefault="003C2D23" w:rsidP="00214B02">
            <w:pPr>
              <w:rPr>
                <w:color w:val="000000"/>
                <w:sz w:val="22"/>
                <w:szCs w:val="22"/>
              </w:rPr>
            </w:pPr>
            <w:r>
              <w:rPr>
                <w:color w:val="000000"/>
                <w:sz w:val="22"/>
                <w:szCs w:val="22"/>
              </w:rPr>
              <w:t>Nominal Exchange Rate</w:t>
            </w:r>
          </w:p>
        </w:tc>
        <w:tc>
          <w:tcPr>
            <w:tcW w:w="720" w:type="dxa"/>
            <w:tcBorders>
              <w:top w:val="nil"/>
              <w:left w:val="single" w:sz="4" w:space="0" w:color="auto"/>
              <w:bottom w:val="nil"/>
              <w:right w:val="single" w:sz="4" w:space="0" w:color="auto"/>
            </w:tcBorders>
            <w:shd w:val="clear" w:color="auto" w:fill="auto"/>
            <w:noWrap/>
            <w:vAlign w:val="bottom"/>
            <w:hideMark/>
          </w:tcPr>
          <w:p w14:paraId="7D94B217" w14:textId="77777777" w:rsidR="00214B02" w:rsidRDefault="00214B02" w:rsidP="00214B02">
            <w:pPr>
              <w:rPr>
                <w:color w:val="000000"/>
                <w:sz w:val="22"/>
                <w:szCs w:val="22"/>
              </w:rPr>
            </w:pPr>
          </w:p>
        </w:tc>
        <w:tc>
          <w:tcPr>
            <w:tcW w:w="494" w:type="dxa"/>
            <w:tcBorders>
              <w:top w:val="nil"/>
              <w:left w:val="single" w:sz="4" w:space="0" w:color="auto"/>
              <w:bottom w:val="nil"/>
              <w:right w:val="single" w:sz="4" w:space="0" w:color="auto"/>
            </w:tcBorders>
            <w:shd w:val="clear" w:color="auto" w:fill="auto"/>
            <w:noWrap/>
            <w:vAlign w:val="bottom"/>
            <w:hideMark/>
          </w:tcPr>
          <w:p w14:paraId="4C811B35" w14:textId="77777777" w:rsidR="00214B02" w:rsidRDefault="00214B02" w:rsidP="00214B02">
            <w:pPr>
              <w:rPr>
                <w:sz w:val="20"/>
                <w:szCs w:val="20"/>
              </w:rPr>
            </w:pPr>
          </w:p>
        </w:tc>
        <w:tc>
          <w:tcPr>
            <w:tcW w:w="676" w:type="dxa"/>
            <w:tcBorders>
              <w:top w:val="nil"/>
              <w:left w:val="single" w:sz="4" w:space="0" w:color="auto"/>
              <w:bottom w:val="nil"/>
              <w:right w:val="single" w:sz="4" w:space="0" w:color="auto"/>
            </w:tcBorders>
            <w:shd w:val="clear" w:color="auto" w:fill="auto"/>
            <w:noWrap/>
            <w:vAlign w:val="bottom"/>
            <w:hideMark/>
          </w:tcPr>
          <w:p w14:paraId="0FFDAE07" w14:textId="77777777" w:rsidR="00214B02" w:rsidRDefault="00214B02" w:rsidP="00214B02">
            <w:pPr>
              <w:rPr>
                <w:sz w:val="20"/>
                <w:szCs w:val="20"/>
              </w:rPr>
            </w:pPr>
          </w:p>
        </w:tc>
        <w:tc>
          <w:tcPr>
            <w:tcW w:w="720" w:type="dxa"/>
            <w:tcBorders>
              <w:top w:val="nil"/>
              <w:left w:val="single" w:sz="4" w:space="0" w:color="auto"/>
              <w:bottom w:val="nil"/>
              <w:right w:val="single" w:sz="4" w:space="0" w:color="auto"/>
            </w:tcBorders>
            <w:shd w:val="clear" w:color="auto" w:fill="auto"/>
            <w:noWrap/>
            <w:vAlign w:val="bottom"/>
            <w:hideMark/>
          </w:tcPr>
          <w:p w14:paraId="1209F9FE" w14:textId="77777777" w:rsidR="00214B02" w:rsidRDefault="00214B02" w:rsidP="00214B02">
            <w:pPr>
              <w:rPr>
                <w:sz w:val="20"/>
                <w:szCs w:val="20"/>
              </w:rPr>
            </w:pPr>
          </w:p>
        </w:tc>
        <w:tc>
          <w:tcPr>
            <w:tcW w:w="549" w:type="dxa"/>
            <w:tcBorders>
              <w:top w:val="nil"/>
              <w:left w:val="single" w:sz="4" w:space="0" w:color="auto"/>
              <w:bottom w:val="nil"/>
              <w:right w:val="single" w:sz="4" w:space="0" w:color="auto"/>
            </w:tcBorders>
            <w:shd w:val="clear" w:color="auto" w:fill="auto"/>
            <w:noWrap/>
            <w:vAlign w:val="bottom"/>
            <w:hideMark/>
          </w:tcPr>
          <w:p w14:paraId="23C848A3" w14:textId="77777777" w:rsidR="00214B02" w:rsidRDefault="00214B02" w:rsidP="00214B02">
            <w:pPr>
              <w:rPr>
                <w:sz w:val="20"/>
                <w:szCs w:val="20"/>
              </w:rPr>
            </w:pPr>
          </w:p>
        </w:tc>
        <w:tc>
          <w:tcPr>
            <w:tcW w:w="649" w:type="dxa"/>
            <w:tcBorders>
              <w:top w:val="nil"/>
              <w:left w:val="single" w:sz="4" w:space="0" w:color="auto"/>
              <w:bottom w:val="nil"/>
              <w:right w:val="single" w:sz="4" w:space="0" w:color="auto"/>
            </w:tcBorders>
            <w:shd w:val="clear" w:color="auto" w:fill="auto"/>
            <w:noWrap/>
            <w:vAlign w:val="bottom"/>
            <w:hideMark/>
          </w:tcPr>
          <w:p w14:paraId="55975401" w14:textId="77777777" w:rsidR="00214B02" w:rsidRDefault="00214B02" w:rsidP="00214B02">
            <w:pPr>
              <w:rPr>
                <w:sz w:val="20"/>
                <w:szCs w:val="20"/>
              </w:rPr>
            </w:pPr>
          </w:p>
        </w:tc>
        <w:tc>
          <w:tcPr>
            <w:tcW w:w="872" w:type="dxa"/>
            <w:tcBorders>
              <w:top w:val="nil"/>
              <w:left w:val="single" w:sz="4" w:space="0" w:color="auto"/>
              <w:bottom w:val="nil"/>
              <w:right w:val="single" w:sz="4" w:space="0" w:color="auto"/>
            </w:tcBorders>
            <w:shd w:val="clear" w:color="auto" w:fill="auto"/>
            <w:noWrap/>
            <w:vAlign w:val="bottom"/>
            <w:hideMark/>
          </w:tcPr>
          <w:p w14:paraId="297E8C72" w14:textId="77777777" w:rsidR="00214B02" w:rsidRDefault="00214B02" w:rsidP="00214B02">
            <w:pPr>
              <w:jc w:val="right"/>
              <w:rPr>
                <w:color w:val="000000"/>
                <w:sz w:val="22"/>
                <w:szCs w:val="22"/>
              </w:rPr>
            </w:pPr>
            <w:r>
              <w:rPr>
                <w:color w:val="000000"/>
                <w:sz w:val="22"/>
                <w:szCs w:val="22"/>
              </w:rPr>
              <w:t>44.96</w:t>
            </w:r>
          </w:p>
        </w:tc>
        <w:tc>
          <w:tcPr>
            <w:tcW w:w="425" w:type="dxa"/>
            <w:tcBorders>
              <w:top w:val="nil"/>
              <w:left w:val="single" w:sz="4" w:space="0" w:color="auto"/>
              <w:bottom w:val="nil"/>
              <w:right w:val="single" w:sz="4" w:space="0" w:color="auto"/>
            </w:tcBorders>
            <w:shd w:val="clear" w:color="auto" w:fill="auto"/>
            <w:noWrap/>
            <w:vAlign w:val="bottom"/>
            <w:hideMark/>
          </w:tcPr>
          <w:p w14:paraId="76DEC255" w14:textId="77777777" w:rsidR="00214B02" w:rsidRDefault="00214B02" w:rsidP="00214B02">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5AD23DAC" w14:textId="77777777" w:rsidR="00214B02" w:rsidRDefault="00214B02" w:rsidP="00214B02">
            <w:pPr>
              <w:jc w:val="right"/>
              <w:rPr>
                <w:color w:val="000000"/>
                <w:sz w:val="22"/>
                <w:szCs w:val="22"/>
              </w:rPr>
            </w:pPr>
            <w:r>
              <w:rPr>
                <w:color w:val="000000"/>
                <w:sz w:val="22"/>
                <w:szCs w:val="22"/>
              </w:rPr>
              <w:t>0.00</w:t>
            </w:r>
          </w:p>
        </w:tc>
      </w:tr>
      <w:tr w:rsidR="003C2D23" w14:paraId="38C5D6AA" w14:textId="77777777" w:rsidTr="009634C4">
        <w:trPr>
          <w:trHeight w:val="288"/>
        </w:trPr>
        <w:tc>
          <w:tcPr>
            <w:tcW w:w="1117" w:type="dxa"/>
            <w:tcBorders>
              <w:top w:val="nil"/>
              <w:left w:val="single" w:sz="4" w:space="0" w:color="auto"/>
              <w:bottom w:val="single" w:sz="4" w:space="0" w:color="auto"/>
              <w:right w:val="nil"/>
            </w:tcBorders>
            <w:shd w:val="clear" w:color="auto" w:fill="auto"/>
            <w:noWrap/>
            <w:vAlign w:val="bottom"/>
            <w:hideMark/>
          </w:tcPr>
          <w:p w14:paraId="416E939D" w14:textId="77777777" w:rsidR="00214B02" w:rsidRDefault="00214B02" w:rsidP="00214B02">
            <w:pPr>
              <w:jc w:val="right"/>
              <w:rPr>
                <w:color w:val="000000"/>
                <w:sz w:val="22"/>
                <w:szCs w:val="22"/>
              </w:rPr>
            </w:pPr>
          </w:p>
        </w:tc>
        <w:tc>
          <w:tcPr>
            <w:tcW w:w="2658" w:type="dxa"/>
            <w:tcBorders>
              <w:top w:val="nil"/>
              <w:left w:val="nil"/>
              <w:bottom w:val="single" w:sz="4" w:space="0" w:color="auto"/>
              <w:right w:val="single" w:sz="4" w:space="0" w:color="auto"/>
            </w:tcBorders>
            <w:shd w:val="clear" w:color="auto" w:fill="auto"/>
            <w:noWrap/>
            <w:vAlign w:val="bottom"/>
            <w:hideMark/>
          </w:tcPr>
          <w:p w14:paraId="4A21B2BE" w14:textId="77777777" w:rsidR="00214B02" w:rsidRDefault="00214B02" w:rsidP="00214B02">
            <w:pPr>
              <w:rPr>
                <w:color w:val="000000"/>
                <w:sz w:val="22"/>
                <w:szCs w:val="22"/>
              </w:rPr>
            </w:pPr>
            <w:r>
              <w:rPr>
                <w:color w:val="000000"/>
                <w:sz w:val="22"/>
                <w:szCs w:val="22"/>
              </w:rPr>
              <w:t>ALL</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9D31285" w14:textId="77777777" w:rsidR="00214B02" w:rsidRDefault="00214B02" w:rsidP="00214B02">
            <w:pPr>
              <w:jc w:val="right"/>
              <w:rPr>
                <w:color w:val="000000"/>
                <w:sz w:val="22"/>
                <w:szCs w:val="22"/>
              </w:rPr>
            </w:pPr>
            <w:r>
              <w:rPr>
                <w:color w:val="000000"/>
                <w:sz w:val="22"/>
                <w:szCs w:val="22"/>
              </w:rPr>
              <w:t>66.51</w:t>
            </w:r>
          </w:p>
        </w:tc>
        <w:tc>
          <w:tcPr>
            <w:tcW w:w="494" w:type="dxa"/>
            <w:tcBorders>
              <w:top w:val="nil"/>
              <w:left w:val="single" w:sz="4" w:space="0" w:color="auto"/>
              <w:bottom w:val="single" w:sz="4" w:space="0" w:color="auto"/>
              <w:right w:val="single" w:sz="4" w:space="0" w:color="auto"/>
            </w:tcBorders>
            <w:shd w:val="clear" w:color="auto" w:fill="auto"/>
            <w:noWrap/>
            <w:vAlign w:val="bottom"/>
            <w:hideMark/>
          </w:tcPr>
          <w:p w14:paraId="017A3696" w14:textId="77777777" w:rsidR="00214B02" w:rsidRDefault="00214B02" w:rsidP="00214B02">
            <w:pPr>
              <w:jc w:val="right"/>
              <w:rPr>
                <w:color w:val="000000"/>
                <w:sz w:val="22"/>
                <w:szCs w:val="22"/>
              </w:rPr>
            </w:pPr>
            <w:r>
              <w:rPr>
                <w:color w:val="000000"/>
                <w:sz w:val="22"/>
                <w:szCs w:val="22"/>
              </w:rPr>
              <w:t>1</w:t>
            </w:r>
          </w:p>
        </w:tc>
        <w:tc>
          <w:tcPr>
            <w:tcW w:w="676" w:type="dxa"/>
            <w:tcBorders>
              <w:top w:val="nil"/>
              <w:left w:val="single" w:sz="4" w:space="0" w:color="auto"/>
              <w:bottom w:val="single" w:sz="4" w:space="0" w:color="auto"/>
              <w:right w:val="single" w:sz="4" w:space="0" w:color="auto"/>
            </w:tcBorders>
            <w:shd w:val="clear" w:color="auto" w:fill="auto"/>
            <w:noWrap/>
            <w:vAlign w:val="bottom"/>
            <w:hideMark/>
          </w:tcPr>
          <w:p w14:paraId="488CC9CB" w14:textId="77777777" w:rsidR="00214B02" w:rsidRDefault="00214B02" w:rsidP="00214B02">
            <w:pPr>
              <w:jc w:val="right"/>
              <w:rPr>
                <w:color w:val="000000"/>
                <w:sz w:val="22"/>
                <w:szCs w:val="22"/>
              </w:rPr>
            </w:pPr>
            <w:r>
              <w:rPr>
                <w:color w:val="000000"/>
                <w:sz w:val="22"/>
                <w:szCs w:val="22"/>
              </w:rPr>
              <w:t>0.00</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C265E84" w14:textId="77777777" w:rsidR="00214B02" w:rsidRDefault="00214B02" w:rsidP="00214B02">
            <w:pPr>
              <w:jc w:val="right"/>
              <w:rPr>
                <w:color w:val="000000"/>
                <w:sz w:val="22"/>
                <w:szCs w:val="22"/>
              </w:rPr>
            </w:pPr>
            <w:r>
              <w:rPr>
                <w:color w:val="000000"/>
                <w:sz w:val="22"/>
                <w:szCs w:val="22"/>
              </w:rPr>
              <w:t>36.88</w:t>
            </w:r>
          </w:p>
        </w:tc>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4704D73A" w14:textId="77777777" w:rsidR="00214B02" w:rsidRDefault="00214B02" w:rsidP="00214B02">
            <w:pPr>
              <w:jc w:val="right"/>
              <w:rPr>
                <w:color w:val="000000"/>
                <w:sz w:val="22"/>
                <w:szCs w:val="22"/>
              </w:rPr>
            </w:pPr>
            <w:r>
              <w:rPr>
                <w:color w:val="000000"/>
                <w:sz w:val="22"/>
                <w:szCs w:val="22"/>
              </w:rPr>
              <w:t>2</w:t>
            </w:r>
          </w:p>
        </w:tc>
        <w:tc>
          <w:tcPr>
            <w:tcW w:w="649" w:type="dxa"/>
            <w:tcBorders>
              <w:top w:val="nil"/>
              <w:left w:val="single" w:sz="4" w:space="0" w:color="auto"/>
              <w:bottom w:val="single" w:sz="4" w:space="0" w:color="auto"/>
              <w:right w:val="single" w:sz="4" w:space="0" w:color="auto"/>
            </w:tcBorders>
            <w:shd w:val="clear" w:color="auto" w:fill="auto"/>
            <w:noWrap/>
            <w:vAlign w:val="bottom"/>
            <w:hideMark/>
          </w:tcPr>
          <w:p w14:paraId="1FC1ADC7" w14:textId="77777777" w:rsidR="00214B02" w:rsidRDefault="00214B02" w:rsidP="00214B02">
            <w:pPr>
              <w:jc w:val="right"/>
              <w:rPr>
                <w:color w:val="000000"/>
                <w:sz w:val="22"/>
                <w:szCs w:val="22"/>
              </w:rPr>
            </w:pPr>
            <w:r>
              <w:rPr>
                <w:color w:val="000000"/>
                <w:sz w:val="22"/>
                <w:szCs w:val="22"/>
              </w:rPr>
              <w:t>0.00</w:t>
            </w:r>
          </w:p>
        </w:tc>
        <w:tc>
          <w:tcPr>
            <w:tcW w:w="872" w:type="dxa"/>
            <w:tcBorders>
              <w:top w:val="nil"/>
              <w:left w:val="single" w:sz="4" w:space="0" w:color="auto"/>
              <w:bottom w:val="single" w:sz="4" w:space="0" w:color="auto"/>
              <w:right w:val="single" w:sz="4" w:space="0" w:color="auto"/>
            </w:tcBorders>
            <w:shd w:val="clear" w:color="auto" w:fill="auto"/>
            <w:noWrap/>
            <w:vAlign w:val="bottom"/>
            <w:hideMark/>
          </w:tcPr>
          <w:p w14:paraId="64347FBC" w14:textId="77777777" w:rsidR="00214B02" w:rsidRDefault="00214B02" w:rsidP="00214B02">
            <w:pPr>
              <w:jc w:val="right"/>
              <w:rPr>
                <w:color w:val="000000"/>
                <w:sz w:val="22"/>
                <w:szCs w:val="22"/>
              </w:rPr>
            </w:pPr>
            <w:r>
              <w:rPr>
                <w:color w:val="000000"/>
                <w:sz w:val="22"/>
                <w:szCs w:val="22"/>
              </w:rPr>
              <w:t>255.24</w:t>
            </w:r>
          </w:p>
        </w:tc>
        <w:tc>
          <w:tcPr>
            <w:tcW w:w="425" w:type="dxa"/>
            <w:tcBorders>
              <w:top w:val="nil"/>
              <w:left w:val="single" w:sz="4" w:space="0" w:color="auto"/>
              <w:bottom w:val="single" w:sz="4" w:space="0" w:color="auto"/>
              <w:right w:val="single" w:sz="4" w:space="0" w:color="auto"/>
            </w:tcBorders>
            <w:shd w:val="clear" w:color="auto" w:fill="auto"/>
            <w:noWrap/>
            <w:vAlign w:val="bottom"/>
            <w:hideMark/>
          </w:tcPr>
          <w:p w14:paraId="4D154456" w14:textId="77777777" w:rsidR="00214B02" w:rsidRDefault="00214B02" w:rsidP="00214B02">
            <w:pPr>
              <w:jc w:val="right"/>
              <w:rPr>
                <w:color w:val="000000"/>
                <w:sz w:val="22"/>
                <w:szCs w:val="22"/>
              </w:rPr>
            </w:pPr>
            <w:r>
              <w:rPr>
                <w:color w:val="000000"/>
                <w:sz w:val="22"/>
                <w:szCs w:val="22"/>
              </w:rPr>
              <w:t>4</w:t>
            </w:r>
          </w:p>
        </w:tc>
        <w:tc>
          <w:tcPr>
            <w:tcW w:w="650" w:type="dxa"/>
            <w:tcBorders>
              <w:top w:val="nil"/>
              <w:left w:val="single" w:sz="4" w:space="0" w:color="auto"/>
              <w:bottom w:val="single" w:sz="4" w:space="0" w:color="auto"/>
              <w:right w:val="single" w:sz="4" w:space="0" w:color="auto"/>
            </w:tcBorders>
            <w:shd w:val="clear" w:color="auto" w:fill="auto"/>
            <w:noWrap/>
            <w:vAlign w:val="bottom"/>
            <w:hideMark/>
          </w:tcPr>
          <w:p w14:paraId="43EB6671" w14:textId="77777777" w:rsidR="00214B02" w:rsidRDefault="00214B02" w:rsidP="00214B02">
            <w:pPr>
              <w:jc w:val="right"/>
              <w:rPr>
                <w:color w:val="000000"/>
                <w:sz w:val="22"/>
                <w:szCs w:val="22"/>
              </w:rPr>
            </w:pPr>
            <w:r>
              <w:rPr>
                <w:color w:val="000000"/>
                <w:sz w:val="22"/>
                <w:szCs w:val="22"/>
              </w:rPr>
              <w:t>0.00</w:t>
            </w:r>
          </w:p>
        </w:tc>
      </w:tr>
      <w:tr w:rsidR="003C2D23" w14:paraId="35D0729B" w14:textId="77777777" w:rsidTr="009634C4">
        <w:trPr>
          <w:trHeight w:val="288"/>
        </w:trPr>
        <w:tc>
          <w:tcPr>
            <w:tcW w:w="3775" w:type="dxa"/>
            <w:gridSpan w:val="2"/>
            <w:tcBorders>
              <w:top w:val="single" w:sz="4" w:space="0" w:color="auto"/>
              <w:left w:val="single" w:sz="4" w:space="0" w:color="auto"/>
              <w:bottom w:val="nil"/>
              <w:right w:val="single" w:sz="4" w:space="0" w:color="auto"/>
            </w:tcBorders>
            <w:shd w:val="clear" w:color="auto" w:fill="auto"/>
            <w:noWrap/>
            <w:vAlign w:val="bottom"/>
            <w:hideMark/>
          </w:tcPr>
          <w:p w14:paraId="76195C37" w14:textId="51C9323E" w:rsidR="003C2D23" w:rsidRPr="003C2D23" w:rsidRDefault="003C2D23" w:rsidP="00214B02">
            <w:pPr>
              <w:rPr>
                <w:b/>
                <w:bCs/>
                <w:color w:val="000000"/>
                <w:sz w:val="22"/>
                <w:szCs w:val="22"/>
              </w:rPr>
            </w:pPr>
            <w:r w:rsidRPr="003C2D23">
              <w:rPr>
                <w:b/>
                <w:bCs/>
                <w:color w:val="000000"/>
                <w:sz w:val="22"/>
                <w:szCs w:val="22"/>
              </w:rPr>
              <w:t>Saving-Investment</w:t>
            </w:r>
          </w:p>
        </w:tc>
        <w:tc>
          <w:tcPr>
            <w:tcW w:w="720" w:type="dxa"/>
            <w:tcBorders>
              <w:top w:val="single" w:sz="4" w:space="0" w:color="auto"/>
              <w:left w:val="single" w:sz="4" w:space="0" w:color="auto"/>
              <w:bottom w:val="nil"/>
              <w:right w:val="single" w:sz="4" w:space="0" w:color="auto"/>
            </w:tcBorders>
            <w:shd w:val="clear" w:color="auto" w:fill="auto"/>
            <w:noWrap/>
            <w:vAlign w:val="bottom"/>
            <w:hideMark/>
          </w:tcPr>
          <w:p w14:paraId="45F39D72" w14:textId="77777777" w:rsidR="003C2D23" w:rsidRDefault="003C2D23" w:rsidP="00214B02">
            <w:pPr>
              <w:rPr>
                <w:sz w:val="20"/>
                <w:szCs w:val="20"/>
              </w:rPr>
            </w:pPr>
          </w:p>
        </w:tc>
        <w:tc>
          <w:tcPr>
            <w:tcW w:w="494" w:type="dxa"/>
            <w:tcBorders>
              <w:top w:val="single" w:sz="4" w:space="0" w:color="auto"/>
              <w:left w:val="single" w:sz="4" w:space="0" w:color="auto"/>
              <w:bottom w:val="nil"/>
              <w:right w:val="single" w:sz="4" w:space="0" w:color="auto"/>
            </w:tcBorders>
            <w:shd w:val="clear" w:color="auto" w:fill="auto"/>
            <w:noWrap/>
            <w:vAlign w:val="bottom"/>
            <w:hideMark/>
          </w:tcPr>
          <w:p w14:paraId="2DEBF4CF" w14:textId="77777777" w:rsidR="003C2D23" w:rsidRDefault="003C2D23" w:rsidP="00214B02">
            <w:pPr>
              <w:rPr>
                <w:sz w:val="20"/>
                <w:szCs w:val="20"/>
              </w:rPr>
            </w:pPr>
          </w:p>
        </w:tc>
        <w:tc>
          <w:tcPr>
            <w:tcW w:w="676" w:type="dxa"/>
            <w:tcBorders>
              <w:top w:val="single" w:sz="4" w:space="0" w:color="auto"/>
              <w:left w:val="single" w:sz="4" w:space="0" w:color="auto"/>
              <w:bottom w:val="nil"/>
              <w:right w:val="single" w:sz="4" w:space="0" w:color="auto"/>
            </w:tcBorders>
            <w:shd w:val="clear" w:color="auto" w:fill="auto"/>
            <w:noWrap/>
            <w:vAlign w:val="bottom"/>
            <w:hideMark/>
          </w:tcPr>
          <w:p w14:paraId="501B6D3C" w14:textId="77777777" w:rsidR="003C2D23" w:rsidRDefault="003C2D23" w:rsidP="00214B02">
            <w:pPr>
              <w:rPr>
                <w:sz w:val="20"/>
                <w:szCs w:val="20"/>
              </w:rPr>
            </w:pPr>
          </w:p>
        </w:tc>
        <w:tc>
          <w:tcPr>
            <w:tcW w:w="720" w:type="dxa"/>
            <w:tcBorders>
              <w:top w:val="single" w:sz="4" w:space="0" w:color="auto"/>
              <w:left w:val="single" w:sz="4" w:space="0" w:color="auto"/>
              <w:bottom w:val="nil"/>
              <w:right w:val="single" w:sz="4" w:space="0" w:color="auto"/>
            </w:tcBorders>
            <w:shd w:val="clear" w:color="auto" w:fill="auto"/>
            <w:noWrap/>
            <w:vAlign w:val="bottom"/>
            <w:hideMark/>
          </w:tcPr>
          <w:p w14:paraId="473A6DF0" w14:textId="77777777" w:rsidR="003C2D23" w:rsidRDefault="003C2D23" w:rsidP="00214B02">
            <w:pPr>
              <w:rPr>
                <w:sz w:val="20"/>
                <w:szCs w:val="20"/>
              </w:rPr>
            </w:pPr>
          </w:p>
        </w:tc>
        <w:tc>
          <w:tcPr>
            <w:tcW w:w="549" w:type="dxa"/>
            <w:tcBorders>
              <w:top w:val="single" w:sz="4" w:space="0" w:color="auto"/>
              <w:left w:val="single" w:sz="4" w:space="0" w:color="auto"/>
              <w:bottom w:val="nil"/>
              <w:right w:val="single" w:sz="4" w:space="0" w:color="auto"/>
            </w:tcBorders>
            <w:shd w:val="clear" w:color="auto" w:fill="auto"/>
            <w:noWrap/>
            <w:vAlign w:val="bottom"/>
            <w:hideMark/>
          </w:tcPr>
          <w:p w14:paraId="2798738B" w14:textId="77777777" w:rsidR="003C2D23" w:rsidRDefault="003C2D23" w:rsidP="00214B02">
            <w:pPr>
              <w:rPr>
                <w:sz w:val="20"/>
                <w:szCs w:val="20"/>
              </w:rPr>
            </w:pPr>
          </w:p>
        </w:tc>
        <w:tc>
          <w:tcPr>
            <w:tcW w:w="649" w:type="dxa"/>
            <w:tcBorders>
              <w:top w:val="single" w:sz="4" w:space="0" w:color="auto"/>
              <w:left w:val="single" w:sz="4" w:space="0" w:color="auto"/>
              <w:bottom w:val="nil"/>
              <w:right w:val="single" w:sz="4" w:space="0" w:color="auto"/>
            </w:tcBorders>
            <w:shd w:val="clear" w:color="auto" w:fill="auto"/>
            <w:noWrap/>
            <w:vAlign w:val="bottom"/>
            <w:hideMark/>
          </w:tcPr>
          <w:p w14:paraId="1E956FCB" w14:textId="77777777" w:rsidR="003C2D23" w:rsidRDefault="003C2D23" w:rsidP="00214B02">
            <w:pPr>
              <w:rPr>
                <w:sz w:val="20"/>
                <w:szCs w:val="20"/>
              </w:rPr>
            </w:pPr>
          </w:p>
        </w:tc>
        <w:tc>
          <w:tcPr>
            <w:tcW w:w="872" w:type="dxa"/>
            <w:tcBorders>
              <w:top w:val="single" w:sz="4" w:space="0" w:color="auto"/>
              <w:left w:val="single" w:sz="4" w:space="0" w:color="auto"/>
              <w:bottom w:val="nil"/>
              <w:right w:val="single" w:sz="4" w:space="0" w:color="auto"/>
            </w:tcBorders>
            <w:shd w:val="clear" w:color="auto" w:fill="auto"/>
            <w:noWrap/>
            <w:vAlign w:val="bottom"/>
            <w:hideMark/>
          </w:tcPr>
          <w:p w14:paraId="65EE7F7B" w14:textId="77777777" w:rsidR="003C2D23" w:rsidRDefault="003C2D23" w:rsidP="00214B02">
            <w:pPr>
              <w:rPr>
                <w:sz w:val="20"/>
                <w:szCs w:val="20"/>
              </w:rPr>
            </w:pPr>
          </w:p>
        </w:tc>
        <w:tc>
          <w:tcPr>
            <w:tcW w:w="425" w:type="dxa"/>
            <w:tcBorders>
              <w:top w:val="single" w:sz="4" w:space="0" w:color="auto"/>
              <w:left w:val="single" w:sz="4" w:space="0" w:color="auto"/>
              <w:bottom w:val="nil"/>
              <w:right w:val="single" w:sz="4" w:space="0" w:color="auto"/>
            </w:tcBorders>
            <w:shd w:val="clear" w:color="auto" w:fill="auto"/>
            <w:noWrap/>
            <w:vAlign w:val="bottom"/>
            <w:hideMark/>
          </w:tcPr>
          <w:p w14:paraId="099D8F7E" w14:textId="77777777" w:rsidR="003C2D23" w:rsidRDefault="003C2D23" w:rsidP="00214B02">
            <w:pPr>
              <w:rPr>
                <w:sz w:val="20"/>
                <w:szCs w:val="20"/>
              </w:rPr>
            </w:pPr>
          </w:p>
        </w:tc>
        <w:tc>
          <w:tcPr>
            <w:tcW w:w="650" w:type="dxa"/>
            <w:tcBorders>
              <w:top w:val="single" w:sz="4" w:space="0" w:color="auto"/>
              <w:left w:val="single" w:sz="4" w:space="0" w:color="auto"/>
              <w:bottom w:val="nil"/>
              <w:right w:val="single" w:sz="4" w:space="0" w:color="auto"/>
            </w:tcBorders>
            <w:shd w:val="clear" w:color="auto" w:fill="auto"/>
            <w:noWrap/>
            <w:vAlign w:val="bottom"/>
            <w:hideMark/>
          </w:tcPr>
          <w:p w14:paraId="7C968746" w14:textId="77777777" w:rsidR="003C2D23" w:rsidRDefault="003C2D23" w:rsidP="00214B02">
            <w:pPr>
              <w:rPr>
                <w:sz w:val="20"/>
                <w:szCs w:val="20"/>
              </w:rPr>
            </w:pPr>
          </w:p>
        </w:tc>
      </w:tr>
      <w:tr w:rsidR="003C2D23" w14:paraId="5E419326"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18C9669F" w14:textId="77777777" w:rsidR="00214B02" w:rsidRDefault="00214B02" w:rsidP="00214B02">
            <w:pPr>
              <w:rPr>
                <w:sz w:val="20"/>
                <w:szCs w:val="20"/>
              </w:rPr>
            </w:pPr>
          </w:p>
        </w:tc>
        <w:tc>
          <w:tcPr>
            <w:tcW w:w="2658" w:type="dxa"/>
            <w:tcBorders>
              <w:top w:val="nil"/>
              <w:left w:val="nil"/>
              <w:bottom w:val="nil"/>
              <w:right w:val="single" w:sz="4" w:space="0" w:color="auto"/>
            </w:tcBorders>
            <w:shd w:val="clear" w:color="auto" w:fill="auto"/>
            <w:noWrap/>
            <w:vAlign w:val="bottom"/>
            <w:hideMark/>
          </w:tcPr>
          <w:p w14:paraId="0172B217" w14:textId="358A269B" w:rsidR="00214B02" w:rsidRDefault="003C2D23" w:rsidP="00214B02">
            <w:pPr>
              <w:rPr>
                <w:color w:val="000000"/>
                <w:sz w:val="22"/>
                <w:szCs w:val="22"/>
              </w:rPr>
            </w:pPr>
            <w:r>
              <w:rPr>
                <w:color w:val="000000"/>
                <w:sz w:val="22"/>
                <w:szCs w:val="22"/>
              </w:rPr>
              <w:t>Prime Saver</w:t>
            </w:r>
          </w:p>
        </w:tc>
        <w:tc>
          <w:tcPr>
            <w:tcW w:w="720" w:type="dxa"/>
            <w:tcBorders>
              <w:top w:val="nil"/>
              <w:left w:val="single" w:sz="4" w:space="0" w:color="auto"/>
              <w:bottom w:val="nil"/>
              <w:right w:val="single" w:sz="4" w:space="0" w:color="auto"/>
            </w:tcBorders>
            <w:shd w:val="clear" w:color="auto" w:fill="auto"/>
            <w:noWrap/>
            <w:vAlign w:val="bottom"/>
            <w:hideMark/>
          </w:tcPr>
          <w:p w14:paraId="2826C50B" w14:textId="77777777" w:rsidR="00214B02" w:rsidRDefault="00214B02" w:rsidP="00214B02">
            <w:pPr>
              <w:rPr>
                <w:color w:val="000000"/>
                <w:sz w:val="22"/>
                <w:szCs w:val="22"/>
              </w:rPr>
            </w:pPr>
          </w:p>
        </w:tc>
        <w:tc>
          <w:tcPr>
            <w:tcW w:w="494" w:type="dxa"/>
            <w:tcBorders>
              <w:top w:val="nil"/>
              <w:left w:val="single" w:sz="4" w:space="0" w:color="auto"/>
              <w:bottom w:val="nil"/>
              <w:right w:val="single" w:sz="4" w:space="0" w:color="auto"/>
            </w:tcBorders>
            <w:shd w:val="clear" w:color="auto" w:fill="auto"/>
            <w:noWrap/>
            <w:vAlign w:val="bottom"/>
            <w:hideMark/>
          </w:tcPr>
          <w:p w14:paraId="726202AC" w14:textId="77777777" w:rsidR="00214B02" w:rsidRDefault="00214B02" w:rsidP="00214B02">
            <w:pPr>
              <w:rPr>
                <w:sz w:val="20"/>
                <w:szCs w:val="20"/>
              </w:rPr>
            </w:pPr>
          </w:p>
        </w:tc>
        <w:tc>
          <w:tcPr>
            <w:tcW w:w="676" w:type="dxa"/>
            <w:tcBorders>
              <w:top w:val="nil"/>
              <w:left w:val="single" w:sz="4" w:space="0" w:color="auto"/>
              <w:bottom w:val="nil"/>
              <w:right w:val="single" w:sz="4" w:space="0" w:color="auto"/>
            </w:tcBorders>
            <w:shd w:val="clear" w:color="auto" w:fill="auto"/>
            <w:noWrap/>
            <w:vAlign w:val="bottom"/>
            <w:hideMark/>
          </w:tcPr>
          <w:p w14:paraId="350D775C" w14:textId="77777777" w:rsidR="00214B02" w:rsidRDefault="00214B02" w:rsidP="00214B02">
            <w:pPr>
              <w:rPr>
                <w:sz w:val="20"/>
                <w:szCs w:val="20"/>
              </w:rPr>
            </w:pPr>
          </w:p>
        </w:tc>
        <w:tc>
          <w:tcPr>
            <w:tcW w:w="720" w:type="dxa"/>
            <w:tcBorders>
              <w:top w:val="nil"/>
              <w:left w:val="single" w:sz="4" w:space="0" w:color="auto"/>
              <w:bottom w:val="nil"/>
              <w:right w:val="single" w:sz="4" w:space="0" w:color="auto"/>
            </w:tcBorders>
            <w:shd w:val="clear" w:color="auto" w:fill="auto"/>
            <w:noWrap/>
            <w:vAlign w:val="bottom"/>
            <w:hideMark/>
          </w:tcPr>
          <w:p w14:paraId="60A8D1D2" w14:textId="77777777" w:rsidR="00214B02" w:rsidRDefault="00214B02" w:rsidP="00214B02">
            <w:pPr>
              <w:jc w:val="right"/>
              <w:rPr>
                <w:color w:val="000000"/>
                <w:sz w:val="22"/>
                <w:szCs w:val="22"/>
              </w:rPr>
            </w:pPr>
            <w:r>
              <w:rPr>
                <w:color w:val="000000"/>
                <w:sz w:val="22"/>
                <w:szCs w:val="22"/>
              </w:rPr>
              <w:t>6.55</w:t>
            </w:r>
          </w:p>
        </w:tc>
        <w:tc>
          <w:tcPr>
            <w:tcW w:w="549" w:type="dxa"/>
            <w:tcBorders>
              <w:top w:val="nil"/>
              <w:left w:val="single" w:sz="4" w:space="0" w:color="auto"/>
              <w:bottom w:val="nil"/>
              <w:right w:val="single" w:sz="4" w:space="0" w:color="auto"/>
            </w:tcBorders>
            <w:shd w:val="clear" w:color="auto" w:fill="auto"/>
            <w:noWrap/>
            <w:vAlign w:val="bottom"/>
            <w:hideMark/>
          </w:tcPr>
          <w:p w14:paraId="4786577B" w14:textId="77777777" w:rsidR="00214B02" w:rsidRDefault="00214B02" w:rsidP="00214B02">
            <w:pPr>
              <w:jc w:val="right"/>
              <w:rPr>
                <w:color w:val="000000"/>
                <w:sz w:val="22"/>
                <w:szCs w:val="22"/>
              </w:rPr>
            </w:pPr>
            <w:r>
              <w:rPr>
                <w:color w:val="000000"/>
                <w:sz w:val="22"/>
                <w:szCs w:val="22"/>
              </w:rPr>
              <w:t>1</w:t>
            </w:r>
          </w:p>
        </w:tc>
        <w:tc>
          <w:tcPr>
            <w:tcW w:w="649" w:type="dxa"/>
            <w:tcBorders>
              <w:top w:val="nil"/>
              <w:left w:val="single" w:sz="4" w:space="0" w:color="auto"/>
              <w:bottom w:val="nil"/>
              <w:right w:val="single" w:sz="4" w:space="0" w:color="auto"/>
            </w:tcBorders>
            <w:shd w:val="clear" w:color="auto" w:fill="auto"/>
            <w:noWrap/>
            <w:vAlign w:val="bottom"/>
            <w:hideMark/>
          </w:tcPr>
          <w:p w14:paraId="07D6DCA2" w14:textId="77777777" w:rsidR="00214B02" w:rsidRDefault="00214B02" w:rsidP="00214B02">
            <w:pPr>
              <w:jc w:val="right"/>
              <w:rPr>
                <w:b/>
                <w:bCs/>
                <w:color w:val="000000"/>
                <w:sz w:val="22"/>
                <w:szCs w:val="22"/>
              </w:rPr>
            </w:pPr>
            <w:r>
              <w:rPr>
                <w:b/>
                <w:bCs/>
                <w:color w:val="000000"/>
                <w:sz w:val="22"/>
                <w:szCs w:val="22"/>
              </w:rPr>
              <w:t>0.01</w:t>
            </w:r>
          </w:p>
        </w:tc>
        <w:tc>
          <w:tcPr>
            <w:tcW w:w="872" w:type="dxa"/>
            <w:tcBorders>
              <w:top w:val="nil"/>
              <w:left w:val="single" w:sz="4" w:space="0" w:color="auto"/>
              <w:bottom w:val="nil"/>
              <w:right w:val="single" w:sz="4" w:space="0" w:color="auto"/>
            </w:tcBorders>
            <w:shd w:val="clear" w:color="auto" w:fill="auto"/>
            <w:noWrap/>
            <w:vAlign w:val="bottom"/>
            <w:hideMark/>
          </w:tcPr>
          <w:p w14:paraId="58DAE940" w14:textId="77777777" w:rsidR="00214B02" w:rsidRDefault="00214B02" w:rsidP="00214B02">
            <w:pPr>
              <w:jc w:val="right"/>
              <w:rPr>
                <w:color w:val="000000"/>
                <w:sz w:val="22"/>
                <w:szCs w:val="22"/>
              </w:rPr>
            </w:pPr>
            <w:r>
              <w:rPr>
                <w:color w:val="000000"/>
                <w:sz w:val="22"/>
                <w:szCs w:val="22"/>
              </w:rPr>
              <w:t>4.98</w:t>
            </w:r>
          </w:p>
        </w:tc>
        <w:tc>
          <w:tcPr>
            <w:tcW w:w="425" w:type="dxa"/>
            <w:tcBorders>
              <w:top w:val="nil"/>
              <w:left w:val="single" w:sz="4" w:space="0" w:color="auto"/>
              <w:bottom w:val="nil"/>
              <w:right w:val="single" w:sz="4" w:space="0" w:color="auto"/>
            </w:tcBorders>
            <w:shd w:val="clear" w:color="auto" w:fill="auto"/>
            <w:noWrap/>
            <w:vAlign w:val="bottom"/>
            <w:hideMark/>
          </w:tcPr>
          <w:p w14:paraId="61331124" w14:textId="77777777" w:rsidR="00214B02" w:rsidRDefault="00214B02" w:rsidP="00214B02">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7F258A8F" w14:textId="77777777" w:rsidR="00214B02" w:rsidRDefault="00214B02" w:rsidP="00214B02">
            <w:pPr>
              <w:jc w:val="right"/>
              <w:rPr>
                <w:b/>
                <w:bCs/>
                <w:color w:val="000000"/>
                <w:sz w:val="22"/>
                <w:szCs w:val="22"/>
              </w:rPr>
            </w:pPr>
            <w:r>
              <w:rPr>
                <w:b/>
                <w:bCs/>
                <w:color w:val="000000"/>
                <w:sz w:val="22"/>
                <w:szCs w:val="22"/>
              </w:rPr>
              <w:t>0.03</w:t>
            </w:r>
          </w:p>
        </w:tc>
      </w:tr>
      <w:tr w:rsidR="003C2D23" w14:paraId="3ECCA8C9"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14B6F4BF" w14:textId="77777777" w:rsidR="00214B02" w:rsidRDefault="00214B02" w:rsidP="00214B02">
            <w:pPr>
              <w:jc w:val="right"/>
              <w:rPr>
                <w:b/>
                <w:bCs/>
                <w:color w:val="000000"/>
                <w:sz w:val="22"/>
                <w:szCs w:val="22"/>
              </w:rPr>
            </w:pPr>
          </w:p>
        </w:tc>
        <w:tc>
          <w:tcPr>
            <w:tcW w:w="2658" w:type="dxa"/>
            <w:tcBorders>
              <w:top w:val="nil"/>
              <w:left w:val="nil"/>
              <w:bottom w:val="nil"/>
              <w:right w:val="single" w:sz="4" w:space="0" w:color="auto"/>
            </w:tcBorders>
            <w:shd w:val="clear" w:color="auto" w:fill="auto"/>
            <w:noWrap/>
            <w:vAlign w:val="bottom"/>
            <w:hideMark/>
          </w:tcPr>
          <w:p w14:paraId="49D7F1FE" w14:textId="033D2EA9" w:rsidR="00214B02" w:rsidRDefault="003C2D23" w:rsidP="00214B02">
            <w:pPr>
              <w:rPr>
                <w:color w:val="000000"/>
                <w:sz w:val="22"/>
                <w:szCs w:val="22"/>
              </w:rPr>
            </w:pPr>
            <w:r>
              <w:rPr>
                <w:color w:val="000000"/>
                <w:sz w:val="22"/>
                <w:szCs w:val="22"/>
              </w:rPr>
              <w:t>Current Account</w:t>
            </w:r>
          </w:p>
        </w:tc>
        <w:tc>
          <w:tcPr>
            <w:tcW w:w="720" w:type="dxa"/>
            <w:tcBorders>
              <w:top w:val="nil"/>
              <w:left w:val="single" w:sz="4" w:space="0" w:color="auto"/>
              <w:bottom w:val="nil"/>
              <w:right w:val="single" w:sz="4" w:space="0" w:color="auto"/>
            </w:tcBorders>
            <w:shd w:val="clear" w:color="auto" w:fill="auto"/>
            <w:noWrap/>
            <w:vAlign w:val="bottom"/>
            <w:hideMark/>
          </w:tcPr>
          <w:p w14:paraId="7C6B765C" w14:textId="77777777" w:rsidR="00214B02" w:rsidRDefault="00214B02" w:rsidP="00214B02">
            <w:pPr>
              <w:rPr>
                <w:color w:val="000000"/>
                <w:sz w:val="22"/>
                <w:szCs w:val="22"/>
              </w:rPr>
            </w:pPr>
          </w:p>
        </w:tc>
        <w:tc>
          <w:tcPr>
            <w:tcW w:w="494" w:type="dxa"/>
            <w:tcBorders>
              <w:top w:val="nil"/>
              <w:left w:val="single" w:sz="4" w:space="0" w:color="auto"/>
              <w:bottom w:val="nil"/>
              <w:right w:val="single" w:sz="4" w:space="0" w:color="auto"/>
            </w:tcBorders>
            <w:shd w:val="clear" w:color="auto" w:fill="auto"/>
            <w:noWrap/>
            <w:vAlign w:val="bottom"/>
            <w:hideMark/>
          </w:tcPr>
          <w:p w14:paraId="41A8A680" w14:textId="77777777" w:rsidR="00214B02" w:rsidRDefault="00214B02" w:rsidP="00214B02">
            <w:pPr>
              <w:rPr>
                <w:sz w:val="20"/>
                <w:szCs w:val="20"/>
              </w:rPr>
            </w:pPr>
          </w:p>
        </w:tc>
        <w:tc>
          <w:tcPr>
            <w:tcW w:w="676" w:type="dxa"/>
            <w:tcBorders>
              <w:top w:val="nil"/>
              <w:left w:val="single" w:sz="4" w:space="0" w:color="auto"/>
              <w:bottom w:val="nil"/>
              <w:right w:val="single" w:sz="4" w:space="0" w:color="auto"/>
            </w:tcBorders>
            <w:shd w:val="clear" w:color="auto" w:fill="auto"/>
            <w:noWrap/>
            <w:vAlign w:val="bottom"/>
            <w:hideMark/>
          </w:tcPr>
          <w:p w14:paraId="7E0858BC" w14:textId="77777777" w:rsidR="00214B02" w:rsidRDefault="00214B02" w:rsidP="00214B02">
            <w:pPr>
              <w:rPr>
                <w:sz w:val="20"/>
                <w:szCs w:val="20"/>
              </w:rPr>
            </w:pPr>
          </w:p>
        </w:tc>
        <w:tc>
          <w:tcPr>
            <w:tcW w:w="720" w:type="dxa"/>
            <w:tcBorders>
              <w:top w:val="nil"/>
              <w:left w:val="single" w:sz="4" w:space="0" w:color="auto"/>
              <w:bottom w:val="nil"/>
              <w:right w:val="single" w:sz="4" w:space="0" w:color="auto"/>
            </w:tcBorders>
            <w:shd w:val="clear" w:color="auto" w:fill="auto"/>
            <w:noWrap/>
            <w:vAlign w:val="bottom"/>
            <w:hideMark/>
          </w:tcPr>
          <w:p w14:paraId="21411524" w14:textId="77777777" w:rsidR="00214B02" w:rsidRDefault="00214B02" w:rsidP="00214B02">
            <w:pPr>
              <w:jc w:val="right"/>
              <w:rPr>
                <w:color w:val="000000"/>
                <w:sz w:val="22"/>
                <w:szCs w:val="22"/>
              </w:rPr>
            </w:pPr>
            <w:r>
              <w:rPr>
                <w:color w:val="000000"/>
                <w:sz w:val="22"/>
                <w:szCs w:val="22"/>
              </w:rPr>
              <w:t>4.07</w:t>
            </w:r>
          </w:p>
        </w:tc>
        <w:tc>
          <w:tcPr>
            <w:tcW w:w="549" w:type="dxa"/>
            <w:tcBorders>
              <w:top w:val="nil"/>
              <w:left w:val="single" w:sz="4" w:space="0" w:color="auto"/>
              <w:bottom w:val="nil"/>
              <w:right w:val="single" w:sz="4" w:space="0" w:color="auto"/>
            </w:tcBorders>
            <w:shd w:val="clear" w:color="auto" w:fill="auto"/>
            <w:noWrap/>
            <w:vAlign w:val="bottom"/>
            <w:hideMark/>
          </w:tcPr>
          <w:p w14:paraId="58D4CED5" w14:textId="77777777" w:rsidR="00214B02" w:rsidRDefault="00214B02" w:rsidP="00214B02">
            <w:pPr>
              <w:jc w:val="right"/>
              <w:rPr>
                <w:color w:val="000000"/>
                <w:sz w:val="22"/>
                <w:szCs w:val="22"/>
              </w:rPr>
            </w:pPr>
            <w:r>
              <w:rPr>
                <w:color w:val="000000"/>
                <w:sz w:val="22"/>
                <w:szCs w:val="22"/>
              </w:rPr>
              <w:t>1</w:t>
            </w:r>
          </w:p>
        </w:tc>
        <w:tc>
          <w:tcPr>
            <w:tcW w:w="649" w:type="dxa"/>
            <w:tcBorders>
              <w:top w:val="nil"/>
              <w:left w:val="single" w:sz="4" w:space="0" w:color="auto"/>
              <w:bottom w:val="nil"/>
              <w:right w:val="single" w:sz="4" w:space="0" w:color="auto"/>
            </w:tcBorders>
            <w:shd w:val="clear" w:color="auto" w:fill="auto"/>
            <w:noWrap/>
            <w:vAlign w:val="bottom"/>
            <w:hideMark/>
          </w:tcPr>
          <w:p w14:paraId="770FA987" w14:textId="77777777" w:rsidR="00214B02" w:rsidRDefault="00214B02" w:rsidP="00214B02">
            <w:pPr>
              <w:jc w:val="right"/>
              <w:rPr>
                <w:color w:val="000000"/>
                <w:sz w:val="22"/>
                <w:szCs w:val="22"/>
              </w:rPr>
            </w:pPr>
            <w:r>
              <w:rPr>
                <w:color w:val="000000"/>
                <w:sz w:val="22"/>
                <w:szCs w:val="22"/>
              </w:rPr>
              <w:t>0.04</w:t>
            </w:r>
          </w:p>
        </w:tc>
        <w:tc>
          <w:tcPr>
            <w:tcW w:w="872" w:type="dxa"/>
            <w:tcBorders>
              <w:top w:val="nil"/>
              <w:left w:val="single" w:sz="4" w:space="0" w:color="auto"/>
              <w:bottom w:val="nil"/>
              <w:right w:val="single" w:sz="4" w:space="0" w:color="auto"/>
            </w:tcBorders>
            <w:shd w:val="clear" w:color="auto" w:fill="auto"/>
            <w:noWrap/>
            <w:vAlign w:val="bottom"/>
            <w:hideMark/>
          </w:tcPr>
          <w:p w14:paraId="2EE78C51" w14:textId="77777777" w:rsidR="00214B02" w:rsidRDefault="00214B02" w:rsidP="00214B02">
            <w:pPr>
              <w:jc w:val="right"/>
              <w:rPr>
                <w:color w:val="000000"/>
                <w:sz w:val="22"/>
                <w:szCs w:val="22"/>
              </w:rPr>
            </w:pPr>
            <w:r>
              <w:rPr>
                <w:color w:val="000000"/>
                <w:sz w:val="22"/>
                <w:szCs w:val="22"/>
              </w:rPr>
              <w:t>197.74</w:t>
            </w:r>
          </w:p>
        </w:tc>
        <w:tc>
          <w:tcPr>
            <w:tcW w:w="425" w:type="dxa"/>
            <w:tcBorders>
              <w:top w:val="nil"/>
              <w:left w:val="single" w:sz="4" w:space="0" w:color="auto"/>
              <w:bottom w:val="nil"/>
              <w:right w:val="single" w:sz="4" w:space="0" w:color="auto"/>
            </w:tcBorders>
            <w:shd w:val="clear" w:color="auto" w:fill="auto"/>
            <w:noWrap/>
            <w:vAlign w:val="bottom"/>
            <w:hideMark/>
          </w:tcPr>
          <w:p w14:paraId="03FEC50A" w14:textId="77777777" w:rsidR="00214B02" w:rsidRDefault="00214B02" w:rsidP="00214B02">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5FD9BA4B" w14:textId="77777777" w:rsidR="00214B02" w:rsidRDefault="00214B02" w:rsidP="00214B02">
            <w:pPr>
              <w:jc w:val="right"/>
              <w:rPr>
                <w:color w:val="000000"/>
                <w:sz w:val="22"/>
                <w:szCs w:val="22"/>
              </w:rPr>
            </w:pPr>
            <w:r>
              <w:rPr>
                <w:color w:val="000000"/>
                <w:sz w:val="22"/>
                <w:szCs w:val="22"/>
              </w:rPr>
              <w:t>0.00</w:t>
            </w:r>
          </w:p>
        </w:tc>
      </w:tr>
      <w:tr w:rsidR="003C2D23" w14:paraId="680E1FFB"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4C74032E" w14:textId="77777777" w:rsidR="00214B02" w:rsidRDefault="00214B02" w:rsidP="00214B02">
            <w:pPr>
              <w:jc w:val="right"/>
              <w:rPr>
                <w:color w:val="000000"/>
                <w:sz w:val="22"/>
                <w:szCs w:val="22"/>
              </w:rPr>
            </w:pPr>
          </w:p>
        </w:tc>
        <w:tc>
          <w:tcPr>
            <w:tcW w:w="2658" w:type="dxa"/>
            <w:tcBorders>
              <w:top w:val="nil"/>
              <w:left w:val="nil"/>
              <w:bottom w:val="nil"/>
              <w:right w:val="single" w:sz="4" w:space="0" w:color="auto"/>
            </w:tcBorders>
            <w:shd w:val="clear" w:color="auto" w:fill="auto"/>
            <w:noWrap/>
            <w:vAlign w:val="bottom"/>
            <w:hideMark/>
          </w:tcPr>
          <w:p w14:paraId="19AAE596" w14:textId="0E1E3237" w:rsidR="00214B02" w:rsidRDefault="003C2D23" w:rsidP="00214B02">
            <w:pPr>
              <w:rPr>
                <w:color w:val="000000"/>
                <w:sz w:val="22"/>
                <w:szCs w:val="22"/>
              </w:rPr>
            </w:pPr>
            <w:r>
              <w:rPr>
                <w:color w:val="000000"/>
                <w:sz w:val="22"/>
                <w:szCs w:val="22"/>
              </w:rPr>
              <w:t>Real Interest Rate</w:t>
            </w:r>
          </w:p>
        </w:tc>
        <w:tc>
          <w:tcPr>
            <w:tcW w:w="720" w:type="dxa"/>
            <w:tcBorders>
              <w:top w:val="nil"/>
              <w:left w:val="single" w:sz="4" w:space="0" w:color="auto"/>
              <w:bottom w:val="nil"/>
              <w:right w:val="single" w:sz="4" w:space="0" w:color="auto"/>
            </w:tcBorders>
            <w:shd w:val="clear" w:color="auto" w:fill="auto"/>
            <w:noWrap/>
            <w:vAlign w:val="bottom"/>
            <w:hideMark/>
          </w:tcPr>
          <w:p w14:paraId="4C367838" w14:textId="77777777" w:rsidR="00214B02" w:rsidRDefault="00214B02" w:rsidP="00214B02">
            <w:pPr>
              <w:rPr>
                <w:color w:val="000000"/>
                <w:sz w:val="22"/>
                <w:szCs w:val="22"/>
              </w:rPr>
            </w:pPr>
          </w:p>
        </w:tc>
        <w:tc>
          <w:tcPr>
            <w:tcW w:w="494" w:type="dxa"/>
            <w:tcBorders>
              <w:top w:val="nil"/>
              <w:left w:val="single" w:sz="4" w:space="0" w:color="auto"/>
              <w:bottom w:val="nil"/>
              <w:right w:val="single" w:sz="4" w:space="0" w:color="auto"/>
            </w:tcBorders>
            <w:shd w:val="clear" w:color="auto" w:fill="auto"/>
            <w:noWrap/>
            <w:vAlign w:val="bottom"/>
            <w:hideMark/>
          </w:tcPr>
          <w:p w14:paraId="60AED62E" w14:textId="77777777" w:rsidR="00214B02" w:rsidRDefault="00214B02" w:rsidP="00214B02">
            <w:pPr>
              <w:rPr>
                <w:sz w:val="20"/>
                <w:szCs w:val="20"/>
              </w:rPr>
            </w:pPr>
          </w:p>
        </w:tc>
        <w:tc>
          <w:tcPr>
            <w:tcW w:w="676" w:type="dxa"/>
            <w:tcBorders>
              <w:top w:val="nil"/>
              <w:left w:val="single" w:sz="4" w:space="0" w:color="auto"/>
              <w:bottom w:val="nil"/>
              <w:right w:val="single" w:sz="4" w:space="0" w:color="auto"/>
            </w:tcBorders>
            <w:shd w:val="clear" w:color="auto" w:fill="auto"/>
            <w:noWrap/>
            <w:vAlign w:val="bottom"/>
            <w:hideMark/>
          </w:tcPr>
          <w:p w14:paraId="2E5B9ABF" w14:textId="77777777" w:rsidR="00214B02" w:rsidRDefault="00214B02" w:rsidP="00214B02">
            <w:pPr>
              <w:rPr>
                <w:sz w:val="20"/>
                <w:szCs w:val="20"/>
              </w:rPr>
            </w:pPr>
          </w:p>
        </w:tc>
        <w:tc>
          <w:tcPr>
            <w:tcW w:w="720" w:type="dxa"/>
            <w:tcBorders>
              <w:top w:val="nil"/>
              <w:left w:val="single" w:sz="4" w:space="0" w:color="auto"/>
              <w:bottom w:val="nil"/>
              <w:right w:val="single" w:sz="4" w:space="0" w:color="auto"/>
            </w:tcBorders>
            <w:shd w:val="clear" w:color="auto" w:fill="auto"/>
            <w:noWrap/>
            <w:vAlign w:val="bottom"/>
            <w:hideMark/>
          </w:tcPr>
          <w:p w14:paraId="0B4C6AC8" w14:textId="77777777" w:rsidR="00214B02" w:rsidRDefault="00214B02" w:rsidP="00214B02">
            <w:pPr>
              <w:rPr>
                <w:sz w:val="20"/>
                <w:szCs w:val="20"/>
              </w:rPr>
            </w:pPr>
          </w:p>
        </w:tc>
        <w:tc>
          <w:tcPr>
            <w:tcW w:w="549" w:type="dxa"/>
            <w:tcBorders>
              <w:top w:val="nil"/>
              <w:left w:val="single" w:sz="4" w:space="0" w:color="auto"/>
              <w:bottom w:val="nil"/>
              <w:right w:val="single" w:sz="4" w:space="0" w:color="auto"/>
            </w:tcBorders>
            <w:shd w:val="clear" w:color="auto" w:fill="auto"/>
            <w:noWrap/>
            <w:vAlign w:val="bottom"/>
            <w:hideMark/>
          </w:tcPr>
          <w:p w14:paraId="0DA92286" w14:textId="77777777" w:rsidR="00214B02" w:rsidRDefault="00214B02" w:rsidP="00214B02">
            <w:pPr>
              <w:rPr>
                <w:sz w:val="20"/>
                <w:szCs w:val="20"/>
              </w:rPr>
            </w:pPr>
          </w:p>
        </w:tc>
        <w:tc>
          <w:tcPr>
            <w:tcW w:w="649" w:type="dxa"/>
            <w:tcBorders>
              <w:top w:val="nil"/>
              <w:left w:val="single" w:sz="4" w:space="0" w:color="auto"/>
              <w:bottom w:val="nil"/>
              <w:right w:val="single" w:sz="4" w:space="0" w:color="auto"/>
            </w:tcBorders>
            <w:shd w:val="clear" w:color="auto" w:fill="auto"/>
            <w:noWrap/>
            <w:vAlign w:val="bottom"/>
            <w:hideMark/>
          </w:tcPr>
          <w:p w14:paraId="2C9E1412" w14:textId="77777777" w:rsidR="00214B02" w:rsidRDefault="00214B02" w:rsidP="00214B02">
            <w:pPr>
              <w:rPr>
                <w:sz w:val="20"/>
                <w:szCs w:val="20"/>
              </w:rPr>
            </w:pPr>
          </w:p>
        </w:tc>
        <w:tc>
          <w:tcPr>
            <w:tcW w:w="872" w:type="dxa"/>
            <w:tcBorders>
              <w:top w:val="nil"/>
              <w:left w:val="single" w:sz="4" w:space="0" w:color="auto"/>
              <w:bottom w:val="nil"/>
              <w:right w:val="single" w:sz="4" w:space="0" w:color="auto"/>
            </w:tcBorders>
            <w:shd w:val="clear" w:color="auto" w:fill="auto"/>
            <w:noWrap/>
            <w:vAlign w:val="bottom"/>
            <w:hideMark/>
          </w:tcPr>
          <w:p w14:paraId="4774C284" w14:textId="77777777" w:rsidR="00214B02" w:rsidRDefault="00214B02" w:rsidP="00214B02">
            <w:pPr>
              <w:jc w:val="right"/>
              <w:rPr>
                <w:color w:val="000000"/>
                <w:sz w:val="22"/>
                <w:szCs w:val="22"/>
              </w:rPr>
            </w:pPr>
            <w:r>
              <w:rPr>
                <w:color w:val="000000"/>
                <w:sz w:val="22"/>
                <w:szCs w:val="22"/>
              </w:rPr>
              <w:t>1.57</w:t>
            </w:r>
          </w:p>
        </w:tc>
        <w:tc>
          <w:tcPr>
            <w:tcW w:w="425" w:type="dxa"/>
            <w:tcBorders>
              <w:top w:val="nil"/>
              <w:left w:val="single" w:sz="4" w:space="0" w:color="auto"/>
              <w:bottom w:val="nil"/>
              <w:right w:val="single" w:sz="4" w:space="0" w:color="auto"/>
            </w:tcBorders>
            <w:shd w:val="clear" w:color="auto" w:fill="auto"/>
            <w:noWrap/>
            <w:vAlign w:val="bottom"/>
            <w:hideMark/>
          </w:tcPr>
          <w:p w14:paraId="655722D5" w14:textId="77777777" w:rsidR="00214B02" w:rsidRDefault="00214B02" w:rsidP="00214B02">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5AE04043" w14:textId="77777777" w:rsidR="00214B02" w:rsidRDefault="00214B02" w:rsidP="00214B02">
            <w:pPr>
              <w:jc w:val="right"/>
              <w:rPr>
                <w:color w:val="000000"/>
                <w:sz w:val="22"/>
                <w:szCs w:val="22"/>
              </w:rPr>
            </w:pPr>
            <w:r>
              <w:rPr>
                <w:color w:val="000000"/>
                <w:sz w:val="22"/>
                <w:szCs w:val="22"/>
              </w:rPr>
              <w:t>0.21</w:t>
            </w:r>
          </w:p>
        </w:tc>
      </w:tr>
      <w:tr w:rsidR="003C2D23" w14:paraId="7B57EE39"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00EDD1A1" w14:textId="77777777" w:rsidR="00214B02" w:rsidRDefault="00214B02" w:rsidP="00214B02">
            <w:pPr>
              <w:jc w:val="right"/>
              <w:rPr>
                <w:color w:val="000000"/>
                <w:sz w:val="22"/>
                <w:szCs w:val="22"/>
              </w:rPr>
            </w:pPr>
          </w:p>
        </w:tc>
        <w:tc>
          <w:tcPr>
            <w:tcW w:w="2658" w:type="dxa"/>
            <w:tcBorders>
              <w:top w:val="nil"/>
              <w:left w:val="nil"/>
              <w:bottom w:val="nil"/>
              <w:right w:val="single" w:sz="4" w:space="0" w:color="auto"/>
            </w:tcBorders>
            <w:shd w:val="clear" w:color="auto" w:fill="auto"/>
            <w:noWrap/>
            <w:vAlign w:val="bottom"/>
            <w:hideMark/>
          </w:tcPr>
          <w:p w14:paraId="3E8FC11D" w14:textId="6C7B31B6" w:rsidR="00214B02" w:rsidRDefault="003C2D23" w:rsidP="00214B02">
            <w:pPr>
              <w:rPr>
                <w:color w:val="000000"/>
                <w:sz w:val="22"/>
                <w:szCs w:val="22"/>
              </w:rPr>
            </w:pPr>
            <w:r>
              <w:rPr>
                <w:color w:val="000000"/>
                <w:sz w:val="22"/>
                <w:szCs w:val="22"/>
              </w:rPr>
              <w:t>Nominal Exchange Rate</w:t>
            </w:r>
          </w:p>
        </w:tc>
        <w:tc>
          <w:tcPr>
            <w:tcW w:w="720" w:type="dxa"/>
            <w:tcBorders>
              <w:top w:val="nil"/>
              <w:left w:val="single" w:sz="4" w:space="0" w:color="auto"/>
              <w:bottom w:val="nil"/>
              <w:right w:val="single" w:sz="4" w:space="0" w:color="auto"/>
            </w:tcBorders>
            <w:shd w:val="clear" w:color="auto" w:fill="auto"/>
            <w:noWrap/>
            <w:vAlign w:val="bottom"/>
            <w:hideMark/>
          </w:tcPr>
          <w:p w14:paraId="2BF05525" w14:textId="77777777" w:rsidR="00214B02" w:rsidRDefault="00214B02" w:rsidP="00214B02">
            <w:pPr>
              <w:rPr>
                <w:color w:val="000000"/>
                <w:sz w:val="22"/>
                <w:szCs w:val="22"/>
              </w:rPr>
            </w:pPr>
          </w:p>
        </w:tc>
        <w:tc>
          <w:tcPr>
            <w:tcW w:w="494" w:type="dxa"/>
            <w:tcBorders>
              <w:top w:val="nil"/>
              <w:left w:val="single" w:sz="4" w:space="0" w:color="auto"/>
              <w:bottom w:val="nil"/>
              <w:right w:val="single" w:sz="4" w:space="0" w:color="auto"/>
            </w:tcBorders>
            <w:shd w:val="clear" w:color="auto" w:fill="auto"/>
            <w:noWrap/>
            <w:vAlign w:val="bottom"/>
            <w:hideMark/>
          </w:tcPr>
          <w:p w14:paraId="3DFF490E" w14:textId="77777777" w:rsidR="00214B02" w:rsidRDefault="00214B02" w:rsidP="00214B02">
            <w:pPr>
              <w:rPr>
                <w:sz w:val="20"/>
                <w:szCs w:val="20"/>
              </w:rPr>
            </w:pPr>
          </w:p>
        </w:tc>
        <w:tc>
          <w:tcPr>
            <w:tcW w:w="676" w:type="dxa"/>
            <w:tcBorders>
              <w:top w:val="nil"/>
              <w:left w:val="single" w:sz="4" w:space="0" w:color="auto"/>
              <w:bottom w:val="nil"/>
              <w:right w:val="single" w:sz="4" w:space="0" w:color="auto"/>
            </w:tcBorders>
            <w:shd w:val="clear" w:color="auto" w:fill="auto"/>
            <w:noWrap/>
            <w:vAlign w:val="bottom"/>
            <w:hideMark/>
          </w:tcPr>
          <w:p w14:paraId="05A2650C" w14:textId="77777777" w:rsidR="00214B02" w:rsidRDefault="00214B02" w:rsidP="00214B02">
            <w:pPr>
              <w:rPr>
                <w:sz w:val="20"/>
                <w:szCs w:val="20"/>
              </w:rPr>
            </w:pPr>
          </w:p>
        </w:tc>
        <w:tc>
          <w:tcPr>
            <w:tcW w:w="720" w:type="dxa"/>
            <w:tcBorders>
              <w:top w:val="nil"/>
              <w:left w:val="single" w:sz="4" w:space="0" w:color="auto"/>
              <w:bottom w:val="nil"/>
              <w:right w:val="single" w:sz="4" w:space="0" w:color="auto"/>
            </w:tcBorders>
            <w:shd w:val="clear" w:color="auto" w:fill="auto"/>
            <w:noWrap/>
            <w:vAlign w:val="bottom"/>
            <w:hideMark/>
          </w:tcPr>
          <w:p w14:paraId="420B315C" w14:textId="77777777" w:rsidR="00214B02" w:rsidRDefault="00214B02" w:rsidP="00214B02">
            <w:pPr>
              <w:rPr>
                <w:sz w:val="20"/>
                <w:szCs w:val="20"/>
              </w:rPr>
            </w:pPr>
          </w:p>
        </w:tc>
        <w:tc>
          <w:tcPr>
            <w:tcW w:w="549" w:type="dxa"/>
            <w:tcBorders>
              <w:top w:val="nil"/>
              <w:left w:val="single" w:sz="4" w:space="0" w:color="auto"/>
              <w:bottom w:val="nil"/>
              <w:right w:val="single" w:sz="4" w:space="0" w:color="auto"/>
            </w:tcBorders>
            <w:shd w:val="clear" w:color="auto" w:fill="auto"/>
            <w:noWrap/>
            <w:vAlign w:val="bottom"/>
            <w:hideMark/>
          </w:tcPr>
          <w:p w14:paraId="42717282" w14:textId="77777777" w:rsidR="00214B02" w:rsidRDefault="00214B02" w:rsidP="00214B02">
            <w:pPr>
              <w:rPr>
                <w:sz w:val="20"/>
                <w:szCs w:val="20"/>
              </w:rPr>
            </w:pPr>
          </w:p>
        </w:tc>
        <w:tc>
          <w:tcPr>
            <w:tcW w:w="649" w:type="dxa"/>
            <w:tcBorders>
              <w:top w:val="nil"/>
              <w:left w:val="single" w:sz="4" w:space="0" w:color="auto"/>
              <w:bottom w:val="nil"/>
              <w:right w:val="single" w:sz="4" w:space="0" w:color="auto"/>
            </w:tcBorders>
            <w:shd w:val="clear" w:color="auto" w:fill="auto"/>
            <w:noWrap/>
            <w:vAlign w:val="bottom"/>
            <w:hideMark/>
          </w:tcPr>
          <w:p w14:paraId="1542C823" w14:textId="77777777" w:rsidR="00214B02" w:rsidRDefault="00214B02" w:rsidP="00214B02">
            <w:pPr>
              <w:rPr>
                <w:sz w:val="20"/>
                <w:szCs w:val="20"/>
              </w:rPr>
            </w:pPr>
          </w:p>
        </w:tc>
        <w:tc>
          <w:tcPr>
            <w:tcW w:w="872" w:type="dxa"/>
            <w:tcBorders>
              <w:top w:val="nil"/>
              <w:left w:val="single" w:sz="4" w:space="0" w:color="auto"/>
              <w:bottom w:val="nil"/>
              <w:right w:val="single" w:sz="4" w:space="0" w:color="auto"/>
            </w:tcBorders>
            <w:shd w:val="clear" w:color="auto" w:fill="auto"/>
            <w:noWrap/>
            <w:vAlign w:val="bottom"/>
            <w:hideMark/>
          </w:tcPr>
          <w:p w14:paraId="3E049133" w14:textId="77777777" w:rsidR="00214B02" w:rsidRDefault="00214B02" w:rsidP="00214B02">
            <w:pPr>
              <w:jc w:val="right"/>
              <w:rPr>
                <w:color w:val="000000"/>
                <w:sz w:val="22"/>
                <w:szCs w:val="22"/>
              </w:rPr>
            </w:pPr>
            <w:r>
              <w:rPr>
                <w:color w:val="000000"/>
                <w:sz w:val="22"/>
                <w:szCs w:val="22"/>
              </w:rPr>
              <w:t>0.14</w:t>
            </w:r>
          </w:p>
        </w:tc>
        <w:tc>
          <w:tcPr>
            <w:tcW w:w="425" w:type="dxa"/>
            <w:tcBorders>
              <w:top w:val="nil"/>
              <w:left w:val="single" w:sz="4" w:space="0" w:color="auto"/>
              <w:bottom w:val="nil"/>
              <w:right w:val="single" w:sz="4" w:space="0" w:color="auto"/>
            </w:tcBorders>
            <w:shd w:val="clear" w:color="auto" w:fill="auto"/>
            <w:noWrap/>
            <w:vAlign w:val="bottom"/>
            <w:hideMark/>
          </w:tcPr>
          <w:p w14:paraId="50432AFE" w14:textId="77777777" w:rsidR="00214B02" w:rsidRDefault="00214B02" w:rsidP="00214B02">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3BD52778" w14:textId="77777777" w:rsidR="00214B02" w:rsidRDefault="00214B02" w:rsidP="00214B02">
            <w:pPr>
              <w:jc w:val="right"/>
              <w:rPr>
                <w:color w:val="000000"/>
                <w:sz w:val="22"/>
                <w:szCs w:val="22"/>
              </w:rPr>
            </w:pPr>
            <w:r>
              <w:rPr>
                <w:color w:val="000000"/>
                <w:sz w:val="22"/>
                <w:szCs w:val="22"/>
              </w:rPr>
              <w:t>0.71</w:t>
            </w:r>
          </w:p>
        </w:tc>
      </w:tr>
      <w:tr w:rsidR="003C2D23" w14:paraId="2B583B1F" w14:textId="77777777" w:rsidTr="009634C4">
        <w:trPr>
          <w:trHeight w:val="276"/>
        </w:trPr>
        <w:tc>
          <w:tcPr>
            <w:tcW w:w="1117" w:type="dxa"/>
            <w:tcBorders>
              <w:top w:val="nil"/>
              <w:left w:val="single" w:sz="4" w:space="0" w:color="auto"/>
              <w:bottom w:val="single" w:sz="4" w:space="0" w:color="auto"/>
              <w:right w:val="nil"/>
            </w:tcBorders>
            <w:shd w:val="clear" w:color="auto" w:fill="auto"/>
            <w:noWrap/>
            <w:vAlign w:val="bottom"/>
            <w:hideMark/>
          </w:tcPr>
          <w:p w14:paraId="775AF36B" w14:textId="77777777" w:rsidR="00214B02" w:rsidRDefault="00214B02" w:rsidP="00214B02">
            <w:pPr>
              <w:jc w:val="right"/>
              <w:rPr>
                <w:color w:val="000000"/>
                <w:sz w:val="22"/>
                <w:szCs w:val="22"/>
              </w:rPr>
            </w:pPr>
          </w:p>
        </w:tc>
        <w:tc>
          <w:tcPr>
            <w:tcW w:w="2658" w:type="dxa"/>
            <w:tcBorders>
              <w:top w:val="nil"/>
              <w:left w:val="nil"/>
              <w:bottom w:val="single" w:sz="4" w:space="0" w:color="auto"/>
              <w:right w:val="single" w:sz="4" w:space="0" w:color="auto"/>
            </w:tcBorders>
            <w:shd w:val="clear" w:color="auto" w:fill="auto"/>
            <w:noWrap/>
            <w:vAlign w:val="bottom"/>
            <w:hideMark/>
          </w:tcPr>
          <w:p w14:paraId="773953AB" w14:textId="77777777" w:rsidR="00214B02" w:rsidRDefault="00214B02" w:rsidP="00214B02">
            <w:pPr>
              <w:rPr>
                <w:color w:val="000000"/>
                <w:sz w:val="22"/>
                <w:szCs w:val="22"/>
              </w:rPr>
            </w:pPr>
            <w:r>
              <w:rPr>
                <w:color w:val="000000"/>
                <w:sz w:val="22"/>
                <w:szCs w:val="22"/>
              </w:rPr>
              <w:t>ALL</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D4BB470" w14:textId="77777777" w:rsidR="00214B02" w:rsidRDefault="00214B02" w:rsidP="00214B02">
            <w:pPr>
              <w:rPr>
                <w:color w:val="000000"/>
                <w:sz w:val="22"/>
                <w:szCs w:val="22"/>
              </w:rPr>
            </w:pPr>
          </w:p>
        </w:tc>
        <w:tc>
          <w:tcPr>
            <w:tcW w:w="494" w:type="dxa"/>
            <w:tcBorders>
              <w:top w:val="nil"/>
              <w:left w:val="single" w:sz="4" w:space="0" w:color="auto"/>
              <w:bottom w:val="single" w:sz="4" w:space="0" w:color="auto"/>
              <w:right w:val="single" w:sz="4" w:space="0" w:color="auto"/>
            </w:tcBorders>
            <w:shd w:val="clear" w:color="auto" w:fill="auto"/>
            <w:noWrap/>
            <w:vAlign w:val="bottom"/>
            <w:hideMark/>
          </w:tcPr>
          <w:p w14:paraId="0C562D7E" w14:textId="77777777" w:rsidR="00214B02" w:rsidRDefault="00214B02" w:rsidP="00214B02">
            <w:pPr>
              <w:rPr>
                <w:sz w:val="20"/>
                <w:szCs w:val="20"/>
              </w:rPr>
            </w:pPr>
          </w:p>
        </w:tc>
        <w:tc>
          <w:tcPr>
            <w:tcW w:w="676" w:type="dxa"/>
            <w:tcBorders>
              <w:top w:val="nil"/>
              <w:left w:val="single" w:sz="4" w:space="0" w:color="auto"/>
              <w:bottom w:val="single" w:sz="4" w:space="0" w:color="auto"/>
              <w:right w:val="single" w:sz="4" w:space="0" w:color="auto"/>
            </w:tcBorders>
            <w:shd w:val="clear" w:color="auto" w:fill="auto"/>
            <w:noWrap/>
            <w:vAlign w:val="bottom"/>
            <w:hideMark/>
          </w:tcPr>
          <w:p w14:paraId="611BF78A" w14:textId="77777777" w:rsidR="00214B02" w:rsidRDefault="00214B02" w:rsidP="00214B02">
            <w:pPr>
              <w:rPr>
                <w:sz w:val="20"/>
                <w:szCs w:val="20"/>
              </w:rPr>
            </w:pP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8F44EE4" w14:textId="77777777" w:rsidR="00214B02" w:rsidRDefault="00214B02" w:rsidP="00214B02">
            <w:pPr>
              <w:jc w:val="right"/>
              <w:rPr>
                <w:color w:val="000000"/>
                <w:sz w:val="22"/>
                <w:szCs w:val="22"/>
              </w:rPr>
            </w:pPr>
            <w:r>
              <w:rPr>
                <w:color w:val="000000"/>
                <w:sz w:val="22"/>
                <w:szCs w:val="22"/>
              </w:rPr>
              <w:t>10.98</w:t>
            </w:r>
          </w:p>
        </w:tc>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1F832792" w14:textId="77777777" w:rsidR="00214B02" w:rsidRDefault="00214B02" w:rsidP="00214B02">
            <w:pPr>
              <w:jc w:val="right"/>
              <w:rPr>
                <w:color w:val="000000"/>
                <w:sz w:val="22"/>
                <w:szCs w:val="22"/>
              </w:rPr>
            </w:pPr>
            <w:r>
              <w:rPr>
                <w:color w:val="000000"/>
                <w:sz w:val="22"/>
                <w:szCs w:val="22"/>
              </w:rPr>
              <w:t>2</w:t>
            </w:r>
          </w:p>
        </w:tc>
        <w:tc>
          <w:tcPr>
            <w:tcW w:w="649" w:type="dxa"/>
            <w:tcBorders>
              <w:top w:val="nil"/>
              <w:left w:val="single" w:sz="4" w:space="0" w:color="auto"/>
              <w:bottom w:val="single" w:sz="4" w:space="0" w:color="auto"/>
              <w:right w:val="single" w:sz="4" w:space="0" w:color="auto"/>
            </w:tcBorders>
            <w:shd w:val="clear" w:color="auto" w:fill="auto"/>
            <w:noWrap/>
            <w:vAlign w:val="bottom"/>
            <w:hideMark/>
          </w:tcPr>
          <w:p w14:paraId="0591BBFF" w14:textId="77777777" w:rsidR="00214B02" w:rsidRDefault="00214B02" w:rsidP="00214B02">
            <w:pPr>
              <w:jc w:val="right"/>
              <w:rPr>
                <w:color w:val="000000"/>
                <w:sz w:val="22"/>
                <w:szCs w:val="22"/>
              </w:rPr>
            </w:pPr>
            <w:r>
              <w:rPr>
                <w:color w:val="000000"/>
                <w:sz w:val="22"/>
                <w:szCs w:val="22"/>
              </w:rPr>
              <w:t>0.00</w:t>
            </w:r>
          </w:p>
        </w:tc>
        <w:tc>
          <w:tcPr>
            <w:tcW w:w="872" w:type="dxa"/>
            <w:tcBorders>
              <w:top w:val="nil"/>
              <w:left w:val="single" w:sz="4" w:space="0" w:color="auto"/>
              <w:bottom w:val="single" w:sz="4" w:space="0" w:color="auto"/>
              <w:right w:val="single" w:sz="4" w:space="0" w:color="auto"/>
            </w:tcBorders>
            <w:shd w:val="clear" w:color="auto" w:fill="auto"/>
            <w:noWrap/>
            <w:vAlign w:val="bottom"/>
            <w:hideMark/>
          </w:tcPr>
          <w:p w14:paraId="42E5E2B4" w14:textId="4D2F10C5" w:rsidR="00214B02" w:rsidRDefault="00214B02" w:rsidP="00214B02">
            <w:pPr>
              <w:jc w:val="right"/>
              <w:rPr>
                <w:color w:val="000000"/>
                <w:sz w:val="22"/>
                <w:szCs w:val="22"/>
              </w:rPr>
            </w:pPr>
            <w:r>
              <w:rPr>
                <w:color w:val="000000"/>
                <w:sz w:val="22"/>
                <w:szCs w:val="22"/>
              </w:rPr>
              <w:t>1251.3</w:t>
            </w:r>
          </w:p>
        </w:tc>
        <w:tc>
          <w:tcPr>
            <w:tcW w:w="425" w:type="dxa"/>
            <w:tcBorders>
              <w:top w:val="nil"/>
              <w:left w:val="single" w:sz="4" w:space="0" w:color="auto"/>
              <w:bottom w:val="single" w:sz="4" w:space="0" w:color="auto"/>
              <w:right w:val="single" w:sz="4" w:space="0" w:color="auto"/>
            </w:tcBorders>
            <w:shd w:val="clear" w:color="auto" w:fill="auto"/>
            <w:noWrap/>
            <w:vAlign w:val="bottom"/>
            <w:hideMark/>
          </w:tcPr>
          <w:p w14:paraId="0836EEA8" w14:textId="77777777" w:rsidR="00214B02" w:rsidRDefault="00214B02" w:rsidP="00214B02">
            <w:pPr>
              <w:jc w:val="right"/>
              <w:rPr>
                <w:color w:val="000000"/>
                <w:sz w:val="22"/>
                <w:szCs w:val="22"/>
              </w:rPr>
            </w:pPr>
            <w:r>
              <w:rPr>
                <w:color w:val="000000"/>
                <w:sz w:val="22"/>
                <w:szCs w:val="22"/>
              </w:rPr>
              <w:t>4</w:t>
            </w:r>
          </w:p>
        </w:tc>
        <w:tc>
          <w:tcPr>
            <w:tcW w:w="650" w:type="dxa"/>
            <w:tcBorders>
              <w:top w:val="nil"/>
              <w:left w:val="single" w:sz="4" w:space="0" w:color="auto"/>
              <w:bottom w:val="single" w:sz="4" w:space="0" w:color="auto"/>
              <w:right w:val="single" w:sz="4" w:space="0" w:color="auto"/>
            </w:tcBorders>
            <w:shd w:val="clear" w:color="auto" w:fill="auto"/>
            <w:noWrap/>
            <w:vAlign w:val="bottom"/>
            <w:hideMark/>
          </w:tcPr>
          <w:p w14:paraId="3E6E5FA6" w14:textId="77777777" w:rsidR="00214B02" w:rsidRDefault="00214B02" w:rsidP="00214B02">
            <w:pPr>
              <w:jc w:val="right"/>
              <w:rPr>
                <w:color w:val="000000"/>
                <w:sz w:val="22"/>
                <w:szCs w:val="22"/>
              </w:rPr>
            </w:pPr>
            <w:r>
              <w:rPr>
                <w:color w:val="000000"/>
                <w:sz w:val="22"/>
                <w:szCs w:val="22"/>
              </w:rPr>
              <w:t>0.00</w:t>
            </w:r>
          </w:p>
        </w:tc>
      </w:tr>
      <w:tr w:rsidR="003C2D23" w14:paraId="7757430F" w14:textId="77777777" w:rsidTr="009634C4">
        <w:trPr>
          <w:trHeight w:val="288"/>
        </w:trPr>
        <w:tc>
          <w:tcPr>
            <w:tcW w:w="3775" w:type="dxa"/>
            <w:gridSpan w:val="2"/>
            <w:tcBorders>
              <w:top w:val="single" w:sz="4" w:space="0" w:color="auto"/>
              <w:left w:val="single" w:sz="4" w:space="0" w:color="auto"/>
              <w:bottom w:val="nil"/>
              <w:right w:val="single" w:sz="4" w:space="0" w:color="auto"/>
            </w:tcBorders>
            <w:shd w:val="clear" w:color="auto" w:fill="auto"/>
            <w:noWrap/>
            <w:vAlign w:val="bottom"/>
            <w:hideMark/>
          </w:tcPr>
          <w:p w14:paraId="396EB4E1" w14:textId="772C997C" w:rsidR="003C2D23" w:rsidRPr="003C2D23" w:rsidRDefault="003C2D23" w:rsidP="00214B02">
            <w:pPr>
              <w:rPr>
                <w:b/>
                <w:bCs/>
                <w:color w:val="000000"/>
                <w:sz w:val="22"/>
                <w:szCs w:val="22"/>
              </w:rPr>
            </w:pPr>
            <w:r w:rsidRPr="003C2D23">
              <w:rPr>
                <w:b/>
                <w:bCs/>
                <w:color w:val="000000"/>
                <w:sz w:val="22"/>
                <w:szCs w:val="22"/>
              </w:rPr>
              <w:t>Current Account</w:t>
            </w:r>
          </w:p>
        </w:tc>
        <w:tc>
          <w:tcPr>
            <w:tcW w:w="720" w:type="dxa"/>
            <w:tcBorders>
              <w:top w:val="single" w:sz="4" w:space="0" w:color="auto"/>
              <w:left w:val="single" w:sz="4" w:space="0" w:color="auto"/>
              <w:bottom w:val="nil"/>
              <w:right w:val="single" w:sz="4" w:space="0" w:color="auto"/>
            </w:tcBorders>
            <w:shd w:val="clear" w:color="auto" w:fill="auto"/>
            <w:noWrap/>
            <w:vAlign w:val="bottom"/>
            <w:hideMark/>
          </w:tcPr>
          <w:p w14:paraId="671DDFFF" w14:textId="77777777" w:rsidR="003C2D23" w:rsidRDefault="003C2D23" w:rsidP="00214B02">
            <w:pPr>
              <w:rPr>
                <w:sz w:val="20"/>
                <w:szCs w:val="20"/>
              </w:rPr>
            </w:pPr>
          </w:p>
        </w:tc>
        <w:tc>
          <w:tcPr>
            <w:tcW w:w="494" w:type="dxa"/>
            <w:tcBorders>
              <w:top w:val="single" w:sz="4" w:space="0" w:color="auto"/>
              <w:left w:val="single" w:sz="4" w:space="0" w:color="auto"/>
              <w:bottom w:val="nil"/>
              <w:right w:val="single" w:sz="4" w:space="0" w:color="auto"/>
            </w:tcBorders>
            <w:shd w:val="clear" w:color="auto" w:fill="auto"/>
            <w:noWrap/>
            <w:vAlign w:val="bottom"/>
            <w:hideMark/>
          </w:tcPr>
          <w:p w14:paraId="002725B0" w14:textId="77777777" w:rsidR="003C2D23" w:rsidRDefault="003C2D23" w:rsidP="00214B02">
            <w:pPr>
              <w:rPr>
                <w:sz w:val="20"/>
                <w:szCs w:val="20"/>
              </w:rPr>
            </w:pPr>
          </w:p>
        </w:tc>
        <w:tc>
          <w:tcPr>
            <w:tcW w:w="676" w:type="dxa"/>
            <w:tcBorders>
              <w:top w:val="single" w:sz="4" w:space="0" w:color="auto"/>
              <w:left w:val="single" w:sz="4" w:space="0" w:color="auto"/>
              <w:bottom w:val="nil"/>
              <w:right w:val="single" w:sz="4" w:space="0" w:color="auto"/>
            </w:tcBorders>
            <w:shd w:val="clear" w:color="auto" w:fill="auto"/>
            <w:noWrap/>
            <w:vAlign w:val="bottom"/>
            <w:hideMark/>
          </w:tcPr>
          <w:p w14:paraId="78DD8190" w14:textId="77777777" w:rsidR="003C2D23" w:rsidRDefault="003C2D23" w:rsidP="00214B02">
            <w:pPr>
              <w:rPr>
                <w:sz w:val="20"/>
                <w:szCs w:val="20"/>
              </w:rPr>
            </w:pPr>
          </w:p>
        </w:tc>
        <w:tc>
          <w:tcPr>
            <w:tcW w:w="720" w:type="dxa"/>
            <w:tcBorders>
              <w:top w:val="single" w:sz="4" w:space="0" w:color="auto"/>
              <w:left w:val="single" w:sz="4" w:space="0" w:color="auto"/>
              <w:bottom w:val="nil"/>
              <w:right w:val="single" w:sz="4" w:space="0" w:color="auto"/>
            </w:tcBorders>
            <w:shd w:val="clear" w:color="auto" w:fill="auto"/>
            <w:noWrap/>
            <w:vAlign w:val="bottom"/>
            <w:hideMark/>
          </w:tcPr>
          <w:p w14:paraId="64C06D18" w14:textId="77777777" w:rsidR="003C2D23" w:rsidRDefault="003C2D23" w:rsidP="00214B02">
            <w:pPr>
              <w:rPr>
                <w:sz w:val="20"/>
                <w:szCs w:val="20"/>
              </w:rPr>
            </w:pPr>
          </w:p>
        </w:tc>
        <w:tc>
          <w:tcPr>
            <w:tcW w:w="549" w:type="dxa"/>
            <w:tcBorders>
              <w:top w:val="single" w:sz="4" w:space="0" w:color="auto"/>
              <w:left w:val="single" w:sz="4" w:space="0" w:color="auto"/>
              <w:bottom w:val="nil"/>
              <w:right w:val="single" w:sz="4" w:space="0" w:color="auto"/>
            </w:tcBorders>
            <w:shd w:val="clear" w:color="auto" w:fill="auto"/>
            <w:noWrap/>
            <w:vAlign w:val="bottom"/>
            <w:hideMark/>
          </w:tcPr>
          <w:p w14:paraId="45261CA4" w14:textId="77777777" w:rsidR="003C2D23" w:rsidRDefault="003C2D23" w:rsidP="00214B02">
            <w:pPr>
              <w:rPr>
                <w:sz w:val="20"/>
                <w:szCs w:val="20"/>
              </w:rPr>
            </w:pPr>
          </w:p>
        </w:tc>
        <w:tc>
          <w:tcPr>
            <w:tcW w:w="649" w:type="dxa"/>
            <w:tcBorders>
              <w:top w:val="single" w:sz="4" w:space="0" w:color="auto"/>
              <w:left w:val="single" w:sz="4" w:space="0" w:color="auto"/>
              <w:bottom w:val="nil"/>
              <w:right w:val="single" w:sz="4" w:space="0" w:color="auto"/>
            </w:tcBorders>
            <w:shd w:val="clear" w:color="auto" w:fill="auto"/>
            <w:noWrap/>
            <w:vAlign w:val="bottom"/>
            <w:hideMark/>
          </w:tcPr>
          <w:p w14:paraId="6225A122" w14:textId="77777777" w:rsidR="003C2D23" w:rsidRDefault="003C2D23" w:rsidP="00214B02">
            <w:pPr>
              <w:rPr>
                <w:sz w:val="20"/>
                <w:szCs w:val="20"/>
              </w:rPr>
            </w:pPr>
          </w:p>
        </w:tc>
        <w:tc>
          <w:tcPr>
            <w:tcW w:w="872" w:type="dxa"/>
            <w:tcBorders>
              <w:top w:val="single" w:sz="4" w:space="0" w:color="auto"/>
              <w:left w:val="single" w:sz="4" w:space="0" w:color="auto"/>
              <w:bottom w:val="nil"/>
              <w:right w:val="single" w:sz="4" w:space="0" w:color="auto"/>
            </w:tcBorders>
            <w:shd w:val="clear" w:color="auto" w:fill="auto"/>
            <w:noWrap/>
            <w:vAlign w:val="bottom"/>
            <w:hideMark/>
          </w:tcPr>
          <w:p w14:paraId="58A38239" w14:textId="77777777" w:rsidR="003C2D23" w:rsidRDefault="003C2D23" w:rsidP="00214B02">
            <w:pPr>
              <w:rPr>
                <w:sz w:val="20"/>
                <w:szCs w:val="20"/>
              </w:rPr>
            </w:pPr>
          </w:p>
        </w:tc>
        <w:tc>
          <w:tcPr>
            <w:tcW w:w="425" w:type="dxa"/>
            <w:tcBorders>
              <w:top w:val="single" w:sz="4" w:space="0" w:color="auto"/>
              <w:left w:val="single" w:sz="4" w:space="0" w:color="auto"/>
              <w:bottom w:val="nil"/>
              <w:right w:val="single" w:sz="4" w:space="0" w:color="auto"/>
            </w:tcBorders>
            <w:shd w:val="clear" w:color="auto" w:fill="auto"/>
            <w:noWrap/>
            <w:vAlign w:val="bottom"/>
            <w:hideMark/>
          </w:tcPr>
          <w:p w14:paraId="13C79BA0" w14:textId="77777777" w:rsidR="003C2D23" w:rsidRDefault="003C2D23" w:rsidP="00214B02">
            <w:pPr>
              <w:rPr>
                <w:sz w:val="20"/>
                <w:szCs w:val="20"/>
              </w:rPr>
            </w:pPr>
          </w:p>
        </w:tc>
        <w:tc>
          <w:tcPr>
            <w:tcW w:w="650" w:type="dxa"/>
            <w:tcBorders>
              <w:top w:val="single" w:sz="4" w:space="0" w:color="auto"/>
              <w:left w:val="single" w:sz="4" w:space="0" w:color="auto"/>
              <w:bottom w:val="nil"/>
              <w:right w:val="single" w:sz="4" w:space="0" w:color="auto"/>
            </w:tcBorders>
            <w:shd w:val="clear" w:color="auto" w:fill="auto"/>
            <w:noWrap/>
            <w:vAlign w:val="bottom"/>
            <w:hideMark/>
          </w:tcPr>
          <w:p w14:paraId="6BAA1793" w14:textId="77777777" w:rsidR="003C2D23" w:rsidRDefault="003C2D23" w:rsidP="00214B02">
            <w:pPr>
              <w:rPr>
                <w:sz w:val="20"/>
                <w:szCs w:val="20"/>
              </w:rPr>
            </w:pPr>
          </w:p>
        </w:tc>
      </w:tr>
      <w:tr w:rsidR="003C2D23" w14:paraId="18785D16"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69B47C93" w14:textId="77777777" w:rsidR="003C2D23" w:rsidRDefault="003C2D23" w:rsidP="003C2D23">
            <w:pPr>
              <w:rPr>
                <w:sz w:val="20"/>
                <w:szCs w:val="20"/>
              </w:rPr>
            </w:pPr>
          </w:p>
        </w:tc>
        <w:tc>
          <w:tcPr>
            <w:tcW w:w="2658" w:type="dxa"/>
            <w:tcBorders>
              <w:top w:val="nil"/>
              <w:left w:val="nil"/>
              <w:bottom w:val="nil"/>
              <w:right w:val="single" w:sz="4" w:space="0" w:color="auto"/>
            </w:tcBorders>
            <w:shd w:val="clear" w:color="auto" w:fill="auto"/>
            <w:noWrap/>
            <w:vAlign w:val="bottom"/>
            <w:hideMark/>
          </w:tcPr>
          <w:p w14:paraId="4C1C036B" w14:textId="465DDEEA" w:rsidR="003C2D23" w:rsidRDefault="003C2D23" w:rsidP="003C2D23">
            <w:pPr>
              <w:rPr>
                <w:color w:val="000000"/>
                <w:sz w:val="22"/>
                <w:szCs w:val="22"/>
              </w:rPr>
            </w:pPr>
            <w:r>
              <w:rPr>
                <w:color w:val="000000"/>
                <w:sz w:val="22"/>
                <w:szCs w:val="22"/>
              </w:rPr>
              <w:t>Prime Saver</w:t>
            </w:r>
          </w:p>
        </w:tc>
        <w:tc>
          <w:tcPr>
            <w:tcW w:w="720" w:type="dxa"/>
            <w:tcBorders>
              <w:top w:val="nil"/>
              <w:left w:val="single" w:sz="4" w:space="0" w:color="auto"/>
              <w:bottom w:val="nil"/>
              <w:right w:val="single" w:sz="4" w:space="0" w:color="auto"/>
            </w:tcBorders>
            <w:shd w:val="clear" w:color="auto" w:fill="auto"/>
            <w:noWrap/>
            <w:vAlign w:val="bottom"/>
            <w:hideMark/>
          </w:tcPr>
          <w:p w14:paraId="69BC0EEA" w14:textId="77777777" w:rsidR="003C2D23" w:rsidRDefault="003C2D23" w:rsidP="003C2D23">
            <w:pPr>
              <w:jc w:val="right"/>
              <w:rPr>
                <w:color w:val="000000"/>
                <w:sz w:val="22"/>
                <w:szCs w:val="22"/>
              </w:rPr>
            </w:pPr>
            <w:r>
              <w:rPr>
                <w:color w:val="000000"/>
                <w:sz w:val="22"/>
                <w:szCs w:val="22"/>
              </w:rPr>
              <w:t>12.13</w:t>
            </w:r>
          </w:p>
        </w:tc>
        <w:tc>
          <w:tcPr>
            <w:tcW w:w="494" w:type="dxa"/>
            <w:tcBorders>
              <w:top w:val="nil"/>
              <w:left w:val="single" w:sz="4" w:space="0" w:color="auto"/>
              <w:bottom w:val="nil"/>
              <w:right w:val="single" w:sz="4" w:space="0" w:color="auto"/>
            </w:tcBorders>
            <w:shd w:val="clear" w:color="auto" w:fill="auto"/>
            <w:noWrap/>
            <w:vAlign w:val="bottom"/>
            <w:hideMark/>
          </w:tcPr>
          <w:p w14:paraId="6E950830" w14:textId="77777777" w:rsidR="003C2D23" w:rsidRDefault="003C2D23" w:rsidP="003C2D23">
            <w:pPr>
              <w:jc w:val="right"/>
              <w:rPr>
                <w:color w:val="000000"/>
                <w:sz w:val="22"/>
                <w:szCs w:val="22"/>
              </w:rPr>
            </w:pPr>
            <w:r>
              <w:rPr>
                <w:color w:val="000000"/>
                <w:sz w:val="22"/>
                <w:szCs w:val="22"/>
              </w:rPr>
              <w:t>1</w:t>
            </w:r>
          </w:p>
        </w:tc>
        <w:tc>
          <w:tcPr>
            <w:tcW w:w="676" w:type="dxa"/>
            <w:tcBorders>
              <w:top w:val="nil"/>
              <w:left w:val="single" w:sz="4" w:space="0" w:color="auto"/>
              <w:bottom w:val="nil"/>
              <w:right w:val="single" w:sz="4" w:space="0" w:color="auto"/>
            </w:tcBorders>
            <w:shd w:val="clear" w:color="auto" w:fill="auto"/>
            <w:noWrap/>
            <w:vAlign w:val="bottom"/>
            <w:hideMark/>
          </w:tcPr>
          <w:p w14:paraId="666809D4" w14:textId="77777777" w:rsidR="003C2D23" w:rsidRDefault="003C2D23" w:rsidP="003C2D23">
            <w:pPr>
              <w:jc w:val="right"/>
              <w:rPr>
                <w:b/>
                <w:bCs/>
                <w:color w:val="000000"/>
                <w:sz w:val="22"/>
                <w:szCs w:val="22"/>
              </w:rPr>
            </w:pPr>
            <w:r>
              <w:rPr>
                <w:b/>
                <w:bCs/>
                <w:color w:val="000000"/>
                <w:sz w:val="22"/>
                <w:szCs w:val="22"/>
              </w:rPr>
              <w:t>0.00</w:t>
            </w:r>
          </w:p>
        </w:tc>
        <w:tc>
          <w:tcPr>
            <w:tcW w:w="720" w:type="dxa"/>
            <w:tcBorders>
              <w:top w:val="nil"/>
              <w:left w:val="single" w:sz="4" w:space="0" w:color="auto"/>
              <w:bottom w:val="nil"/>
              <w:right w:val="single" w:sz="4" w:space="0" w:color="auto"/>
            </w:tcBorders>
            <w:shd w:val="clear" w:color="auto" w:fill="auto"/>
            <w:noWrap/>
            <w:vAlign w:val="bottom"/>
            <w:hideMark/>
          </w:tcPr>
          <w:p w14:paraId="404DF58A" w14:textId="77777777" w:rsidR="003C2D23" w:rsidRDefault="003C2D23" w:rsidP="003C2D23">
            <w:pPr>
              <w:jc w:val="right"/>
              <w:rPr>
                <w:color w:val="000000"/>
                <w:sz w:val="22"/>
                <w:szCs w:val="22"/>
              </w:rPr>
            </w:pPr>
            <w:r>
              <w:rPr>
                <w:color w:val="000000"/>
                <w:sz w:val="22"/>
                <w:szCs w:val="22"/>
              </w:rPr>
              <w:t>3.10</w:t>
            </w:r>
          </w:p>
        </w:tc>
        <w:tc>
          <w:tcPr>
            <w:tcW w:w="549" w:type="dxa"/>
            <w:tcBorders>
              <w:top w:val="nil"/>
              <w:left w:val="single" w:sz="4" w:space="0" w:color="auto"/>
              <w:bottom w:val="nil"/>
              <w:right w:val="single" w:sz="4" w:space="0" w:color="auto"/>
            </w:tcBorders>
            <w:shd w:val="clear" w:color="auto" w:fill="auto"/>
            <w:noWrap/>
            <w:vAlign w:val="bottom"/>
            <w:hideMark/>
          </w:tcPr>
          <w:p w14:paraId="09D17BB7" w14:textId="77777777" w:rsidR="003C2D23" w:rsidRDefault="003C2D23" w:rsidP="003C2D23">
            <w:pPr>
              <w:jc w:val="right"/>
              <w:rPr>
                <w:color w:val="000000"/>
                <w:sz w:val="22"/>
                <w:szCs w:val="22"/>
              </w:rPr>
            </w:pPr>
            <w:r>
              <w:rPr>
                <w:color w:val="000000"/>
                <w:sz w:val="22"/>
                <w:szCs w:val="22"/>
              </w:rPr>
              <w:t>1</w:t>
            </w:r>
          </w:p>
        </w:tc>
        <w:tc>
          <w:tcPr>
            <w:tcW w:w="649" w:type="dxa"/>
            <w:tcBorders>
              <w:top w:val="nil"/>
              <w:left w:val="single" w:sz="4" w:space="0" w:color="auto"/>
              <w:bottom w:val="nil"/>
              <w:right w:val="single" w:sz="4" w:space="0" w:color="auto"/>
            </w:tcBorders>
            <w:shd w:val="clear" w:color="auto" w:fill="auto"/>
            <w:noWrap/>
            <w:vAlign w:val="bottom"/>
            <w:hideMark/>
          </w:tcPr>
          <w:p w14:paraId="4483C105" w14:textId="77777777" w:rsidR="003C2D23" w:rsidRDefault="003C2D23" w:rsidP="003C2D23">
            <w:pPr>
              <w:jc w:val="right"/>
              <w:rPr>
                <w:b/>
                <w:bCs/>
                <w:color w:val="000000"/>
                <w:sz w:val="22"/>
                <w:szCs w:val="22"/>
              </w:rPr>
            </w:pPr>
            <w:r>
              <w:rPr>
                <w:b/>
                <w:bCs/>
                <w:color w:val="000000"/>
                <w:sz w:val="22"/>
                <w:szCs w:val="22"/>
              </w:rPr>
              <w:t>0.08</w:t>
            </w:r>
          </w:p>
        </w:tc>
        <w:tc>
          <w:tcPr>
            <w:tcW w:w="872" w:type="dxa"/>
            <w:tcBorders>
              <w:top w:val="nil"/>
              <w:left w:val="single" w:sz="4" w:space="0" w:color="auto"/>
              <w:bottom w:val="nil"/>
              <w:right w:val="single" w:sz="4" w:space="0" w:color="auto"/>
            </w:tcBorders>
            <w:shd w:val="clear" w:color="auto" w:fill="auto"/>
            <w:noWrap/>
            <w:vAlign w:val="bottom"/>
            <w:hideMark/>
          </w:tcPr>
          <w:p w14:paraId="0D90B6BC" w14:textId="77777777" w:rsidR="003C2D23" w:rsidRDefault="003C2D23" w:rsidP="003C2D23">
            <w:pPr>
              <w:jc w:val="right"/>
              <w:rPr>
                <w:color w:val="000000"/>
                <w:sz w:val="22"/>
                <w:szCs w:val="22"/>
              </w:rPr>
            </w:pPr>
            <w:r>
              <w:rPr>
                <w:color w:val="000000"/>
                <w:sz w:val="22"/>
                <w:szCs w:val="22"/>
              </w:rPr>
              <w:t>3.86</w:t>
            </w:r>
          </w:p>
        </w:tc>
        <w:tc>
          <w:tcPr>
            <w:tcW w:w="425" w:type="dxa"/>
            <w:tcBorders>
              <w:top w:val="nil"/>
              <w:left w:val="single" w:sz="4" w:space="0" w:color="auto"/>
              <w:bottom w:val="nil"/>
              <w:right w:val="single" w:sz="4" w:space="0" w:color="auto"/>
            </w:tcBorders>
            <w:shd w:val="clear" w:color="auto" w:fill="auto"/>
            <w:noWrap/>
            <w:vAlign w:val="bottom"/>
            <w:hideMark/>
          </w:tcPr>
          <w:p w14:paraId="03BEFC94" w14:textId="77777777" w:rsidR="003C2D23" w:rsidRDefault="003C2D23" w:rsidP="003C2D23">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50EC68AC" w14:textId="77777777" w:rsidR="003C2D23" w:rsidRDefault="003C2D23" w:rsidP="003C2D23">
            <w:pPr>
              <w:jc w:val="right"/>
              <w:rPr>
                <w:b/>
                <w:bCs/>
                <w:color w:val="000000"/>
                <w:sz w:val="22"/>
                <w:szCs w:val="22"/>
              </w:rPr>
            </w:pPr>
            <w:r>
              <w:rPr>
                <w:b/>
                <w:bCs/>
                <w:color w:val="000000"/>
                <w:sz w:val="22"/>
                <w:szCs w:val="22"/>
              </w:rPr>
              <w:t>0.05</w:t>
            </w:r>
          </w:p>
        </w:tc>
      </w:tr>
      <w:tr w:rsidR="003C2D23" w14:paraId="049C76EB"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5C97DD39" w14:textId="77777777" w:rsidR="003C2D23" w:rsidRDefault="003C2D23" w:rsidP="003C2D23">
            <w:pPr>
              <w:jc w:val="right"/>
              <w:rPr>
                <w:b/>
                <w:bCs/>
                <w:color w:val="000000"/>
                <w:sz w:val="22"/>
                <w:szCs w:val="22"/>
              </w:rPr>
            </w:pPr>
          </w:p>
        </w:tc>
        <w:tc>
          <w:tcPr>
            <w:tcW w:w="2658" w:type="dxa"/>
            <w:tcBorders>
              <w:top w:val="nil"/>
              <w:left w:val="nil"/>
              <w:bottom w:val="nil"/>
              <w:right w:val="single" w:sz="4" w:space="0" w:color="auto"/>
            </w:tcBorders>
            <w:shd w:val="clear" w:color="auto" w:fill="auto"/>
            <w:noWrap/>
            <w:vAlign w:val="bottom"/>
            <w:hideMark/>
          </w:tcPr>
          <w:p w14:paraId="490EB171" w14:textId="412C8473" w:rsidR="003C2D23" w:rsidRDefault="003C2D23" w:rsidP="003C2D23">
            <w:pPr>
              <w:rPr>
                <w:color w:val="000000"/>
                <w:sz w:val="22"/>
                <w:szCs w:val="22"/>
              </w:rPr>
            </w:pPr>
            <w:r>
              <w:rPr>
                <w:color w:val="000000"/>
                <w:sz w:val="22"/>
                <w:szCs w:val="22"/>
              </w:rPr>
              <w:t>Saving-Investment</w:t>
            </w:r>
          </w:p>
        </w:tc>
        <w:tc>
          <w:tcPr>
            <w:tcW w:w="720" w:type="dxa"/>
            <w:tcBorders>
              <w:top w:val="nil"/>
              <w:left w:val="single" w:sz="4" w:space="0" w:color="auto"/>
              <w:bottom w:val="nil"/>
              <w:right w:val="single" w:sz="4" w:space="0" w:color="auto"/>
            </w:tcBorders>
            <w:shd w:val="clear" w:color="auto" w:fill="auto"/>
            <w:noWrap/>
            <w:vAlign w:val="bottom"/>
            <w:hideMark/>
          </w:tcPr>
          <w:p w14:paraId="53BA1ECE" w14:textId="77777777" w:rsidR="003C2D23" w:rsidRDefault="003C2D23" w:rsidP="003C2D23">
            <w:pPr>
              <w:rPr>
                <w:color w:val="000000"/>
                <w:sz w:val="22"/>
                <w:szCs w:val="22"/>
              </w:rPr>
            </w:pPr>
          </w:p>
        </w:tc>
        <w:tc>
          <w:tcPr>
            <w:tcW w:w="494" w:type="dxa"/>
            <w:tcBorders>
              <w:top w:val="nil"/>
              <w:left w:val="single" w:sz="4" w:space="0" w:color="auto"/>
              <w:bottom w:val="nil"/>
              <w:right w:val="single" w:sz="4" w:space="0" w:color="auto"/>
            </w:tcBorders>
            <w:shd w:val="clear" w:color="auto" w:fill="auto"/>
            <w:noWrap/>
            <w:vAlign w:val="bottom"/>
            <w:hideMark/>
          </w:tcPr>
          <w:p w14:paraId="263CAE1D" w14:textId="77777777" w:rsidR="003C2D23" w:rsidRDefault="003C2D23" w:rsidP="003C2D23">
            <w:pPr>
              <w:rPr>
                <w:sz w:val="20"/>
                <w:szCs w:val="20"/>
              </w:rPr>
            </w:pPr>
          </w:p>
        </w:tc>
        <w:tc>
          <w:tcPr>
            <w:tcW w:w="676" w:type="dxa"/>
            <w:tcBorders>
              <w:top w:val="nil"/>
              <w:left w:val="single" w:sz="4" w:space="0" w:color="auto"/>
              <w:bottom w:val="nil"/>
              <w:right w:val="single" w:sz="4" w:space="0" w:color="auto"/>
            </w:tcBorders>
            <w:shd w:val="clear" w:color="auto" w:fill="auto"/>
            <w:noWrap/>
            <w:vAlign w:val="bottom"/>
            <w:hideMark/>
          </w:tcPr>
          <w:p w14:paraId="00F049E2" w14:textId="77777777" w:rsidR="003C2D23" w:rsidRDefault="003C2D23" w:rsidP="003C2D23">
            <w:pPr>
              <w:rPr>
                <w:sz w:val="20"/>
                <w:szCs w:val="20"/>
              </w:rPr>
            </w:pPr>
          </w:p>
        </w:tc>
        <w:tc>
          <w:tcPr>
            <w:tcW w:w="720" w:type="dxa"/>
            <w:tcBorders>
              <w:top w:val="nil"/>
              <w:left w:val="single" w:sz="4" w:space="0" w:color="auto"/>
              <w:bottom w:val="nil"/>
              <w:right w:val="single" w:sz="4" w:space="0" w:color="auto"/>
            </w:tcBorders>
            <w:shd w:val="clear" w:color="auto" w:fill="auto"/>
            <w:noWrap/>
            <w:vAlign w:val="bottom"/>
            <w:hideMark/>
          </w:tcPr>
          <w:p w14:paraId="1D4F112F" w14:textId="77777777" w:rsidR="003C2D23" w:rsidRDefault="003C2D23" w:rsidP="003C2D23">
            <w:pPr>
              <w:jc w:val="right"/>
              <w:rPr>
                <w:color w:val="000000"/>
                <w:sz w:val="22"/>
                <w:szCs w:val="22"/>
              </w:rPr>
            </w:pPr>
            <w:r>
              <w:rPr>
                <w:color w:val="000000"/>
                <w:sz w:val="22"/>
                <w:szCs w:val="22"/>
              </w:rPr>
              <w:t>1.37</w:t>
            </w:r>
          </w:p>
        </w:tc>
        <w:tc>
          <w:tcPr>
            <w:tcW w:w="549" w:type="dxa"/>
            <w:tcBorders>
              <w:top w:val="nil"/>
              <w:left w:val="single" w:sz="4" w:space="0" w:color="auto"/>
              <w:bottom w:val="nil"/>
              <w:right w:val="single" w:sz="4" w:space="0" w:color="auto"/>
            </w:tcBorders>
            <w:shd w:val="clear" w:color="auto" w:fill="auto"/>
            <w:noWrap/>
            <w:vAlign w:val="bottom"/>
            <w:hideMark/>
          </w:tcPr>
          <w:p w14:paraId="7D5306BF" w14:textId="77777777" w:rsidR="003C2D23" w:rsidRDefault="003C2D23" w:rsidP="003C2D23">
            <w:pPr>
              <w:jc w:val="right"/>
              <w:rPr>
                <w:color w:val="000000"/>
                <w:sz w:val="22"/>
                <w:szCs w:val="22"/>
              </w:rPr>
            </w:pPr>
            <w:r>
              <w:rPr>
                <w:color w:val="000000"/>
                <w:sz w:val="22"/>
                <w:szCs w:val="22"/>
              </w:rPr>
              <w:t>1</w:t>
            </w:r>
          </w:p>
        </w:tc>
        <w:tc>
          <w:tcPr>
            <w:tcW w:w="649" w:type="dxa"/>
            <w:tcBorders>
              <w:top w:val="nil"/>
              <w:left w:val="single" w:sz="4" w:space="0" w:color="auto"/>
              <w:bottom w:val="nil"/>
              <w:right w:val="single" w:sz="4" w:space="0" w:color="auto"/>
            </w:tcBorders>
            <w:shd w:val="clear" w:color="auto" w:fill="auto"/>
            <w:noWrap/>
            <w:vAlign w:val="bottom"/>
            <w:hideMark/>
          </w:tcPr>
          <w:p w14:paraId="7536CE73" w14:textId="77777777" w:rsidR="003C2D23" w:rsidRDefault="003C2D23" w:rsidP="003C2D23">
            <w:pPr>
              <w:jc w:val="right"/>
              <w:rPr>
                <w:color w:val="000000"/>
                <w:sz w:val="22"/>
                <w:szCs w:val="22"/>
              </w:rPr>
            </w:pPr>
            <w:r>
              <w:rPr>
                <w:color w:val="000000"/>
                <w:sz w:val="22"/>
                <w:szCs w:val="22"/>
              </w:rPr>
              <w:t>0.24</w:t>
            </w:r>
          </w:p>
        </w:tc>
        <w:tc>
          <w:tcPr>
            <w:tcW w:w="872" w:type="dxa"/>
            <w:tcBorders>
              <w:top w:val="nil"/>
              <w:left w:val="single" w:sz="4" w:space="0" w:color="auto"/>
              <w:bottom w:val="nil"/>
              <w:right w:val="single" w:sz="4" w:space="0" w:color="auto"/>
            </w:tcBorders>
            <w:shd w:val="clear" w:color="auto" w:fill="auto"/>
            <w:noWrap/>
            <w:vAlign w:val="bottom"/>
            <w:hideMark/>
          </w:tcPr>
          <w:p w14:paraId="529AFA27" w14:textId="77777777" w:rsidR="003C2D23" w:rsidRDefault="003C2D23" w:rsidP="003C2D23">
            <w:pPr>
              <w:jc w:val="right"/>
              <w:rPr>
                <w:color w:val="000000"/>
                <w:sz w:val="22"/>
                <w:szCs w:val="22"/>
              </w:rPr>
            </w:pPr>
            <w:r>
              <w:rPr>
                <w:color w:val="000000"/>
                <w:sz w:val="22"/>
                <w:szCs w:val="22"/>
              </w:rPr>
              <w:t>41.56</w:t>
            </w:r>
          </w:p>
        </w:tc>
        <w:tc>
          <w:tcPr>
            <w:tcW w:w="425" w:type="dxa"/>
            <w:tcBorders>
              <w:top w:val="nil"/>
              <w:left w:val="single" w:sz="4" w:space="0" w:color="auto"/>
              <w:bottom w:val="nil"/>
              <w:right w:val="single" w:sz="4" w:space="0" w:color="auto"/>
            </w:tcBorders>
            <w:shd w:val="clear" w:color="auto" w:fill="auto"/>
            <w:noWrap/>
            <w:vAlign w:val="bottom"/>
            <w:hideMark/>
          </w:tcPr>
          <w:p w14:paraId="1E7B850F" w14:textId="77777777" w:rsidR="003C2D23" w:rsidRDefault="003C2D23" w:rsidP="003C2D23">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03AC5098" w14:textId="77777777" w:rsidR="003C2D23" w:rsidRDefault="003C2D23" w:rsidP="003C2D23">
            <w:pPr>
              <w:jc w:val="right"/>
              <w:rPr>
                <w:color w:val="000000"/>
                <w:sz w:val="22"/>
                <w:szCs w:val="22"/>
              </w:rPr>
            </w:pPr>
            <w:r>
              <w:rPr>
                <w:color w:val="000000"/>
                <w:sz w:val="22"/>
                <w:szCs w:val="22"/>
              </w:rPr>
              <w:t>0.00</w:t>
            </w:r>
          </w:p>
        </w:tc>
      </w:tr>
      <w:tr w:rsidR="003C2D23" w14:paraId="2FBA7CD1"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018AC27B" w14:textId="77777777" w:rsidR="003C2D23" w:rsidRDefault="003C2D23" w:rsidP="003C2D23">
            <w:pPr>
              <w:jc w:val="right"/>
              <w:rPr>
                <w:color w:val="000000"/>
                <w:sz w:val="22"/>
                <w:szCs w:val="22"/>
              </w:rPr>
            </w:pPr>
          </w:p>
        </w:tc>
        <w:tc>
          <w:tcPr>
            <w:tcW w:w="2658" w:type="dxa"/>
            <w:tcBorders>
              <w:top w:val="nil"/>
              <w:left w:val="nil"/>
              <w:bottom w:val="nil"/>
              <w:right w:val="single" w:sz="4" w:space="0" w:color="auto"/>
            </w:tcBorders>
            <w:shd w:val="clear" w:color="auto" w:fill="auto"/>
            <w:noWrap/>
            <w:vAlign w:val="bottom"/>
            <w:hideMark/>
          </w:tcPr>
          <w:p w14:paraId="4353A97F" w14:textId="54CF1E28" w:rsidR="003C2D23" w:rsidRDefault="003C2D23" w:rsidP="003C2D23">
            <w:pPr>
              <w:rPr>
                <w:color w:val="000000"/>
                <w:sz w:val="22"/>
                <w:szCs w:val="22"/>
              </w:rPr>
            </w:pPr>
            <w:r>
              <w:rPr>
                <w:color w:val="000000"/>
                <w:sz w:val="22"/>
                <w:szCs w:val="22"/>
              </w:rPr>
              <w:t>Real Interest Rate</w:t>
            </w:r>
          </w:p>
        </w:tc>
        <w:tc>
          <w:tcPr>
            <w:tcW w:w="720" w:type="dxa"/>
            <w:tcBorders>
              <w:top w:val="nil"/>
              <w:left w:val="single" w:sz="4" w:space="0" w:color="auto"/>
              <w:bottom w:val="nil"/>
              <w:right w:val="single" w:sz="4" w:space="0" w:color="auto"/>
            </w:tcBorders>
            <w:shd w:val="clear" w:color="auto" w:fill="auto"/>
            <w:noWrap/>
            <w:vAlign w:val="bottom"/>
            <w:hideMark/>
          </w:tcPr>
          <w:p w14:paraId="7B9A4B8B" w14:textId="77777777" w:rsidR="003C2D23" w:rsidRDefault="003C2D23" w:rsidP="003C2D23">
            <w:pPr>
              <w:rPr>
                <w:color w:val="000000"/>
                <w:sz w:val="22"/>
                <w:szCs w:val="22"/>
              </w:rPr>
            </w:pPr>
          </w:p>
        </w:tc>
        <w:tc>
          <w:tcPr>
            <w:tcW w:w="494" w:type="dxa"/>
            <w:tcBorders>
              <w:top w:val="nil"/>
              <w:left w:val="single" w:sz="4" w:space="0" w:color="auto"/>
              <w:bottom w:val="nil"/>
              <w:right w:val="single" w:sz="4" w:space="0" w:color="auto"/>
            </w:tcBorders>
            <w:shd w:val="clear" w:color="auto" w:fill="auto"/>
            <w:noWrap/>
            <w:vAlign w:val="bottom"/>
            <w:hideMark/>
          </w:tcPr>
          <w:p w14:paraId="69511A11" w14:textId="77777777" w:rsidR="003C2D23" w:rsidRDefault="003C2D23" w:rsidP="003C2D23">
            <w:pPr>
              <w:rPr>
                <w:sz w:val="20"/>
                <w:szCs w:val="20"/>
              </w:rPr>
            </w:pPr>
          </w:p>
        </w:tc>
        <w:tc>
          <w:tcPr>
            <w:tcW w:w="676" w:type="dxa"/>
            <w:tcBorders>
              <w:top w:val="nil"/>
              <w:left w:val="single" w:sz="4" w:space="0" w:color="auto"/>
              <w:bottom w:val="nil"/>
              <w:right w:val="single" w:sz="4" w:space="0" w:color="auto"/>
            </w:tcBorders>
            <w:shd w:val="clear" w:color="auto" w:fill="auto"/>
            <w:noWrap/>
            <w:vAlign w:val="bottom"/>
            <w:hideMark/>
          </w:tcPr>
          <w:p w14:paraId="6761E0B4" w14:textId="77777777" w:rsidR="003C2D23" w:rsidRDefault="003C2D23" w:rsidP="003C2D23">
            <w:pPr>
              <w:rPr>
                <w:sz w:val="20"/>
                <w:szCs w:val="20"/>
              </w:rPr>
            </w:pPr>
          </w:p>
        </w:tc>
        <w:tc>
          <w:tcPr>
            <w:tcW w:w="720" w:type="dxa"/>
            <w:tcBorders>
              <w:top w:val="nil"/>
              <w:left w:val="single" w:sz="4" w:space="0" w:color="auto"/>
              <w:bottom w:val="nil"/>
              <w:right w:val="single" w:sz="4" w:space="0" w:color="auto"/>
            </w:tcBorders>
            <w:shd w:val="clear" w:color="auto" w:fill="auto"/>
            <w:noWrap/>
            <w:vAlign w:val="bottom"/>
            <w:hideMark/>
          </w:tcPr>
          <w:p w14:paraId="30F65420" w14:textId="77777777" w:rsidR="003C2D23" w:rsidRDefault="003C2D23" w:rsidP="003C2D23">
            <w:pPr>
              <w:rPr>
                <w:sz w:val="20"/>
                <w:szCs w:val="20"/>
              </w:rPr>
            </w:pPr>
          </w:p>
        </w:tc>
        <w:tc>
          <w:tcPr>
            <w:tcW w:w="549" w:type="dxa"/>
            <w:tcBorders>
              <w:top w:val="nil"/>
              <w:left w:val="single" w:sz="4" w:space="0" w:color="auto"/>
              <w:bottom w:val="nil"/>
              <w:right w:val="single" w:sz="4" w:space="0" w:color="auto"/>
            </w:tcBorders>
            <w:shd w:val="clear" w:color="auto" w:fill="auto"/>
            <w:noWrap/>
            <w:vAlign w:val="bottom"/>
            <w:hideMark/>
          </w:tcPr>
          <w:p w14:paraId="75061754" w14:textId="77777777" w:rsidR="003C2D23" w:rsidRDefault="003C2D23" w:rsidP="003C2D23">
            <w:pPr>
              <w:rPr>
                <w:sz w:val="20"/>
                <w:szCs w:val="20"/>
              </w:rPr>
            </w:pPr>
          </w:p>
        </w:tc>
        <w:tc>
          <w:tcPr>
            <w:tcW w:w="649" w:type="dxa"/>
            <w:tcBorders>
              <w:top w:val="nil"/>
              <w:left w:val="single" w:sz="4" w:space="0" w:color="auto"/>
              <w:bottom w:val="nil"/>
              <w:right w:val="single" w:sz="4" w:space="0" w:color="auto"/>
            </w:tcBorders>
            <w:shd w:val="clear" w:color="auto" w:fill="auto"/>
            <w:noWrap/>
            <w:vAlign w:val="bottom"/>
            <w:hideMark/>
          </w:tcPr>
          <w:p w14:paraId="05B9EB34" w14:textId="77777777" w:rsidR="003C2D23" w:rsidRDefault="003C2D23" w:rsidP="003C2D23">
            <w:pPr>
              <w:rPr>
                <w:sz w:val="20"/>
                <w:szCs w:val="20"/>
              </w:rPr>
            </w:pPr>
          </w:p>
        </w:tc>
        <w:tc>
          <w:tcPr>
            <w:tcW w:w="872" w:type="dxa"/>
            <w:tcBorders>
              <w:top w:val="nil"/>
              <w:left w:val="single" w:sz="4" w:space="0" w:color="auto"/>
              <w:bottom w:val="nil"/>
              <w:right w:val="single" w:sz="4" w:space="0" w:color="auto"/>
            </w:tcBorders>
            <w:shd w:val="clear" w:color="auto" w:fill="auto"/>
            <w:noWrap/>
            <w:vAlign w:val="bottom"/>
            <w:hideMark/>
          </w:tcPr>
          <w:p w14:paraId="4880DCC4" w14:textId="77777777" w:rsidR="003C2D23" w:rsidRDefault="003C2D23" w:rsidP="003C2D23">
            <w:pPr>
              <w:jc w:val="right"/>
              <w:rPr>
                <w:color w:val="000000"/>
                <w:sz w:val="22"/>
                <w:szCs w:val="22"/>
              </w:rPr>
            </w:pPr>
            <w:r>
              <w:rPr>
                <w:color w:val="000000"/>
                <w:sz w:val="22"/>
                <w:szCs w:val="22"/>
              </w:rPr>
              <w:t>1.78</w:t>
            </w:r>
          </w:p>
        </w:tc>
        <w:tc>
          <w:tcPr>
            <w:tcW w:w="425" w:type="dxa"/>
            <w:tcBorders>
              <w:top w:val="nil"/>
              <w:left w:val="single" w:sz="4" w:space="0" w:color="auto"/>
              <w:bottom w:val="nil"/>
              <w:right w:val="single" w:sz="4" w:space="0" w:color="auto"/>
            </w:tcBorders>
            <w:shd w:val="clear" w:color="auto" w:fill="auto"/>
            <w:noWrap/>
            <w:vAlign w:val="bottom"/>
            <w:hideMark/>
          </w:tcPr>
          <w:p w14:paraId="12A231DC" w14:textId="77777777" w:rsidR="003C2D23" w:rsidRDefault="003C2D23" w:rsidP="003C2D23">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735F728D" w14:textId="77777777" w:rsidR="003C2D23" w:rsidRDefault="003C2D23" w:rsidP="003C2D23">
            <w:pPr>
              <w:jc w:val="right"/>
              <w:rPr>
                <w:color w:val="000000"/>
                <w:sz w:val="22"/>
                <w:szCs w:val="22"/>
              </w:rPr>
            </w:pPr>
            <w:r>
              <w:rPr>
                <w:color w:val="000000"/>
                <w:sz w:val="22"/>
                <w:szCs w:val="22"/>
              </w:rPr>
              <w:t>0.18</w:t>
            </w:r>
          </w:p>
        </w:tc>
      </w:tr>
      <w:tr w:rsidR="003C2D23" w14:paraId="035BB2C8"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20531F7E" w14:textId="77777777" w:rsidR="003C2D23" w:rsidRDefault="003C2D23" w:rsidP="003C2D23">
            <w:pPr>
              <w:jc w:val="right"/>
              <w:rPr>
                <w:color w:val="000000"/>
                <w:sz w:val="22"/>
                <w:szCs w:val="22"/>
              </w:rPr>
            </w:pPr>
          </w:p>
        </w:tc>
        <w:tc>
          <w:tcPr>
            <w:tcW w:w="2658" w:type="dxa"/>
            <w:tcBorders>
              <w:top w:val="nil"/>
              <w:left w:val="nil"/>
              <w:bottom w:val="nil"/>
              <w:right w:val="single" w:sz="4" w:space="0" w:color="auto"/>
            </w:tcBorders>
            <w:shd w:val="clear" w:color="auto" w:fill="auto"/>
            <w:noWrap/>
            <w:vAlign w:val="bottom"/>
            <w:hideMark/>
          </w:tcPr>
          <w:p w14:paraId="2FEBD5C7" w14:textId="0D162CBC" w:rsidR="003C2D23" w:rsidRDefault="003C2D23" w:rsidP="003C2D23">
            <w:pPr>
              <w:rPr>
                <w:color w:val="000000"/>
                <w:sz w:val="22"/>
                <w:szCs w:val="22"/>
              </w:rPr>
            </w:pPr>
            <w:r>
              <w:rPr>
                <w:color w:val="000000"/>
                <w:sz w:val="22"/>
                <w:szCs w:val="22"/>
              </w:rPr>
              <w:t>Nominal Exchange Rate</w:t>
            </w:r>
          </w:p>
        </w:tc>
        <w:tc>
          <w:tcPr>
            <w:tcW w:w="720" w:type="dxa"/>
            <w:tcBorders>
              <w:top w:val="nil"/>
              <w:left w:val="single" w:sz="4" w:space="0" w:color="auto"/>
              <w:bottom w:val="nil"/>
              <w:right w:val="single" w:sz="4" w:space="0" w:color="auto"/>
            </w:tcBorders>
            <w:shd w:val="clear" w:color="auto" w:fill="auto"/>
            <w:noWrap/>
            <w:vAlign w:val="bottom"/>
            <w:hideMark/>
          </w:tcPr>
          <w:p w14:paraId="05750532" w14:textId="77777777" w:rsidR="003C2D23" w:rsidRDefault="003C2D23" w:rsidP="003C2D23">
            <w:pPr>
              <w:rPr>
                <w:color w:val="000000"/>
                <w:sz w:val="22"/>
                <w:szCs w:val="22"/>
              </w:rPr>
            </w:pPr>
          </w:p>
        </w:tc>
        <w:tc>
          <w:tcPr>
            <w:tcW w:w="494" w:type="dxa"/>
            <w:tcBorders>
              <w:top w:val="nil"/>
              <w:left w:val="single" w:sz="4" w:space="0" w:color="auto"/>
              <w:bottom w:val="nil"/>
              <w:right w:val="single" w:sz="4" w:space="0" w:color="auto"/>
            </w:tcBorders>
            <w:shd w:val="clear" w:color="auto" w:fill="auto"/>
            <w:noWrap/>
            <w:vAlign w:val="bottom"/>
            <w:hideMark/>
          </w:tcPr>
          <w:p w14:paraId="7554F0BB" w14:textId="77777777" w:rsidR="003C2D23" w:rsidRDefault="003C2D23" w:rsidP="003C2D23">
            <w:pPr>
              <w:rPr>
                <w:sz w:val="20"/>
                <w:szCs w:val="20"/>
              </w:rPr>
            </w:pPr>
          </w:p>
        </w:tc>
        <w:tc>
          <w:tcPr>
            <w:tcW w:w="676" w:type="dxa"/>
            <w:tcBorders>
              <w:top w:val="nil"/>
              <w:left w:val="single" w:sz="4" w:space="0" w:color="auto"/>
              <w:bottom w:val="nil"/>
              <w:right w:val="single" w:sz="4" w:space="0" w:color="auto"/>
            </w:tcBorders>
            <w:shd w:val="clear" w:color="auto" w:fill="auto"/>
            <w:noWrap/>
            <w:vAlign w:val="bottom"/>
            <w:hideMark/>
          </w:tcPr>
          <w:p w14:paraId="56A41E28" w14:textId="77777777" w:rsidR="003C2D23" w:rsidRDefault="003C2D23" w:rsidP="003C2D23">
            <w:pPr>
              <w:rPr>
                <w:sz w:val="20"/>
                <w:szCs w:val="20"/>
              </w:rPr>
            </w:pPr>
          </w:p>
        </w:tc>
        <w:tc>
          <w:tcPr>
            <w:tcW w:w="720" w:type="dxa"/>
            <w:tcBorders>
              <w:top w:val="nil"/>
              <w:left w:val="single" w:sz="4" w:space="0" w:color="auto"/>
              <w:bottom w:val="nil"/>
              <w:right w:val="single" w:sz="4" w:space="0" w:color="auto"/>
            </w:tcBorders>
            <w:shd w:val="clear" w:color="auto" w:fill="auto"/>
            <w:noWrap/>
            <w:vAlign w:val="bottom"/>
            <w:hideMark/>
          </w:tcPr>
          <w:p w14:paraId="7125D7D8" w14:textId="77777777" w:rsidR="003C2D23" w:rsidRDefault="003C2D23" w:rsidP="003C2D23">
            <w:pPr>
              <w:rPr>
                <w:sz w:val="20"/>
                <w:szCs w:val="20"/>
              </w:rPr>
            </w:pPr>
          </w:p>
        </w:tc>
        <w:tc>
          <w:tcPr>
            <w:tcW w:w="549" w:type="dxa"/>
            <w:tcBorders>
              <w:top w:val="nil"/>
              <w:left w:val="single" w:sz="4" w:space="0" w:color="auto"/>
              <w:bottom w:val="nil"/>
              <w:right w:val="single" w:sz="4" w:space="0" w:color="auto"/>
            </w:tcBorders>
            <w:shd w:val="clear" w:color="auto" w:fill="auto"/>
            <w:noWrap/>
            <w:vAlign w:val="bottom"/>
            <w:hideMark/>
          </w:tcPr>
          <w:p w14:paraId="53D66836" w14:textId="77777777" w:rsidR="003C2D23" w:rsidRDefault="003C2D23" w:rsidP="003C2D23">
            <w:pPr>
              <w:rPr>
                <w:sz w:val="20"/>
                <w:szCs w:val="20"/>
              </w:rPr>
            </w:pPr>
          </w:p>
        </w:tc>
        <w:tc>
          <w:tcPr>
            <w:tcW w:w="649" w:type="dxa"/>
            <w:tcBorders>
              <w:top w:val="nil"/>
              <w:left w:val="single" w:sz="4" w:space="0" w:color="auto"/>
              <w:bottom w:val="nil"/>
              <w:right w:val="single" w:sz="4" w:space="0" w:color="auto"/>
            </w:tcBorders>
            <w:shd w:val="clear" w:color="auto" w:fill="auto"/>
            <w:noWrap/>
            <w:vAlign w:val="bottom"/>
            <w:hideMark/>
          </w:tcPr>
          <w:p w14:paraId="6368CB70" w14:textId="77777777" w:rsidR="003C2D23" w:rsidRDefault="003C2D23" w:rsidP="003C2D23">
            <w:pPr>
              <w:rPr>
                <w:sz w:val="20"/>
                <w:szCs w:val="20"/>
              </w:rPr>
            </w:pPr>
          </w:p>
        </w:tc>
        <w:tc>
          <w:tcPr>
            <w:tcW w:w="872" w:type="dxa"/>
            <w:tcBorders>
              <w:top w:val="nil"/>
              <w:left w:val="single" w:sz="4" w:space="0" w:color="auto"/>
              <w:bottom w:val="nil"/>
              <w:right w:val="single" w:sz="4" w:space="0" w:color="auto"/>
            </w:tcBorders>
            <w:shd w:val="clear" w:color="auto" w:fill="auto"/>
            <w:noWrap/>
            <w:vAlign w:val="bottom"/>
            <w:hideMark/>
          </w:tcPr>
          <w:p w14:paraId="46517023" w14:textId="77777777" w:rsidR="003C2D23" w:rsidRDefault="003C2D23" w:rsidP="003C2D23">
            <w:pPr>
              <w:jc w:val="right"/>
              <w:rPr>
                <w:color w:val="000000"/>
                <w:sz w:val="22"/>
                <w:szCs w:val="22"/>
              </w:rPr>
            </w:pPr>
            <w:r>
              <w:rPr>
                <w:color w:val="000000"/>
                <w:sz w:val="22"/>
                <w:szCs w:val="22"/>
              </w:rPr>
              <w:t>0.06</w:t>
            </w:r>
          </w:p>
        </w:tc>
        <w:tc>
          <w:tcPr>
            <w:tcW w:w="425" w:type="dxa"/>
            <w:tcBorders>
              <w:top w:val="nil"/>
              <w:left w:val="single" w:sz="4" w:space="0" w:color="auto"/>
              <w:bottom w:val="nil"/>
              <w:right w:val="single" w:sz="4" w:space="0" w:color="auto"/>
            </w:tcBorders>
            <w:shd w:val="clear" w:color="auto" w:fill="auto"/>
            <w:noWrap/>
            <w:vAlign w:val="bottom"/>
            <w:hideMark/>
          </w:tcPr>
          <w:p w14:paraId="3D47D07F" w14:textId="77777777" w:rsidR="003C2D23" w:rsidRDefault="003C2D23" w:rsidP="003C2D23">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0716738E" w14:textId="77777777" w:rsidR="003C2D23" w:rsidRDefault="003C2D23" w:rsidP="003C2D23">
            <w:pPr>
              <w:jc w:val="right"/>
              <w:rPr>
                <w:color w:val="000000"/>
                <w:sz w:val="22"/>
                <w:szCs w:val="22"/>
              </w:rPr>
            </w:pPr>
            <w:r>
              <w:rPr>
                <w:color w:val="000000"/>
                <w:sz w:val="22"/>
                <w:szCs w:val="22"/>
              </w:rPr>
              <w:t>0.81</w:t>
            </w:r>
          </w:p>
        </w:tc>
      </w:tr>
      <w:tr w:rsidR="003C2D23" w14:paraId="655628AE" w14:textId="77777777" w:rsidTr="009634C4">
        <w:trPr>
          <w:trHeight w:val="288"/>
        </w:trPr>
        <w:tc>
          <w:tcPr>
            <w:tcW w:w="1117" w:type="dxa"/>
            <w:tcBorders>
              <w:top w:val="nil"/>
              <w:left w:val="single" w:sz="4" w:space="0" w:color="auto"/>
              <w:bottom w:val="single" w:sz="4" w:space="0" w:color="auto"/>
              <w:right w:val="nil"/>
            </w:tcBorders>
            <w:shd w:val="clear" w:color="auto" w:fill="auto"/>
            <w:noWrap/>
            <w:vAlign w:val="bottom"/>
            <w:hideMark/>
          </w:tcPr>
          <w:p w14:paraId="6FE64BDD" w14:textId="77777777" w:rsidR="003C2D23" w:rsidRDefault="003C2D23" w:rsidP="003C2D23">
            <w:pPr>
              <w:jc w:val="right"/>
              <w:rPr>
                <w:color w:val="000000"/>
                <w:sz w:val="22"/>
                <w:szCs w:val="22"/>
              </w:rPr>
            </w:pPr>
          </w:p>
        </w:tc>
        <w:tc>
          <w:tcPr>
            <w:tcW w:w="2658" w:type="dxa"/>
            <w:tcBorders>
              <w:top w:val="nil"/>
              <w:left w:val="nil"/>
              <w:bottom w:val="single" w:sz="4" w:space="0" w:color="auto"/>
              <w:right w:val="single" w:sz="4" w:space="0" w:color="auto"/>
            </w:tcBorders>
            <w:shd w:val="clear" w:color="auto" w:fill="auto"/>
            <w:noWrap/>
            <w:vAlign w:val="bottom"/>
            <w:hideMark/>
          </w:tcPr>
          <w:p w14:paraId="70F959BD" w14:textId="77777777" w:rsidR="003C2D23" w:rsidRDefault="003C2D23" w:rsidP="003C2D23">
            <w:pPr>
              <w:rPr>
                <w:color w:val="000000"/>
                <w:sz w:val="22"/>
                <w:szCs w:val="22"/>
              </w:rPr>
            </w:pPr>
            <w:r>
              <w:rPr>
                <w:color w:val="000000"/>
                <w:sz w:val="22"/>
                <w:szCs w:val="22"/>
              </w:rPr>
              <w:t>ALL</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8F49CA0" w14:textId="77777777" w:rsidR="003C2D23" w:rsidRDefault="003C2D23" w:rsidP="003C2D23">
            <w:pPr>
              <w:jc w:val="right"/>
              <w:rPr>
                <w:color w:val="000000"/>
                <w:sz w:val="22"/>
                <w:szCs w:val="22"/>
              </w:rPr>
            </w:pPr>
            <w:r>
              <w:rPr>
                <w:color w:val="000000"/>
                <w:sz w:val="22"/>
                <w:szCs w:val="22"/>
              </w:rPr>
              <w:t>12.13</w:t>
            </w:r>
          </w:p>
        </w:tc>
        <w:tc>
          <w:tcPr>
            <w:tcW w:w="494" w:type="dxa"/>
            <w:tcBorders>
              <w:top w:val="nil"/>
              <w:left w:val="single" w:sz="4" w:space="0" w:color="auto"/>
              <w:bottom w:val="single" w:sz="4" w:space="0" w:color="auto"/>
              <w:right w:val="single" w:sz="4" w:space="0" w:color="auto"/>
            </w:tcBorders>
            <w:shd w:val="clear" w:color="auto" w:fill="auto"/>
            <w:noWrap/>
            <w:vAlign w:val="bottom"/>
            <w:hideMark/>
          </w:tcPr>
          <w:p w14:paraId="4B296E6E" w14:textId="77777777" w:rsidR="003C2D23" w:rsidRDefault="003C2D23" w:rsidP="003C2D23">
            <w:pPr>
              <w:jc w:val="right"/>
              <w:rPr>
                <w:color w:val="000000"/>
                <w:sz w:val="22"/>
                <w:szCs w:val="22"/>
              </w:rPr>
            </w:pPr>
            <w:r>
              <w:rPr>
                <w:color w:val="000000"/>
                <w:sz w:val="22"/>
                <w:szCs w:val="22"/>
              </w:rPr>
              <w:t>1</w:t>
            </w:r>
          </w:p>
        </w:tc>
        <w:tc>
          <w:tcPr>
            <w:tcW w:w="676" w:type="dxa"/>
            <w:tcBorders>
              <w:top w:val="nil"/>
              <w:left w:val="single" w:sz="4" w:space="0" w:color="auto"/>
              <w:bottom w:val="single" w:sz="4" w:space="0" w:color="auto"/>
              <w:right w:val="single" w:sz="4" w:space="0" w:color="auto"/>
            </w:tcBorders>
            <w:shd w:val="clear" w:color="auto" w:fill="auto"/>
            <w:noWrap/>
            <w:vAlign w:val="bottom"/>
            <w:hideMark/>
          </w:tcPr>
          <w:p w14:paraId="0F7E56AB" w14:textId="77777777" w:rsidR="003C2D23" w:rsidRDefault="003C2D23" w:rsidP="003C2D23">
            <w:pPr>
              <w:jc w:val="right"/>
              <w:rPr>
                <w:color w:val="000000"/>
                <w:sz w:val="22"/>
                <w:szCs w:val="22"/>
              </w:rPr>
            </w:pPr>
            <w:r>
              <w:rPr>
                <w:color w:val="000000"/>
                <w:sz w:val="22"/>
                <w:szCs w:val="22"/>
              </w:rPr>
              <w:t>0.00</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CCF9664" w14:textId="77777777" w:rsidR="003C2D23" w:rsidRDefault="003C2D23" w:rsidP="003C2D23">
            <w:pPr>
              <w:jc w:val="right"/>
              <w:rPr>
                <w:color w:val="000000"/>
                <w:sz w:val="22"/>
                <w:szCs w:val="22"/>
              </w:rPr>
            </w:pPr>
            <w:r>
              <w:rPr>
                <w:color w:val="000000"/>
                <w:sz w:val="22"/>
                <w:szCs w:val="22"/>
              </w:rPr>
              <w:t>4.33</w:t>
            </w:r>
          </w:p>
        </w:tc>
        <w:tc>
          <w:tcPr>
            <w:tcW w:w="549" w:type="dxa"/>
            <w:tcBorders>
              <w:top w:val="nil"/>
              <w:left w:val="single" w:sz="4" w:space="0" w:color="auto"/>
              <w:bottom w:val="single" w:sz="4" w:space="0" w:color="auto"/>
              <w:right w:val="single" w:sz="4" w:space="0" w:color="auto"/>
            </w:tcBorders>
            <w:shd w:val="clear" w:color="auto" w:fill="auto"/>
            <w:noWrap/>
            <w:vAlign w:val="bottom"/>
            <w:hideMark/>
          </w:tcPr>
          <w:p w14:paraId="42C963FA" w14:textId="77777777" w:rsidR="003C2D23" w:rsidRDefault="003C2D23" w:rsidP="003C2D23">
            <w:pPr>
              <w:jc w:val="right"/>
              <w:rPr>
                <w:color w:val="000000"/>
                <w:sz w:val="22"/>
                <w:szCs w:val="22"/>
              </w:rPr>
            </w:pPr>
            <w:r>
              <w:rPr>
                <w:color w:val="000000"/>
                <w:sz w:val="22"/>
                <w:szCs w:val="22"/>
              </w:rPr>
              <w:t>2</w:t>
            </w:r>
          </w:p>
        </w:tc>
        <w:tc>
          <w:tcPr>
            <w:tcW w:w="649" w:type="dxa"/>
            <w:tcBorders>
              <w:top w:val="nil"/>
              <w:left w:val="single" w:sz="4" w:space="0" w:color="auto"/>
              <w:bottom w:val="single" w:sz="4" w:space="0" w:color="auto"/>
              <w:right w:val="single" w:sz="4" w:space="0" w:color="auto"/>
            </w:tcBorders>
            <w:shd w:val="clear" w:color="auto" w:fill="auto"/>
            <w:noWrap/>
            <w:vAlign w:val="bottom"/>
            <w:hideMark/>
          </w:tcPr>
          <w:p w14:paraId="430D4C28" w14:textId="77777777" w:rsidR="003C2D23" w:rsidRDefault="003C2D23" w:rsidP="003C2D23">
            <w:pPr>
              <w:jc w:val="right"/>
              <w:rPr>
                <w:color w:val="000000"/>
                <w:sz w:val="22"/>
                <w:szCs w:val="22"/>
              </w:rPr>
            </w:pPr>
            <w:r>
              <w:rPr>
                <w:color w:val="000000"/>
                <w:sz w:val="22"/>
                <w:szCs w:val="22"/>
              </w:rPr>
              <w:t>0.12</w:t>
            </w:r>
          </w:p>
        </w:tc>
        <w:tc>
          <w:tcPr>
            <w:tcW w:w="872" w:type="dxa"/>
            <w:tcBorders>
              <w:top w:val="nil"/>
              <w:left w:val="single" w:sz="4" w:space="0" w:color="auto"/>
              <w:bottom w:val="single" w:sz="4" w:space="0" w:color="auto"/>
              <w:right w:val="single" w:sz="4" w:space="0" w:color="auto"/>
            </w:tcBorders>
            <w:shd w:val="clear" w:color="auto" w:fill="auto"/>
            <w:noWrap/>
            <w:vAlign w:val="bottom"/>
            <w:hideMark/>
          </w:tcPr>
          <w:p w14:paraId="702F684E" w14:textId="77777777" w:rsidR="003C2D23" w:rsidRDefault="003C2D23" w:rsidP="003C2D23">
            <w:pPr>
              <w:jc w:val="right"/>
              <w:rPr>
                <w:color w:val="000000"/>
                <w:sz w:val="22"/>
                <w:szCs w:val="22"/>
              </w:rPr>
            </w:pPr>
            <w:r>
              <w:rPr>
                <w:color w:val="000000"/>
                <w:sz w:val="22"/>
                <w:szCs w:val="22"/>
              </w:rPr>
              <w:t>48.39</w:t>
            </w:r>
          </w:p>
        </w:tc>
        <w:tc>
          <w:tcPr>
            <w:tcW w:w="425" w:type="dxa"/>
            <w:tcBorders>
              <w:top w:val="nil"/>
              <w:left w:val="single" w:sz="4" w:space="0" w:color="auto"/>
              <w:bottom w:val="single" w:sz="4" w:space="0" w:color="auto"/>
              <w:right w:val="single" w:sz="4" w:space="0" w:color="auto"/>
            </w:tcBorders>
            <w:shd w:val="clear" w:color="auto" w:fill="auto"/>
            <w:noWrap/>
            <w:vAlign w:val="bottom"/>
            <w:hideMark/>
          </w:tcPr>
          <w:p w14:paraId="65C16701" w14:textId="77777777" w:rsidR="003C2D23" w:rsidRDefault="003C2D23" w:rsidP="003C2D23">
            <w:pPr>
              <w:jc w:val="right"/>
              <w:rPr>
                <w:color w:val="000000"/>
                <w:sz w:val="22"/>
                <w:szCs w:val="22"/>
              </w:rPr>
            </w:pPr>
            <w:r>
              <w:rPr>
                <w:color w:val="000000"/>
                <w:sz w:val="22"/>
                <w:szCs w:val="22"/>
              </w:rPr>
              <w:t>4</w:t>
            </w:r>
          </w:p>
        </w:tc>
        <w:tc>
          <w:tcPr>
            <w:tcW w:w="650" w:type="dxa"/>
            <w:tcBorders>
              <w:top w:val="nil"/>
              <w:left w:val="single" w:sz="4" w:space="0" w:color="auto"/>
              <w:bottom w:val="single" w:sz="4" w:space="0" w:color="auto"/>
              <w:right w:val="single" w:sz="4" w:space="0" w:color="auto"/>
            </w:tcBorders>
            <w:shd w:val="clear" w:color="auto" w:fill="auto"/>
            <w:noWrap/>
            <w:vAlign w:val="bottom"/>
            <w:hideMark/>
          </w:tcPr>
          <w:p w14:paraId="47997624" w14:textId="77777777" w:rsidR="003C2D23" w:rsidRDefault="003C2D23" w:rsidP="003C2D23">
            <w:pPr>
              <w:jc w:val="right"/>
              <w:rPr>
                <w:color w:val="000000"/>
                <w:sz w:val="22"/>
                <w:szCs w:val="22"/>
              </w:rPr>
            </w:pPr>
            <w:r>
              <w:rPr>
                <w:color w:val="000000"/>
                <w:sz w:val="22"/>
                <w:szCs w:val="22"/>
              </w:rPr>
              <w:t>0.00</w:t>
            </w:r>
          </w:p>
        </w:tc>
      </w:tr>
      <w:tr w:rsidR="003C2D23" w14:paraId="094872BA" w14:textId="77777777" w:rsidTr="009634C4">
        <w:trPr>
          <w:trHeight w:val="288"/>
        </w:trPr>
        <w:tc>
          <w:tcPr>
            <w:tcW w:w="3775" w:type="dxa"/>
            <w:gridSpan w:val="2"/>
            <w:tcBorders>
              <w:top w:val="single" w:sz="4" w:space="0" w:color="auto"/>
              <w:left w:val="single" w:sz="4" w:space="0" w:color="auto"/>
              <w:bottom w:val="nil"/>
              <w:right w:val="single" w:sz="4" w:space="0" w:color="auto"/>
            </w:tcBorders>
            <w:shd w:val="clear" w:color="auto" w:fill="auto"/>
            <w:noWrap/>
            <w:vAlign w:val="bottom"/>
            <w:hideMark/>
          </w:tcPr>
          <w:p w14:paraId="454EB138" w14:textId="137B8BAA" w:rsidR="003C2D23" w:rsidRPr="003C2D23" w:rsidRDefault="003C2D23" w:rsidP="003C2D23">
            <w:pPr>
              <w:rPr>
                <w:b/>
                <w:bCs/>
                <w:color w:val="000000"/>
                <w:sz w:val="22"/>
                <w:szCs w:val="22"/>
              </w:rPr>
            </w:pPr>
            <w:r w:rsidRPr="003C2D23">
              <w:rPr>
                <w:b/>
                <w:bCs/>
                <w:color w:val="000000"/>
                <w:sz w:val="22"/>
                <w:szCs w:val="22"/>
              </w:rPr>
              <w:t>Real Interest Rate</w:t>
            </w:r>
          </w:p>
        </w:tc>
        <w:tc>
          <w:tcPr>
            <w:tcW w:w="720" w:type="dxa"/>
            <w:tcBorders>
              <w:top w:val="single" w:sz="4" w:space="0" w:color="auto"/>
              <w:left w:val="single" w:sz="4" w:space="0" w:color="auto"/>
              <w:bottom w:val="nil"/>
              <w:right w:val="nil"/>
            </w:tcBorders>
            <w:shd w:val="clear" w:color="auto" w:fill="auto"/>
            <w:noWrap/>
            <w:vAlign w:val="bottom"/>
            <w:hideMark/>
          </w:tcPr>
          <w:p w14:paraId="76F19405" w14:textId="77777777" w:rsidR="003C2D23" w:rsidRDefault="003C2D23" w:rsidP="003C2D23">
            <w:pPr>
              <w:rPr>
                <w:sz w:val="20"/>
                <w:szCs w:val="20"/>
              </w:rPr>
            </w:pPr>
          </w:p>
        </w:tc>
        <w:tc>
          <w:tcPr>
            <w:tcW w:w="494" w:type="dxa"/>
            <w:tcBorders>
              <w:top w:val="single" w:sz="4" w:space="0" w:color="auto"/>
              <w:left w:val="nil"/>
              <w:bottom w:val="nil"/>
              <w:right w:val="nil"/>
            </w:tcBorders>
            <w:shd w:val="clear" w:color="auto" w:fill="auto"/>
            <w:noWrap/>
            <w:vAlign w:val="bottom"/>
            <w:hideMark/>
          </w:tcPr>
          <w:p w14:paraId="2CC88C7D" w14:textId="77777777" w:rsidR="003C2D23" w:rsidRDefault="003C2D23" w:rsidP="003C2D23">
            <w:pPr>
              <w:rPr>
                <w:sz w:val="20"/>
                <w:szCs w:val="20"/>
              </w:rPr>
            </w:pPr>
          </w:p>
        </w:tc>
        <w:tc>
          <w:tcPr>
            <w:tcW w:w="676" w:type="dxa"/>
            <w:tcBorders>
              <w:top w:val="single" w:sz="4" w:space="0" w:color="auto"/>
              <w:left w:val="nil"/>
              <w:bottom w:val="nil"/>
              <w:right w:val="single" w:sz="4" w:space="0" w:color="auto"/>
            </w:tcBorders>
            <w:shd w:val="clear" w:color="auto" w:fill="auto"/>
            <w:noWrap/>
            <w:vAlign w:val="bottom"/>
            <w:hideMark/>
          </w:tcPr>
          <w:p w14:paraId="24C256E0" w14:textId="77777777" w:rsidR="003C2D23" w:rsidRDefault="003C2D23" w:rsidP="003C2D23">
            <w:pPr>
              <w:rPr>
                <w:sz w:val="20"/>
                <w:szCs w:val="20"/>
              </w:rPr>
            </w:pPr>
          </w:p>
        </w:tc>
        <w:tc>
          <w:tcPr>
            <w:tcW w:w="720" w:type="dxa"/>
            <w:tcBorders>
              <w:top w:val="single" w:sz="4" w:space="0" w:color="auto"/>
              <w:left w:val="single" w:sz="4" w:space="0" w:color="auto"/>
              <w:bottom w:val="nil"/>
              <w:right w:val="nil"/>
            </w:tcBorders>
            <w:shd w:val="clear" w:color="auto" w:fill="auto"/>
            <w:noWrap/>
            <w:vAlign w:val="bottom"/>
            <w:hideMark/>
          </w:tcPr>
          <w:p w14:paraId="4E8BA372" w14:textId="77777777" w:rsidR="003C2D23" w:rsidRDefault="003C2D23" w:rsidP="003C2D23">
            <w:pPr>
              <w:rPr>
                <w:sz w:val="20"/>
                <w:szCs w:val="20"/>
              </w:rPr>
            </w:pPr>
          </w:p>
        </w:tc>
        <w:tc>
          <w:tcPr>
            <w:tcW w:w="549" w:type="dxa"/>
            <w:tcBorders>
              <w:top w:val="single" w:sz="4" w:space="0" w:color="auto"/>
              <w:left w:val="nil"/>
              <w:bottom w:val="nil"/>
              <w:right w:val="nil"/>
            </w:tcBorders>
            <w:shd w:val="clear" w:color="auto" w:fill="auto"/>
            <w:noWrap/>
            <w:vAlign w:val="bottom"/>
            <w:hideMark/>
          </w:tcPr>
          <w:p w14:paraId="5E0A1E9C" w14:textId="77777777" w:rsidR="003C2D23" w:rsidRDefault="003C2D23" w:rsidP="003C2D23">
            <w:pPr>
              <w:rPr>
                <w:sz w:val="20"/>
                <w:szCs w:val="20"/>
              </w:rPr>
            </w:pPr>
          </w:p>
        </w:tc>
        <w:tc>
          <w:tcPr>
            <w:tcW w:w="649" w:type="dxa"/>
            <w:tcBorders>
              <w:top w:val="single" w:sz="4" w:space="0" w:color="auto"/>
              <w:left w:val="nil"/>
              <w:bottom w:val="nil"/>
              <w:right w:val="single" w:sz="4" w:space="0" w:color="auto"/>
            </w:tcBorders>
            <w:shd w:val="clear" w:color="auto" w:fill="auto"/>
            <w:noWrap/>
            <w:vAlign w:val="bottom"/>
            <w:hideMark/>
          </w:tcPr>
          <w:p w14:paraId="45452A7A" w14:textId="77777777" w:rsidR="003C2D23" w:rsidRDefault="003C2D23" w:rsidP="003C2D23">
            <w:pPr>
              <w:rPr>
                <w:sz w:val="20"/>
                <w:szCs w:val="20"/>
              </w:rPr>
            </w:pPr>
          </w:p>
        </w:tc>
        <w:tc>
          <w:tcPr>
            <w:tcW w:w="872" w:type="dxa"/>
            <w:tcBorders>
              <w:top w:val="single" w:sz="4" w:space="0" w:color="auto"/>
              <w:left w:val="single" w:sz="4" w:space="0" w:color="auto"/>
              <w:bottom w:val="nil"/>
              <w:right w:val="single" w:sz="4" w:space="0" w:color="auto"/>
            </w:tcBorders>
            <w:shd w:val="clear" w:color="auto" w:fill="auto"/>
            <w:noWrap/>
            <w:vAlign w:val="bottom"/>
            <w:hideMark/>
          </w:tcPr>
          <w:p w14:paraId="097B6211" w14:textId="77777777" w:rsidR="003C2D23" w:rsidRDefault="003C2D23" w:rsidP="003C2D23">
            <w:pPr>
              <w:rPr>
                <w:sz w:val="20"/>
                <w:szCs w:val="20"/>
              </w:rPr>
            </w:pPr>
          </w:p>
        </w:tc>
        <w:tc>
          <w:tcPr>
            <w:tcW w:w="425" w:type="dxa"/>
            <w:tcBorders>
              <w:top w:val="single" w:sz="4" w:space="0" w:color="auto"/>
              <w:left w:val="single" w:sz="4" w:space="0" w:color="auto"/>
              <w:bottom w:val="nil"/>
              <w:right w:val="single" w:sz="4" w:space="0" w:color="auto"/>
            </w:tcBorders>
            <w:shd w:val="clear" w:color="auto" w:fill="auto"/>
            <w:noWrap/>
            <w:vAlign w:val="bottom"/>
            <w:hideMark/>
          </w:tcPr>
          <w:p w14:paraId="5D6DCE30" w14:textId="77777777" w:rsidR="003C2D23" w:rsidRDefault="003C2D23" w:rsidP="003C2D23">
            <w:pPr>
              <w:rPr>
                <w:sz w:val="20"/>
                <w:szCs w:val="20"/>
              </w:rPr>
            </w:pPr>
          </w:p>
        </w:tc>
        <w:tc>
          <w:tcPr>
            <w:tcW w:w="650" w:type="dxa"/>
            <w:tcBorders>
              <w:top w:val="single" w:sz="4" w:space="0" w:color="auto"/>
              <w:left w:val="single" w:sz="4" w:space="0" w:color="auto"/>
              <w:bottom w:val="nil"/>
              <w:right w:val="single" w:sz="4" w:space="0" w:color="auto"/>
            </w:tcBorders>
            <w:shd w:val="clear" w:color="auto" w:fill="auto"/>
            <w:noWrap/>
            <w:vAlign w:val="bottom"/>
            <w:hideMark/>
          </w:tcPr>
          <w:p w14:paraId="588BE120" w14:textId="77777777" w:rsidR="003C2D23" w:rsidRDefault="003C2D23" w:rsidP="003C2D23">
            <w:pPr>
              <w:rPr>
                <w:sz w:val="20"/>
                <w:szCs w:val="20"/>
              </w:rPr>
            </w:pPr>
          </w:p>
        </w:tc>
      </w:tr>
      <w:tr w:rsidR="003C2D23" w14:paraId="3B8A9315"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3B6604D7" w14:textId="77777777" w:rsidR="003C2D23" w:rsidRDefault="003C2D23" w:rsidP="003C2D23">
            <w:pPr>
              <w:rPr>
                <w:sz w:val="20"/>
                <w:szCs w:val="20"/>
              </w:rPr>
            </w:pPr>
          </w:p>
        </w:tc>
        <w:tc>
          <w:tcPr>
            <w:tcW w:w="2658" w:type="dxa"/>
            <w:tcBorders>
              <w:top w:val="nil"/>
              <w:left w:val="nil"/>
              <w:bottom w:val="nil"/>
              <w:right w:val="single" w:sz="4" w:space="0" w:color="auto"/>
            </w:tcBorders>
            <w:shd w:val="clear" w:color="auto" w:fill="auto"/>
            <w:noWrap/>
            <w:vAlign w:val="bottom"/>
            <w:hideMark/>
          </w:tcPr>
          <w:p w14:paraId="53D47995" w14:textId="7FD0A268" w:rsidR="003C2D23" w:rsidRDefault="009634C4" w:rsidP="003C2D23">
            <w:pPr>
              <w:rPr>
                <w:color w:val="000000"/>
                <w:sz w:val="22"/>
                <w:szCs w:val="22"/>
              </w:rPr>
            </w:pPr>
            <w:r>
              <w:rPr>
                <w:color w:val="000000"/>
                <w:sz w:val="22"/>
                <w:szCs w:val="22"/>
              </w:rPr>
              <w:t>Prime Saver</w:t>
            </w:r>
          </w:p>
        </w:tc>
        <w:tc>
          <w:tcPr>
            <w:tcW w:w="720" w:type="dxa"/>
            <w:tcBorders>
              <w:top w:val="nil"/>
              <w:left w:val="single" w:sz="4" w:space="0" w:color="auto"/>
              <w:bottom w:val="nil"/>
              <w:right w:val="nil"/>
            </w:tcBorders>
            <w:shd w:val="clear" w:color="auto" w:fill="auto"/>
            <w:noWrap/>
            <w:vAlign w:val="bottom"/>
            <w:hideMark/>
          </w:tcPr>
          <w:p w14:paraId="19491BED" w14:textId="77777777" w:rsidR="003C2D23" w:rsidRDefault="003C2D23" w:rsidP="003C2D23">
            <w:pPr>
              <w:rPr>
                <w:color w:val="000000"/>
                <w:sz w:val="22"/>
                <w:szCs w:val="22"/>
              </w:rPr>
            </w:pPr>
          </w:p>
        </w:tc>
        <w:tc>
          <w:tcPr>
            <w:tcW w:w="494" w:type="dxa"/>
            <w:tcBorders>
              <w:top w:val="nil"/>
              <w:left w:val="nil"/>
              <w:bottom w:val="nil"/>
              <w:right w:val="nil"/>
            </w:tcBorders>
            <w:shd w:val="clear" w:color="auto" w:fill="auto"/>
            <w:noWrap/>
            <w:vAlign w:val="bottom"/>
            <w:hideMark/>
          </w:tcPr>
          <w:p w14:paraId="24C121ED" w14:textId="77777777" w:rsidR="003C2D23" w:rsidRDefault="003C2D23" w:rsidP="003C2D23">
            <w:pPr>
              <w:rPr>
                <w:sz w:val="20"/>
                <w:szCs w:val="20"/>
              </w:rPr>
            </w:pPr>
          </w:p>
        </w:tc>
        <w:tc>
          <w:tcPr>
            <w:tcW w:w="676" w:type="dxa"/>
            <w:tcBorders>
              <w:top w:val="nil"/>
              <w:left w:val="nil"/>
              <w:bottom w:val="nil"/>
              <w:right w:val="single" w:sz="4" w:space="0" w:color="auto"/>
            </w:tcBorders>
            <w:shd w:val="clear" w:color="auto" w:fill="auto"/>
            <w:noWrap/>
            <w:vAlign w:val="bottom"/>
            <w:hideMark/>
          </w:tcPr>
          <w:p w14:paraId="203F37DF" w14:textId="77777777" w:rsidR="003C2D23" w:rsidRDefault="003C2D23" w:rsidP="003C2D23">
            <w:pPr>
              <w:rPr>
                <w:sz w:val="20"/>
                <w:szCs w:val="20"/>
              </w:rPr>
            </w:pPr>
          </w:p>
        </w:tc>
        <w:tc>
          <w:tcPr>
            <w:tcW w:w="720" w:type="dxa"/>
            <w:tcBorders>
              <w:top w:val="nil"/>
              <w:left w:val="single" w:sz="4" w:space="0" w:color="auto"/>
              <w:bottom w:val="nil"/>
              <w:right w:val="nil"/>
            </w:tcBorders>
            <w:shd w:val="clear" w:color="auto" w:fill="auto"/>
            <w:noWrap/>
            <w:vAlign w:val="bottom"/>
            <w:hideMark/>
          </w:tcPr>
          <w:p w14:paraId="344F3763" w14:textId="77777777" w:rsidR="003C2D23" w:rsidRDefault="003C2D23" w:rsidP="003C2D23">
            <w:pPr>
              <w:rPr>
                <w:sz w:val="20"/>
                <w:szCs w:val="20"/>
              </w:rPr>
            </w:pPr>
          </w:p>
        </w:tc>
        <w:tc>
          <w:tcPr>
            <w:tcW w:w="549" w:type="dxa"/>
            <w:tcBorders>
              <w:top w:val="nil"/>
              <w:left w:val="nil"/>
              <w:bottom w:val="nil"/>
              <w:right w:val="nil"/>
            </w:tcBorders>
            <w:shd w:val="clear" w:color="auto" w:fill="auto"/>
            <w:noWrap/>
            <w:vAlign w:val="bottom"/>
            <w:hideMark/>
          </w:tcPr>
          <w:p w14:paraId="5E0C8E7B" w14:textId="77777777" w:rsidR="003C2D23" w:rsidRDefault="003C2D23" w:rsidP="003C2D23">
            <w:pPr>
              <w:rPr>
                <w:sz w:val="20"/>
                <w:szCs w:val="20"/>
              </w:rPr>
            </w:pPr>
          </w:p>
        </w:tc>
        <w:tc>
          <w:tcPr>
            <w:tcW w:w="649" w:type="dxa"/>
            <w:tcBorders>
              <w:top w:val="nil"/>
              <w:left w:val="nil"/>
              <w:bottom w:val="nil"/>
              <w:right w:val="single" w:sz="4" w:space="0" w:color="auto"/>
            </w:tcBorders>
            <w:shd w:val="clear" w:color="auto" w:fill="auto"/>
            <w:noWrap/>
            <w:vAlign w:val="bottom"/>
            <w:hideMark/>
          </w:tcPr>
          <w:p w14:paraId="22C2E365" w14:textId="77777777" w:rsidR="003C2D23" w:rsidRDefault="003C2D23" w:rsidP="003C2D23">
            <w:pPr>
              <w:rPr>
                <w:sz w:val="20"/>
                <w:szCs w:val="20"/>
              </w:rPr>
            </w:pPr>
          </w:p>
        </w:tc>
        <w:tc>
          <w:tcPr>
            <w:tcW w:w="872" w:type="dxa"/>
            <w:tcBorders>
              <w:top w:val="nil"/>
              <w:left w:val="single" w:sz="4" w:space="0" w:color="auto"/>
              <w:bottom w:val="nil"/>
              <w:right w:val="single" w:sz="4" w:space="0" w:color="auto"/>
            </w:tcBorders>
            <w:shd w:val="clear" w:color="auto" w:fill="auto"/>
            <w:noWrap/>
            <w:vAlign w:val="bottom"/>
            <w:hideMark/>
          </w:tcPr>
          <w:p w14:paraId="299A63F2" w14:textId="77777777" w:rsidR="003C2D23" w:rsidRDefault="003C2D23" w:rsidP="003C2D23">
            <w:pPr>
              <w:jc w:val="right"/>
              <w:rPr>
                <w:color w:val="000000"/>
                <w:sz w:val="22"/>
                <w:szCs w:val="22"/>
              </w:rPr>
            </w:pPr>
            <w:r>
              <w:rPr>
                <w:color w:val="000000"/>
                <w:sz w:val="22"/>
                <w:szCs w:val="22"/>
              </w:rPr>
              <w:t>5.52</w:t>
            </w:r>
          </w:p>
        </w:tc>
        <w:tc>
          <w:tcPr>
            <w:tcW w:w="425" w:type="dxa"/>
            <w:tcBorders>
              <w:top w:val="nil"/>
              <w:left w:val="single" w:sz="4" w:space="0" w:color="auto"/>
              <w:bottom w:val="nil"/>
              <w:right w:val="single" w:sz="4" w:space="0" w:color="auto"/>
            </w:tcBorders>
            <w:shd w:val="clear" w:color="auto" w:fill="auto"/>
            <w:noWrap/>
            <w:vAlign w:val="bottom"/>
            <w:hideMark/>
          </w:tcPr>
          <w:p w14:paraId="22F914FB" w14:textId="77777777" w:rsidR="003C2D23" w:rsidRDefault="003C2D23" w:rsidP="003C2D23">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48A6A166" w14:textId="77777777" w:rsidR="003C2D23" w:rsidRDefault="003C2D23" w:rsidP="003C2D23">
            <w:pPr>
              <w:jc w:val="right"/>
              <w:rPr>
                <w:color w:val="000000"/>
                <w:sz w:val="22"/>
                <w:szCs w:val="22"/>
              </w:rPr>
            </w:pPr>
            <w:r>
              <w:rPr>
                <w:color w:val="000000"/>
                <w:sz w:val="22"/>
                <w:szCs w:val="22"/>
              </w:rPr>
              <w:t>0.02</w:t>
            </w:r>
          </w:p>
        </w:tc>
      </w:tr>
      <w:tr w:rsidR="003C2D23" w14:paraId="4BE1515F"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4E395BFA" w14:textId="77777777" w:rsidR="003C2D23" w:rsidRDefault="003C2D23" w:rsidP="003C2D23">
            <w:pPr>
              <w:jc w:val="right"/>
              <w:rPr>
                <w:color w:val="000000"/>
                <w:sz w:val="22"/>
                <w:szCs w:val="22"/>
              </w:rPr>
            </w:pPr>
          </w:p>
        </w:tc>
        <w:tc>
          <w:tcPr>
            <w:tcW w:w="2658" w:type="dxa"/>
            <w:tcBorders>
              <w:top w:val="nil"/>
              <w:left w:val="nil"/>
              <w:bottom w:val="nil"/>
              <w:right w:val="single" w:sz="4" w:space="0" w:color="auto"/>
            </w:tcBorders>
            <w:shd w:val="clear" w:color="auto" w:fill="auto"/>
            <w:noWrap/>
            <w:vAlign w:val="bottom"/>
            <w:hideMark/>
          </w:tcPr>
          <w:p w14:paraId="098A6D60" w14:textId="48C1D2B6" w:rsidR="003C2D23" w:rsidRDefault="009634C4" w:rsidP="003C2D23">
            <w:pPr>
              <w:rPr>
                <w:color w:val="000000"/>
                <w:sz w:val="22"/>
                <w:szCs w:val="22"/>
              </w:rPr>
            </w:pPr>
            <w:r>
              <w:rPr>
                <w:color w:val="000000"/>
                <w:sz w:val="22"/>
                <w:szCs w:val="22"/>
              </w:rPr>
              <w:t>Saving-Investment</w:t>
            </w:r>
          </w:p>
        </w:tc>
        <w:tc>
          <w:tcPr>
            <w:tcW w:w="720" w:type="dxa"/>
            <w:tcBorders>
              <w:top w:val="nil"/>
              <w:left w:val="single" w:sz="4" w:space="0" w:color="auto"/>
              <w:bottom w:val="nil"/>
              <w:right w:val="nil"/>
            </w:tcBorders>
            <w:shd w:val="clear" w:color="auto" w:fill="auto"/>
            <w:noWrap/>
            <w:vAlign w:val="bottom"/>
            <w:hideMark/>
          </w:tcPr>
          <w:p w14:paraId="1E92B067" w14:textId="77777777" w:rsidR="003C2D23" w:rsidRDefault="003C2D23" w:rsidP="003C2D23">
            <w:pPr>
              <w:rPr>
                <w:color w:val="000000"/>
                <w:sz w:val="22"/>
                <w:szCs w:val="22"/>
              </w:rPr>
            </w:pPr>
          </w:p>
        </w:tc>
        <w:tc>
          <w:tcPr>
            <w:tcW w:w="494" w:type="dxa"/>
            <w:tcBorders>
              <w:top w:val="nil"/>
              <w:left w:val="nil"/>
              <w:bottom w:val="nil"/>
              <w:right w:val="nil"/>
            </w:tcBorders>
            <w:shd w:val="clear" w:color="auto" w:fill="auto"/>
            <w:noWrap/>
            <w:vAlign w:val="bottom"/>
            <w:hideMark/>
          </w:tcPr>
          <w:p w14:paraId="7C861F8E" w14:textId="77777777" w:rsidR="003C2D23" w:rsidRDefault="003C2D23" w:rsidP="003C2D23">
            <w:pPr>
              <w:rPr>
                <w:sz w:val="20"/>
                <w:szCs w:val="20"/>
              </w:rPr>
            </w:pPr>
          </w:p>
        </w:tc>
        <w:tc>
          <w:tcPr>
            <w:tcW w:w="676" w:type="dxa"/>
            <w:tcBorders>
              <w:top w:val="nil"/>
              <w:left w:val="nil"/>
              <w:bottom w:val="nil"/>
              <w:right w:val="single" w:sz="4" w:space="0" w:color="auto"/>
            </w:tcBorders>
            <w:shd w:val="clear" w:color="auto" w:fill="auto"/>
            <w:noWrap/>
            <w:vAlign w:val="bottom"/>
            <w:hideMark/>
          </w:tcPr>
          <w:p w14:paraId="40757702" w14:textId="77777777" w:rsidR="003C2D23" w:rsidRDefault="003C2D23" w:rsidP="003C2D23">
            <w:pPr>
              <w:rPr>
                <w:sz w:val="20"/>
                <w:szCs w:val="20"/>
              </w:rPr>
            </w:pPr>
          </w:p>
        </w:tc>
        <w:tc>
          <w:tcPr>
            <w:tcW w:w="720" w:type="dxa"/>
            <w:tcBorders>
              <w:top w:val="nil"/>
              <w:left w:val="single" w:sz="4" w:space="0" w:color="auto"/>
              <w:bottom w:val="nil"/>
              <w:right w:val="nil"/>
            </w:tcBorders>
            <w:shd w:val="clear" w:color="auto" w:fill="auto"/>
            <w:noWrap/>
            <w:vAlign w:val="bottom"/>
            <w:hideMark/>
          </w:tcPr>
          <w:p w14:paraId="75635B45" w14:textId="77777777" w:rsidR="003C2D23" w:rsidRDefault="003C2D23" w:rsidP="003C2D23">
            <w:pPr>
              <w:rPr>
                <w:sz w:val="20"/>
                <w:szCs w:val="20"/>
              </w:rPr>
            </w:pPr>
          </w:p>
        </w:tc>
        <w:tc>
          <w:tcPr>
            <w:tcW w:w="549" w:type="dxa"/>
            <w:tcBorders>
              <w:top w:val="nil"/>
              <w:left w:val="nil"/>
              <w:bottom w:val="nil"/>
              <w:right w:val="nil"/>
            </w:tcBorders>
            <w:shd w:val="clear" w:color="auto" w:fill="auto"/>
            <w:noWrap/>
            <w:vAlign w:val="bottom"/>
            <w:hideMark/>
          </w:tcPr>
          <w:p w14:paraId="7FB15435" w14:textId="77777777" w:rsidR="003C2D23" w:rsidRDefault="003C2D23" w:rsidP="003C2D23">
            <w:pPr>
              <w:rPr>
                <w:sz w:val="20"/>
                <w:szCs w:val="20"/>
              </w:rPr>
            </w:pPr>
          </w:p>
        </w:tc>
        <w:tc>
          <w:tcPr>
            <w:tcW w:w="649" w:type="dxa"/>
            <w:tcBorders>
              <w:top w:val="nil"/>
              <w:left w:val="nil"/>
              <w:bottom w:val="nil"/>
              <w:right w:val="single" w:sz="4" w:space="0" w:color="auto"/>
            </w:tcBorders>
            <w:shd w:val="clear" w:color="auto" w:fill="auto"/>
            <w:noWrap/>
            <w:vAlign w:val="bottom"/>
            <w:hideMark/>
          </w:tcPr>
          <w:p w14:paraId="50F8760E" w14:textId="77777777" w:rsidR="003C2D23" w:rsidRDefault="003C2D23" w:rsidP="003C2D23">
            <w:pPr>
              <w:rPr>
                <w:sz w:val="20"/>
                <w:szCs w:val="20"/>
              </w:rPr>
            </w:pPr>
          </w:p>
        </w:tc>
        <w:tc>
          <w:tcPr>
            <w:tcW w:w="872" w:type="dxa"/>
            <w:tcBorders>
              <w:top w:val="nil"/>
              <w:left w:val="single" w:sz="4" w:space="0" w:color="auto"/>
              <w:bottom w:val="nil"/>
              <w:right w:val="single" w:sz="4" w:space="0" w:color="auto"/>
            </w:tcBorders>
            <w:shd w:val="clear" w:color="auto" w:fill="auto"/>
            <w:noWrap/>
            <w:vAlign w:val="bottom"/>
            <w:hideMark/>
          </w:tcPr>
          <w:p w14:paraId="66D5DA37" w14:textId="77777777" w:rsidR="003C2D23" w:rsidRDefault="003C2D23" w:rsidP="003C2D23">
            <w:pPr>
              <w:jc w:val="right"/>
              <w:rPr>
                <w:color w:val="000000"/>
                <w:sz w:val="22"/>
                <w:szCs w:val="22"/>
              </w:rPr>
            </w:pPr>
            <w:r>
              <w:rPr>
                <w:color w:val="000000"/>
                <w:sz w:val="22"/>
                <w:szCs w:val="22"/>
              </w:rPr>
              <w:t>0.02</w:t>
            </w:r>
          </w:p>
        </w:tc>
        <w:tc>
          <w:tcPr>
            <w:tcW w:w="425" w:type="dxa"/>
            <w:tcBorders>
              <w:top w:val="nil"/>
              <w:left w:val="single" w:sz="4" w:space="0" w:color="auto"/>
              <w:bottom w:val="nil"/>
              <w:right w:val="single" w:sz="4" w:space="0" w:color="auto"/>
            </w:tcBorders>
            <w:shd w:val="clear" w:color="auto" w:fill="auto"/>
            <w:noWrap/>
            <w:vAlign w:val="bottom"/>
            <w:hideMark/>
          </w:tcPr>
          <w:p w14:paraId="352155BC" w14:textId="77777777" w:rsidR="003C2D23" w:rsidRDefault="003C2D23" w:rsidP="003C2D23">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5AE2DA66" w14:textId="77777777" w:rsidR="003C2D23" w:rsidRDefault="003C2D23" w:rsidP="003C2D23">
            <w:pPr>
              <w:jc w:val="right"/>
              <w:rPr>
                <w:color w:val="000000"/>
                <w:sz w:val="22"/>
                <w:szCs w:val="22"/>
              </w:rPr>
            </w:pPr>
            <w:r>
              <w:rPr>
                <w:color w:val="000000"/>
                <w:sz w:val="22"/>
                <w:szCs w:val="22"/>
              </w:rPr>
              <w:t>0.90</w:t>
            </w:r>
          </w:p>
        </w:tc>
      </w:tr>
      <w:tr w:rsidR="003C2D23" w14:paraId="66BB85F8"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1DFB8CF2" w14:textId="77777777" w:rsidR="003C2D23" w:rsidRDefault="003C2D23" w:rsidP="003C2D23">
            <w:pPr>
              <w:jc w:val="right"/>
              <w:rPr>
                <w:color w:val="000000"/>
                <w:sz w:val="22"/>
                <w:szCs w:val="22"/>
              </w:rPr>
            </w:pPr>
          </w:p>
        </w:tc>
        <w:tc>
          <w:tcPr>
            <w:tcW w:w="2658" w:type="dxa"/>
            <w:tcBorders>
              <w:top w:val="nil"/>
              <w:left w:val="nil"/>
              <w:bottom w:val="nil"/>
              <w:right w:val="single" w:sz="4" w:space="0" w:color="auto"/>
            </w:tcBorders>
            <w:shd w:val="clear" w:color="auto" w:fill="auto"/>
            <w:noWrap/>
            <w:vAlign w:val="bottom"/>
            <w:hideMark/>
          </w:tcPr>
          <w:p w14:paraId="565AD4D0" w14:textId="7B33397E" w:rsidR="003C2D23" w:rsidRDefault="009634C4" w:rsidP="003C2D23">
            <w:pPr>
              <w:rPr>
                <w:color w:val="000000"/>
                <w:sz w:val="22"/>
                <w:szCs w:val="22"/>
              </w:rPr>
            </w:pPr>
            <w:r>
              <w:rPr>
                <w:color w:val="000000"/>
                <w:sz w:val="22"/>
                <w:szCs w:val="22"/>
              </w:rPr>
              <w:t>Current Account</w:t>
            </w:r>
          </w:p>
        </w:tc>
        <w:tc>
          <w:tcPr>
            <w:tcW w:w="720" w:type="dxa"/>
            <w:tcBorders>
              <w:top w:val="nil"/>
              <w:left w:val="single" w:sz="4" w:space="0" w:color="auto"/>
              <w:bottom w:val="nil"/>
              <w:right w:val="nil"/>
            </w:tcBorders>
            <w:shd w:val="clear" w:color="auto" w:fill="auto"/>
            <w:noWrap/>
            <w:vAlign w:val="bottom"/>
            <w:hideMark/>
          </w:tcPr>
          <w:p w14:paraId="75A3128A" w14:textId="77777777" w:rsidR="003C2D23" w:rsidRDefault="003C2D23" w:rsidP="003C2D23">
            <w:pPr>
              <w:rPr>
                <w:color w:val="000000"/>
                <w:sz w:val="22"/>
                <w:szCs w:val="22"/>
              </w:rPr>
            </w:pPr>
          </w:p>
        </w:tc>
        <w:tc>
          <w:tcPr>
            <w:tcW w:w="494" w:type="dxa"/>
            <w:tcBorders>
              <w:top w:val="nil"/>
              <w:left w:val="nil"/>
              <w:bottom w:val="nil"/>
              <w:right w:val="nil"/>
            </w:tcBorders>
            <w:shd w:val="clear" w:color="auto" w:fill="auto"/>
            <w:noWrap/>
            <w:vAlign w:val="bottom"/>
            <w:hideMark/>
          </w:tcPr>
          <w:p w14:paraId="0C0B3651" w14:textId="77777777" w:rsidR="003C2D23" w:rsidRDefault="003C2D23" w:rsidP="003C2D23">
            <w:pPr>
              <w:rPr>
                <w:sz w:val="20"/>
                <w:szCs w:val="20"/>
              </w:rPr>
            </w:pPr>
          </w:p>
        </w:tc>
        <w:tc>
          <w:tcPr>
            <w:tcW w:w="676" w:type="dxa"/>
            <w:tcBorders>
              <w:top w:val="nil"/>
              <w:left w:val="nil"/>
              <w:bottom w:val="nil"/>
              <w:right w:val="single" w:sz="4" w:space="0" w:color="auto"/>
            </w:tcBorders>
            <w:shd w:val="clear" w:color="auto" w:fill="auto"/>
            <w:noWrap/>
            <w:vAlign w:val="bottom"/>
            <w:hideMark/>
          </w:tcPr>
          <w:p w14:paraId="252F7068" w14:textId="77777777" w:rsidR="003C2D23" w:rsidRDefault="003C2D23" w:rsidP="003C2D23">
            <w:pPr>
              <w:rPr>
                <w:sz w:val="20"/>
                <w:szCs w:val="20"/>
              </w:rPr>
            </w:pPr>
          </w:p>
        </w:tc>
        <w:tc>
          <w:tcPr>
            <w:tcW w:w="720" w:type="dxa"/>
            <w:tcBorders>
              <w:top w:val="nil"/>
              <w:left w:val="single" w:sz="4" w:space="0" w:color="auto"/>
              <w:bottom w:val="nil"/>
              <w:right w:val="nil"/>
            </w:tcBorders>
            <w:shd w:val="clear" w:color="auto" w:fill="auto"/>
            <w:noWrap/>
            <w:vAlign w:val="bottom"/>
            <w:hideMark/>
          </w:tcPr>
          <w:p w14:paraId="27F81B5A" w14:textId="77777777" w:rsidR="003C2D23" w:rsidRDefault="003C2D23" w:rsidP="003C2D23">
            <w:pPr>
              <w:rPr>
                <w:sz w:val="20"/>
                <w:szCs w:val="20"/>
              </w:rPr>
            </w:pPr>
          </w:p>
        </w:tc>
        <w:tc>
          <w:tcPr>
            <w:tcW w:w="549" w:type="dxa"/>
            <w:tcBorders>
              <w:top w:val="nil"/>
              <w:left w:val="nil"/>
              <w:bottom w:val="nil"/>
              <w:right w:val="nil"/>
            </w:tcBorders>
            <w:shd w:val="clear" w:color="auto" w:fill="auto"/>
            <w:noWrap/>
            <w:vAlign w:val="bottom"/>
            <w:hideMark/>
          </w:tcPr>
          <w:p w14:paraId="743E0FCD" w14:textId="77777777" w:rsidR="003C2D23" w:rsidRDefault="003C2D23" w:rsidP="003C2D23">
            <w:pPr>
              <w:rPr>
                <w:sz w:val="20"/>
                <w:szCs w:val="20"/>
              </w:rPr>
            </w:pPr>
          </w:p>
        </w:tc>
        <w:tc>
          <w:tcPr>
            <w:tcW w:w="649" w:type="dxa"/>
            <w:tcBorders>
              <w:top w:val="nil"/>
              <w:left w:val="nil"/>
              <w:bottom w:val="nil"/>
              <w:right w:val="single" w:sz="4" w:space="0" w:color="auto"/>
            </w:tcBorders>
            <w:shd w:val="clear" w:color="auto" w:fill="auto"/>
            <w:noWrap/>
            <w:vAlign w:val="bottom"/>
            <w:hideMark/>
          </w:tcPr>
          <w:p w14:paraId="0BF12FF3" w14:textId="77777777" w:rsidR="003C2D23" w:rsidRDefault="003C2D23" w:rsidP="003C2D23">
            <w:pPr>
              <w:rPr>
                <w:sz w:val="20"/>
                <w:szCs w:val="20"/>
              </w:rPr>
            </w:pPr>
          </w:p>
        </w:tc>
        <w:tc>
          <w:tcPr>
            <w:tcW w:w="872" w:type="dxa"/>
            <w:tcBorders>
              <w:top w:val="nil"/>
              <w:left w:val="single" w:sz="4" w:space="0" w:color="auto"/>
              <w:bottom w:val="nil"/>
              <w:right w:val="single" w:sz="4" w:space="0" w:color="auto"/>
            </w:tcBorders>
            <w:shd w:val="clear" w:color="auto" w:fill="auto"/>
            <w:noWrap/>
            <w:vAlign w:val="bottom"/>
            <w:hideMark/>
          </w:tcPr>
          <w:p w14:paraId="3EC93626" w14:textId="77777777" w:rsidR="003C2D23" w:rsidRDefault="003C2D23" w:rsidP="003C2D23">
            <w:pPr>
              <w:jc w:val="right"/>
              <w:rPr>
                <w:color w:val="000000"/>
                <w:sz w:val="22"/>
                <w:szCs w:val="22"/>
              </w:rPr>
            </w:pPr>
            <w:r>
              <w:rPr>
                <w:color w:val="000000"/>
                <w:sz w:val="22"/>
                <w:szCs w:val="22"/>
              </w:rPr>
              <w:t>23.65</w:t>
            </w:r>
          </w:p>
        </w:tc>
        <w:tc>
          <w:tcPr>
            <w:tcW w:w="425" w:type="dxa"/>
            <w:tcBorders>
              <w:top w:val="nil"/>
              <w:left w:val="single" w:sz="4" w:space="0" w:color="auto"/>
              <w:bottom w:val="nil"/>
              <w:right w:val="single" w:sz="4" w:space="0" w:color="auto"/>
            </w:tcBorders>
            <w:shd w:val="clear" w:color="auto" w:fill="auto"/>
            <w:noWrap/>
            <w:vAlign w:val="bottom"/>
            <w:hideMark/>
          </w:tcPr>
          <w:p w14:paraId="482F2479" w14:textId="77777777" w:rsidR="003C2D23" w:rsidRDefault="003C2D23" w:rsidP="003C2D23">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53971989" w14:textId="77777777" w:rsidR="003C2D23" w:rsidRDefault="003C2D23" w:rsidP="003C2D23">
            <w:pPr>
              <w:jc w:val="right"/>
              <w:rPr>
                <w:color w:val="000000"/>
                <w:sz w:val="22"/>
                <w:szCs w:val="22"/>
              </w:rPr>
            </w:pPr>
            <w:r>
              <w:rPr>
                <w:color w:val="000000"/>
                <w:sz w:val="22"/>
                <w:szCs w:val="22"/>
              </w:rPr>
              <w:t>0.00</w:t>
            </w:r>
          </w:p>
        </w:tc>
      </w:tr>
      <w:tr w:rsidR="003C2D23" w14:paraId="4D07978B"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430F55D5" w14:textId="77777777" w:rsidR="003C2D23" w:rsidRDefault="003C2D23" w:rsidP="003C2D23">
            <w:pPr>
              <w:jc w:val="right"/>
              <w:rPr>
                <w:color w:val="000000"/>
                <w:sz w:val="22"/>
                <w:szCs w:val="22"/>
              </w:rPr>
            </w:pPr>
          </w:p>
        </w:tc>
        <w:tc>
          <w:tcPr>
            <w:tcW w:w="2658" w:type="dxa"/>
            <w:tcBorders>
              <w:top w:val="nil"/>
              <w:left w:val="nil"/>
              <w:bottom w:val="nil"/>
              <w:right w:val="single" w:sz="4" w:space="0" w:color="auto"/>
            </w:tcBorders>
            <w:shd w:val="clear" w:color="auto" w:fill="auto"/>
            <w:noWrap/>
            <w:vAlign w:val="bottom"/>
            <w:hideMark/>
          </w:tcPr>
          <w:p w14:paraId="3E5CA4F2" w14:textId="556BF29C" w:rsidR="003C2D23" w:rsidRDefault="009634C4" w:rsidP="003C2D23">
            <w:pPr>
              <w:rPr>
                <w:color w:val="000000"/>
                <w:sz w:val="22"/>
                <w:szCs w:val="22"/>
              </w:rPr>
            </w:pPr>
            <w:r>
              <w:rPr>
                <w:color w:val="000000"/>
                <w:sz w:val="22"/>
                <w:szCs w:val="22"/>
              </w:rPr>
              <w:t>Nominal Exchange Rate</w:t>
            </w:r>
          </w:p>
        </w:tc>
        <w:tc>
          <w:tcPr>
            <w:tcW w:w="720" w:type="dxa"/>
            <w:tcBorders>
              <w:top w:val="nil"/>
              <w:left w:val="single" w:sz="4" w:space="0" w:color="auto"/>
              <w:bottom w:val="nil"/>
              <w:right w:val="nil"/>
            </w:tcBorders>
            <w:shd w:val="clear" w:color="auto" w:fill="auto"/>
            <w:noWrap/>
            <w:vAlign w:val="bottom"/>
            <w:hideMark/>
          </w:tcPr>
          <w:p w14:paraId="0330A638" w14:textId="77777777" w:rsidR="003C2D23" w:rsidRDefault="003C2D23" w:rsidP="003C2D23">
            <w:pPr>
              <w:rPr>
                <w:color w:val="000000"/>
                <w:sz w:val="22"/>
                <w:szCs w:val="22"/>
              </w:rPr>
            </w:pPr>
          </w:p>
        </w:tc>
        <w:tc>
          <w:tcPr>
            <w:tcW w:w="494" w:type="dxa"/>
            <w:tcBorders>
              <w:top w:val="nil"/>
              <w:left w:val="nil"/>
              <w:bottom w:val="nil"/>
              <w:right w:val="nil"/>
            </w:tcBorders>
            <w:shd w:val="clear" w:color="auto" w:fill="auto"/>
            <w:noWrap/>
            <w:vAlign w:val="bottom"/>
            <w:hideMark/>
          </w:tcPr>
          <w:p w14:paraId="7C655EB3" w14:textId="77777777" w:rsidR="003C2D23" w:rsidRDefault="003C2D23" w:rsidP="003C2D23">
            <w:pPr>
              <w:rPr>
                <w:sz w:val="20"/>
                <w:szCs w:val="20"/>
              </w:rPr>
            </w:pPr>
          </w:p>
        </w:tc>
        <w:tc>
          <w:tcPr>
            <w:tcW w:w="676" w:type="dxa"/>
            <w:tcBorders>
              <w:top w:val="nil"/>
              <w:left w:val="nil"/>
              <w:bottom w:val="nil"/>
              <w:right w:val="single" w:sz="4" w:space="0" w:color="auto"/>
            </w:tcBorders>
            <w:shd w:val="clear" w:color="auto" w:fill="auto"/>
            <w:noWrap/>
            <w:vAlign w:val="bottom"/>
            <w:hideMark/>
          </w:tcPr>
          <w:p w14:paraId="57EEE740" w14:textId="77777777" w:rsidR="003C2D23" w:rsidRDefault="003C2D23" w:rsidP="003C2D23">
            <w:pPr>
              <w:rPr>
                <w:sz w:val="20"/>
                <w:szCs w:val="20"/>
              </w:rPr>
            </w:pPr>
          </w:p>
        </w:tc>
        <w:tc>
          <w:tcPr>
            <w:tcW w:w="720" w:type="dxa"/>
            <w:tcBorders>
              <w:top w:val="nil"/>
              <w:left w:val="single" w:sz="4" w:space="0" w:color="auto"/>
              <w:bottom w:val="nil"/>
              <w:right w:val="nil"/>
            </w:tcBorders>
            <w:shd w:val="clear" w:color="auto" w:fill="auto"/>
            <w:noWrap/>
            <w:vAlign w:val="bottom"/>
            <w:hideMark/>
          </w:tcPr>
          <w:p w14:paraId="032A5427" w14:textId="77777777" w:rsidR="003C2D23" w:rsidRDefault="003C2D23" w:rsidP="003C2D23">
            <w:pPr>
              <w:rPr>
                <w:sz w:val="20"/>
                <w:szCs w:val="20"/>
              </w:rPr>
            </w:pPr>
          </w:p>
        </w:tc>
        <w:tc>
          <w:tcPr>
            <w:tcW w:w="549" w:type="dxa"/>
            <w:tcBorders>
              <w:top w:val="nil"/>
              <w:left w:val="nil"/>
              <w:bottom w:val="nil"/>
              <w:right w:val="nil"/>
            </w:tcBorders>
            <w:shd w:val="clear" w:color="auto" w:fill="auto"/>
            <w:noWrap/>
            <w:vAlign w:val="bottom"/>
            <w:hideMark/>
          </w:tcPr>
          <w:p w14:paraId="09EAFDBD" w14:textId="77777777" w:rsidR="003C2D23" w:rsidRDefault="003C2D23" w:rsidP="003C2D23">
            <w:pPr>
              <w:rPr>
                <w:sz w:val="20"/>
                <w:szCs w:val="20"/>
              </w:rPr>
            </w:pPr>
          </w:p>
        </w:tc>
        <w:tc>
          <w:tcPr>
            <w:tcW w:w="649" w:type="dxa"/>
            <w:tcBorders>
              <w:top w:val="nil"/>
              <w:left w:val="nil"/>
              <w:bottom w:val="nil"/>
              <w:right w:val="single" w:sz="4" w:space="0" w:color="auto"/>
            </w:tcBorders>
            <w:shd w:val="clear" w:color="auto" w:fill="auto"/>
            <w:noWrap/>
            <w:vAlign w:val="bottom"/>
            <w:hideMark/>
          </w:tcPr>
          <w:p w14:paraId="1714FD87" w14:textId="77777777" w:rsidR="003C2D23" w:rsidRDefault="003C2D23" w:rsidP="003C2D23">
            <w:pPr>
              <w:rPr>
                <w:sz w:val="20"/>
                <w:szCs w:val="20"/>
              </w:rPr>
            </w:pPr>
          </w:p>
        </w:tc>
        <w:tc>
          <w:tcPr>
            <w:tcW w:w="872" w:type="dxa"/>
            <w:tcBorders>
              <w:top w:val="nil"/>
              <w:left w:val="single" w:sz="4" w:space="0" w:color="auto"/>
              <w:bottom w:val="nil"/>
              <w:right w:val="single" w:sz="4" w:space="0" w:color="auto"/>
            </w:tcBorders>
            <w:shd w:val="clear" w:color="auto" w:fill="auto"/>
            <w:noWrap/>
            <w:vAlign w:val="bottom"/>
            <w:hideMark/>
          </w:tcPr>
          <w:p w14:paraId="1B4EE18D" w14:textId="77777777" w:rsidR="003C2D23" w:rsidRDefault="003C2D23" w:rsidP="003C2D23">
            <w:pPr>
              <w:jc w:val="right"/>
              <w:rPr>
                <w:color w:val="000000"/>
                <w:sz w:val="22"/>
                <w:szCs w:val="22"/>
              </w:rPr>
            </w:pPr>
            <w:r>
              <w:rPr>
                <w:color w:val="000000"/>
                <w:sz w:val="22"/>
                <w:szCs w:val="22"/>
              </w:rPr>
              <w:t>7.23</w:t>
            </w:r>
          </w:p>
        </w:tc>
        <w:tc>
          <w:tcPr>
            <w:tcW w:w="425" w:type="dxa"/>
            <w:tcBorders>
              <w:top w:val="nil"/>
              <w:left w:val="single" w:sz="4" w:space="0" w:color="auto"/>
              <w:bottom w:val="nil"/>
              <w:right w:val="single" w:sz="4" w:space="0" w:color="auto"/>
            </w:tcBorders>
            <w:shd w:val="clear" w:color="auto" w:fill="auto"/>
            <w:noWrap/>
            <w:vAlign w:val="bottom"/>
            <w:hideMark/>
          </w:tcPr>
          <w:p w14:paraId="3C2FADAF" w14:textId="77777777" w:rsidR="003C2D23" w:rsidRDefault="003C2D23" w:rsidP="003C2D23">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0C26F166" w14:textId="77777777" w:rsidR="003C2D23" w:rsidRDefault="003C2D23" w:rsidP="003C2D23">
            <w:pPr>
              <w:jc w:val="right"/>
              <w:rPr>
                <w:color w:val="000000"/>
                <w:sz w:val="22"/>
                <w:szCs w:val="22"/>
              </w:rPr>
            </w:pPr>
            <w:r>
              <w:rPr>
                <w:color w:val="000000"/>
                <w:sz w:val="22"/>
                <w:szCs w:val="22"/>
              </w:rPr>
              <w:t>0.01</w:t>
            </w:r>
          </w:p>
        </w:tc>
      </w:tr>
      <w:tr w:rsidR="003C2D23" w14:paraId="730A28CD" w14:textId="77777777" w:rsidTr="009634C4">
        <w:trPr>
          <w:trHeight w:val="288"/>
        </w:trPr>
        <w:tc>
          <w:tcPr>
            <w:tcW w:w="1117" w:type="dxa"/>
            <w:tcBorders>
              <w:top w:val="nil"/>
              <w:left w:val="single" w:sz="4" w:space="0" w:color="auto"/>
              <w:bottom w:val="single" w:sz="4" w:space="0" w:color="auto"/>
              <w:right w:val="nil"/>
            </w:tcBorders>
            <w:shd w:val="clear" w:color="auto" w:fill="auto"/>
            <w:noWrap/>
            <w:vAlign w:val="bottom"/>
            <w:hideMark/>
          </w:tcPr>
          <w:p w14:paraId="374D7FE5" w14:textId="77777777" w:rsidR="003C2D23" w:rsidRDefault="003C2D23" w:rsidP="003C2D23">
            <w:pPr>
              <w:jc w:val="right"/>
              <w:rPr>
                <w:color w:val="000000"/>
                <w:sz w:val="22"/>
                <w:szCs w:val="22"/>
              </w:rPr>
            </w:pPr>
          </w:p>
        </w:tc>
        <w:tc>
          <w:tcPr>
            <w:tcW w:w="2658" w:type="dxa"/>
            <w:tcBorders>
              <w:top w:val="nil"/>
              <w:left w:val="nil"/>
              <w:bottom w:val="single" w:sz="4" w:space="0" w:color="auto"/>
              <w:right w:val="single" w:sz="4" w:space="0" w:color="auto"/>
            </w:tcBorders>
            <w:shd w:val="clear" w:color="auto" w:fill="auto"/>
            <w:noWrap/>
            <w:vAlign w:val="bottom"/>
            <w:hideMark/>
          </w:tcPr>
          <w:p w14:paraId="33304A36" w14:textId="77777777" w:rsidR="003C2D23" w:rsidRDefault="003C2D23" w:rsidP="003C2D23">
            <w:pPr>
              <w:rPr>
                <w:color w:val="000000"/>
                <w:sz w:val="22"/>
                <w:szCs w:val="22"/>
              </w:rPr>
            </w:pPr>
            <w:r>
              <w:rPr>
                <w:color w:val="000000"/>
                <w:sz w:val="22"/>
                <w:szCs w:val="22"/>
              </w:rPr>
              <w:t>ALL</w:t>
            </w:r>
          </w:p>
        </w:tc>
        <w:tc>
          <w:tcPr>
            <w:tcW w:w="720" w:type="dxa"/>
            <w:tcBorders>
              <w:top w:val="nil"/>
              <w:left w:val="single" w:sz="4" w:space="0" w:color="auto"/>
              <w:bottom w:val="single" w:sz="4" w:space="0" w:color="auto"/>
              <w:right w:val="nil"/>
            </w:tcBorders>
            <w:shd w:val="clear" w:color="auto" w:fill="auto"/>
            <w:noWrap/>
            <w:vAlign w:val="bottom"/>
            <w:hideMark/>
          </w:tcPr>
          <w:p w14:paraId="5E9BC12C" w14:textId="77777777" w:rsidR="003C2D23" w:rsidRDefault="003C2D23" w:rsidP="003C2D23">
            <w:pPr>
              <w:rPr>
                <w:color w:val="000000"/>
                <w:sz w:val="22"/>
                <w:szCs w:val="22"/>
              </w:rPr>
            </w:pPr>
          </w:p>
        </w:tc>
        <w:tc>
          <w:tcPr>
            <w:tcW w:w="494" w:type="dxa"/>
            <w:tcBorders>
              <w:top w:val="nil"/>
              <w:left w:val="nil"/>
              <w:bottom w:val="single" w:sz="4" w:space="0" w:color="auto"/>
              <w:right w:val="nil"/>
            </w:tcBorders>
            <w:shd w:val="clear" w:color="auto" w:fill="auto"/>
            <w:noWrap/>
            <w:vAlign w:val="bottom"/>
            <w:hideMark/>
          </w:tcPr>
          <w:p w14:paraId="184EA0BC" w14:textId="77777777" w:rsidR="003C2D23" w:rsidRDefault="003C2D23" w:rsidP="003C2D23">
            <w:pPr>
              <w:rPr>
                <w:sz w:val="20"/>
                <w:szCs w:val="20"/>
              </w:rPr>
            </w:pPr>
          </w:p>
        </w:tc>
        <w:tc>
          <w:tcPr>
            <w:tcW w:w="676" w:type="dxa"/>
            <w:tcBorders>
              <w:top w:val="nil"/>
              <w:left w:val="nil"/>
              <w:bottom w:val="single" w:sz="4" w:space="0" w:color="auto"/>
              <w:right w:val="single" w:sz="4" w:space="0" w:color="auto"/>
            </w:tcBorders>
            <w:shd w:val="clear" w:color="auto" w:fill="auto"/>
            <w:noWrap/>
            <w:vAlign w:val="bottom"/>
            <w:hideMark/>
          </w:tcPr>
          <w:p w14:paraId="1B79076B" w14:textId="77777777" w:rsidR="003C2D23" w:rsidRDefault="003C2D23" w:rsidP="003C2D23">
            <w:pPr>
              <w:rPr>
                <w:sz w:val="20"/>
                <w:szCs w:val="20"/>
              </w:rPr>
            </w:pPr>
          </w:p>
        </w:tc>
        <w:tc>
          <w:tcPr>
            <w:tcW w:w="720" w:type="dxa"/>
            <w:tcBorders>
              <w:top w:val="nil"/>
              <w:left w:val="single" w:sz="4" w:space="0" w:color="auto"/>
              <w:bottom w:val="single" w:sz="4" w:space="0" w:color="auto"/>
              <w:right w:val="nil"/>
            </w:tcBorders>
            <w:shd w:val="clear" w:color="auto" w:fill="auto"/>
            <w:noWrap/>
            <w:vAlign w:val="bottom"/>
            <w:hideMark/>
          </w:tcPr>
          <w:p w14:paraId="0D1E536A" w14:textId="77777777" w:rsidR="003C2D23" w:rsidRDefault="003C2D23" w:rsidP="003C2D23">
            <w:pPr>
              <w:rPr>
                <w:sz w:val="20"/>
                <w:szCs w:val="20"/>
              </w:rPr>
            </w:pPr>
          </w:p>
        </w:tc>
        <w:tc>
          <w:tcPr>
            <w:tcW w:w="549" w:type="dxa"/>
            <w:tcBorders>
              <w:top w:val="nil"/>
              <w:left w:val="nil"/>
              <w:bottom w:val="single" w:sz="4" w:space="0" w:color="auto"/>
              <w:right w:val="nil"/>
            </w:tcBorders>
            <w:shd w:val="clear" w:color="auto" w:fill="auto"/>
            <w:noWrap/>
            <w:vAlign w:val="bottom"/>
            <w:hideMark/>
          </w:tcPr>
          <w:p w14:paraId="5F72BE2E" w14:textId="77777777" w:rsidR="003C2D23" w:rsidRDefault="003C2D23" w:rsidP="003C2D23">
            <w:pPr>
              <w:rPr>
                <w:sz w:val="20"/>
                <w:szCs w:val="20"/>
              </w:rPr>
            </w:pPr>
          </w:p>
        </w:tc>
        <w:tc>
          <w:tcPr>
            <w:tcW w:w="649" w:type="dxa"/>
            <w:tcBorders>
              <w:top w:val="nil"/>
              <w:left w:val="nil"/>
              <w:bottom w:val="single" w:sz="4" w:space="0" w:color="auto"/>
              <w:right w:val="single" w:sz="4" w:space="0" w:color="auto"/>
            </w:tcBorders>
            <w:shd w:val="clear" w:color="auto" w:fill="auto"/>
            <w:noWrap/>
            <w:vAlign w:val="bottom"/>
            <w:hideMark/>
          </w:tcPr>
          <w:p w14:paraId="4FF6DF26" w14:textId="77777777" w:rsidR="003C2D23" w:rsidRDefault="003C2D23" w:rsidP="003C2D23">
            <w:pPr>
              <w:rPr>
                <w:sz w:val="20"/>
                <w:szCs w:val="20"/>
              </w:rPr>
            </w:pPr>
          </w:p>
        </w:tc>
        <w:tc>
          <w:tcPr>
            <w:tcW w:w="872" w:type="dxa"/>
            <w:tcBorders>
              <w:top w:val="nil"/>
              <w:left w:val="single" w:sz="4" w:space="0" w:color="auto"/>
              <w:bottom w:val="single" w:sz="4" w:space="0" w:color="auto"/>
              <w:right w:val="single" w:sz="4" w:space="0" w:color="auto"/>
            </w:tcBorders>
            <w:shd w:val="clear" w:color="auto" w:fill="auto"/>
            <w:noWrap/>
            <w:vAlign w:val="bottom"/>
            <w:hideMark/>
          </w:tcPr>
          <w:p w14:paraId="4CDB98FC" w14:textId="77777777" w:rsidR="003C2D23" w:rsidRDefault="003C2D23" w:rsidP="003C2D23">
            <w:pPr>
              <w:jc w:val="right"/>
              <w:rPr>
                <w:color w:val="000000"/>
                <w:sz w:val="22"/>
                <w:szCs w:val="22"/>
              </w:rPr>
            </w:pPr>
            <w:r>
              <w:rPr>
                <w:color w:val="000000"/>
                <w:sz w:val="22"/>
                <w:szCs w:val="22"/>
              </w:rPr>
              <w:t>49.77</w:t>
            </w:r>
          </w:p>
        </w:tc>
        <w:tc>
          <w:tcPr>
            <w:tcW w:w="425" w:type="dxa"/>
            <w:tcBorders>
              <w:top w:val="nil"/>
              <w:left w:val="single" w:sz="4" w:space="0" w:color="auto"/>
              <w:bottom w:val="single" w:sz="4" w:space="0" w:color="auto"/>
              <w:right w:val="single" w:sz="4" w:space="0" w:color="auto"/>
            </w:tcBorders>
            <w:shd w:val="clear" w:color="auto" w:fill="auto"/>
            <w:noWrap/>
            <w:vAlign w:val="bottom"/>
            <w:hideMark/>
          </w:tcPr>
          <w:p w14:paraId="1F88CFC5" w14:textId="77777777" w:rsidR="003C2D23" w:rsidRDefault="003C2D23" w:rsidP="003C2D23">
            <w:pPr>
              <w:jc w:val="right"/>
              <w:rPr>
                <w:color w:val="000000"/>
                <w:sz w:val="22"/>
                <w:szCs w:val="22"/>
              </w:rPr>
            </w:pPr>
            <w:r>
              <w:rPr>
                <w:color w:val="000000"/>
                <w:sz w:val="22"/>
                <w:szCs w:val="22"/>
              </w:rPr>
              <w:t>4</w:t>
            </w:r>
          </w:p>
        </w:tc>
        <w:tc>
          <w:tcPr>
            <w:tcW w:w="650" w:type="dxa"/>
            <w:tcBorders>
              <w:top w:val="nil"/>
              <w:left w:val="single" w:sz="4" w:space="0" w:color="auto"/>
              <w:bottom w:val="single" w:sz="4" w:space="0" w:color="auto"/>
              <w:right w:val="single" w:sz="4" w:space="0" w:color="auto"/>
            </w:tcBorders>
            <w:shd w:val="clear" w:color="auto" w:fill="auto"/>
            <w:noWrap/>
            <w:vAlign w:val="bottom"/>
            <w:hideMark/>
          </w:tcPr>
          <w:p w14:paraId="5E977256" w14:textId="77777777" w:rsidR="003C2D23" w:rsidRDefault="003C2D23" w:rsidP="003C2D23">
            <w:pPr>
              <w:jc w:val="right"/>
              <w:rPr>
                <w:color w:val="000000"/>
                <w:sz w:val="22"/>
                <w:szCs w:val="22"/>
              </w:rPr>
            </w:pPr>
            <w:r>
              <w:rPr>
                <w:color w:val="000000"/>
                <w:sz w:val="22"/>
                <w:szCs w:val="22"/>
              </w:rPr>
              <w:t>0.00</w:t>
            </w:r>
          </w:p>
        </w:tc>
      </w:tr>
      <w:tr w:rsidR="009634C4" w14:paraId="3A04D2F6" w14:textId="77777777" w:rsidTr="009634C4">
        <w:trPr>
          <w:trHeight w:val="288"/>
        </w:trPr>
        <w:tc>
          <w:tcPr>
            <w:tcW w:w="3775" w:type="dxa"/>
            <w:gridSpan w:val="2"/>
            <w:tcBorders>
              <w:top w:val="single" w:sz="4" w:space="0" w:color="auto"/>
              <w:left w:val="single" w:sz="4" w:space="0" w:color="auto"/>
              <w:bottom w:val="nil"/>
              <w:right w:val="single" w:sz="4" w:space="0" w:color="auto"/>
            </w:tcBorders>
            <w:shd w:val="clear" w:color="auto" w:fill="auto"/>
            <w:noWrap/>
            <w:vAlign w:val="bottom"/>
            <w:hideMark/>
          </w:tcPr>
          <w:p w14:paraId="21A640ED" w14:textId="182FD0E5" w:rsidR="009634C4" w:rsidRPr="009634C4" w:rsidRDefault="009634C4" w:rsidP="003C2D23">
            <w:pPr>
              <w:rPr>
                <w:b/>
                <w:bCs/>
                <w:color w:val="000000"/>
                <w:sz w:val="22"/>
                <w:szCs w:val="22"/>
              </w:rPr>
            </w:pPr>
            <w:r w:rsidRPr="009634C4">
              <w:rPr>
                <w:b/>
                <w:bCs/>
                <w:color w:val="000000"/>
                <w:sz w:val="22"/>
                <w:szCs w:val="22"/>
              </w:rPr>
              <w:t>Nominal Exchange Rate</w:t>
            </w:r>
          </w:p>
        </w:tc>
        <w:tc>
          <w:tcPr>
            <w:tcW w:w="720" w:type="dxa"/>
            <w:tcBorders>
              <w:top w:val="single" w:sz="4" w:space="0" w:color="auto"/>
              <w:left w:val="single" w:sz="4" w:space="0" w:color="auto"/>
              <w:bottom w:val="nil"/>
              <w:right w:val="nil"/>
            </w:tcBorders>
            <w:shd w:val="clear" w:color="auto" w:fill="auto"/>
            <w:noWrap/>
            <w:vAlign w:val="bottom"/>
            <w:hideMark/>
          </w:tcPr>
          <w:p w14:paraId="02157B8C" w14:textId="77777777" w:rsidR="009634C4" w:rsidRDefault="009634C4" w:rsidP="003C2D23">
            <w:pPr>
              <w:rPr>
                <w:sz w:val="20"/>
                <w:szCs w:val="20"/>
              </w:rPr>
            </w:pPr>
          </w:p>
        </w:tc>
        <w:tc>
          <w:tcPr>
            <w:tcW w:w="494" w:type="dxa"/>
            <w:tcBorders>
              <w:top w:val="single" w:sz="4" w:space="0" w:color="auto"/>
              <w:left w:val="nil"/>
              <w:bottom w:val="nil"/>
              <w:right w:val="nil"/>
            </w:tcBorders>
            <w:shd w:val="clear" w:color="auto" w:fill="auto"/>
            <w:noWrap/>
            <w:vAlign w:val="bottom"/>
            <w:hideMark/>
          </w:tcPr>
          <w:p w14:paraId="0D316D39" w14:textId="77777777" w:rsidR="009634C4" w:rsidRDefault="009634C4" w:rsidP="003C2D23">
            <w:pPr>
              <w:rPr>
                <w:sz w:val="20"/>
                <w:szCs w:val="20"/>
              </w:rPr>
            </w:pPr>
          </w:p>
        </w:tc>
        <w:tc>
          <w:tcPr>
            <w:tcW w:w="676" w:type="dxa"/>
            <w:tcBorders>
              <w:top w:val="single" w:sz="4" w:space="0" w:color="auto"/>
              <w:left w:val="nil"/>
              <w:bottom w:val="nil"/>
              <w:right w:val="single" w:sz="4" w:space="0" w:color="auto"/>
            </w:tcBorders>
            <w:shd w:val="clear" w:color="auto" w:fill="auto"/>
            <w:noWrap/>
            <w:vAlign w:val="bottom"/>
            <w:hideMark/>
          </w:tcPr>
          <w:p w14:paraId="3C37E280" w14:textId="77777777" w:rsidR="009634C4" w:rsidRDefault="009634C4" w:rsidP="003C2D23">
            <w:pPr>
              <w:rPr>
                <w:sz w:val="20"/>
                <w:szCs w:val="20"/>
              </w:rPr>
            </w:pPr>
          </w:p>
        </w:tc>
        <w:tc>
          <w:tcPr>
            <w:tcW w:w="720" w:type="dxa"/>
            <w:tcBorders>
              <w:top w:val="single" w:sz="4" w:space="0" w:color="auto"/>
              <w:left w:val="single" w:sz="4" w:space="0" w:color="auto"/>
              <w:bottom w:val="nil"/>
              <w:right w:val="nil"/>
            </w:tcBorders>
            <w:shd w:val="clear" w:color="auto" w:fill="auto"/>
            <w:noWrap/>
            <w:vAlign w:val="bottom"/>
            <w:hideMark/>
          </w:tcPr>
          <w:p w14:paraId="46F91B36" w14:textId="77777777" w:rsidR="009634C4" w:rsidRDefault="009634C4" w:rsidP="003C2D23">
            <w:pPr>
              <w:rPr>
                <w:sz w:val="20"/>
                <w:szCs w:val="20"/>
              </w:rPr>
            </w:pPr>
          </w:p>
        </w:tc>
        <w:tc>
          <w:tcPr>
            <w:tcW w:w="549" w:type="dxa"/>
            <w:tcBorders>
              <w:top w:val="single" w:sz="4" w:space="0" w:color="auto"/>
              <w:left w:val="nil"/>
              <w:bottom w:val="nil"/>
              <w:right w:val="nil"/>
            </w:tcBorders>
            <w:shd w:val="clear" w:color="auto" w:fill="auto"/>
            <w:noWrap/>
            <w:vAlign w:val="bottom"/>
            <w:hideMark/>
          </w:tcPr>
          <w:p w14:paraId="5D95C58D" w14:textId="77777777" w:rsidR="009634C4" w:rsidRDefault="009634C4" w:rsidP="003C2D23">
            <w:pPr>
              <w:rPr>
                <w:sz w:val="20"/>
                <w:szCs w:val="20"/>
              </w:rPr>
            </w:pPr>
          </w:p>
        </w:tc>
        <w:tc>
          <w:tcPr>
            <w:tcW w:w="649" w:type="dxa"/>
            <w:tcBorders>
              <w:top w:val="single" w:sz="4" w:space="0" w:color="auto"/>
              <w:left w:val="nil"/>
              <w:bottom w:val="nil"/>
              <w:right w:val="single" w:sz="4" w:space="0" w:color="auto"/>
            </w:tcBorders>
            <w:shd w:val="clear" w:color="auto" w:fill="auto"/>
            <w:noWrap/>
            <w:vAlign w:val="bottom"/>
            <w:hideMark/>
          </w:tcPr>
          <w:p w14:paraId="55C89161" w14:textId="77777777" w:rsidR="009634C4" w:rsidRDefault="009634C4" w:rsidP="003C2D23">
            <w:pPr>
              <w:rPr>
                <w:sz w:val="20"/>
                <w:szCs w:val="20"/>
              </w:rPr>
            </w:pPr>
          </w:p>
        </w:tc>
        <w:tc>
          <w:tcPr>
            <w:tcW w:w="872" w:type="dxa"/>
            <w:tcBorders>
              <w:top w:val="single" w:sz="4" w:space="0" w:color="auto"/>
              <w:left w:val="single" w:sz="4" w:space="0" w:color="auto"/>
              <w:bottom w:val="nil"/>
              <w:right w:val="single" w:sz="4" w:space="0" w:color="auto"/>
            </w:tcBorders>
            <w:shd w:val="clear" w:color="auto" w:fill="auto"/>
            <w:noWrap/>
            <w:vAlign w:val="bottom"/>
            <w:hideMark/>
          </w:tcPr>
          <w:p w14:paraId="0A7E2A4E" w14:textId="77777777" w:rsidR="009634C4" w:rsidRDefault="009634C4" w:rsidP="003C2D23">
            <w:pPr>
              <w:rPr>
                <w:sz w:val="20"/>
                <w:szCs w:val="20"/>
              </w:rPr>
            </w:pPr>
          </w:p>
        </w:tc>
        <w:tc>
          <w:tcPr>
            <w:tcW w:w="425" w:type="dxa"/>
            <w:tcBorders>
              <w:top w:val="single" w:sz="4" w:space="0" w:color="auto"/>
              <w:left w:val="single" w:sz="4" w:space="0" w:color="auto"/>
              <w:bottom w:val="nil"/>
              <w:right w:val="single" w:sz="4" w:space="0" w:color="auto"/>
            </w:tcBorders>
            <w:shd w:val="clear" w:color="auto" w:fill="auto"/>
            <w:noWrap/>
            <w:vAlign w:val="bottom"/>
            <w:hideMark/>
          </w:tcPr>
          <w:p w14:paraId="2529B3AD" w14:textId="77777777" w:rsidR="009634C4" w:rsidRDefault="009634C4" w:rsidP="003C2D23">
            <w:pPr>
              <w:rPr>
                <w:sz w:val="20"/>
                <w:szCs w:val="20"/>
              </w:rPr>
            </w:pPr>
          </w:p>
        </w:tc>
        <w:tc>
          <w:tcPr>
            <w:tcW w:w="650" w:type="dxa"/>
            <w:tcBorders>
              <w:top w:val="single" w:sz="4" w:space="0" w:color="auto"/>
              <w:left w:val="single" w:sz="4" w:space="0" w:color="auto"/>
              <w:bottom w:val="nil"/>
              <w:right w:val="single" w:sz="4" w:space="0" w:color="auto"/>
            </w:tcBorders>
            <w:shd w:val="clear" w:color="auto" w:fill="auto"/>
            <w:noWrap/>
            <w:vAlign w:val="bottom"/>
            <w:hideMark/>
          </w:tcPr>
          <w:p w14:paraId="4BDEB64F" w14:textId="77777777" w:rsidR="009634C4" w:rsidRDefault="009634C4" w:rsidP="003C2D23">
            <w:pPr>
              <w:rPr>
                <w:sz w:val="20"/>
                <w:szCs w:val="20"/>
              </w:rPr>
            </w:pPr>
          </w:p>
        </w:tc>
      </w:tr>
      <w:tr w:rsidR="009634C4" w14:paraId="67ED3094"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661DEE2C" w14:textId="77777777" w:rsidR="009634C4" w:rsidRDefault="009634C4" w:rsidP="009634C4">
            <w:pPr>
              <w:rPr>
                <w:sz w:val="20"/>
                <w:szCs w:val="20"/>
              </w:rPr>
            </w:pPr>
          </w:p>
        </w:tc>
        <w:tc>
          <w:tcPr>
            <w:tcW w:w="2658" w:type="dxa"/>
            <w:tcBorders>
              <w:top w:val="nil"/>
              <w:left w:val="nil"/>
              <w:bottom w:val="nil"/>
              <w:right w:val="single" w:sz="4" w:space="0" w:color="auto"/>
            </w:tcBorders>
            <w:shd w:val="clear" w:color="auto" w:fill="auto"/>
            <w:noWrap/>
            <w:vAlign w:val="bottom"/>
            <w:hideMark/>
          </w:tcPr>
          <w:p w14:paraId="254700C7" w14:textId="7292CF25" w:rsidR="009634C4" w:rsidRDefault="009634C4" w:rsidP="009634C4">
            <w:pPr>
              <w:rPr>
                <w:color w:val="000000"/>
                <w:sz w:val="22"/>
                <w:szCs w:val="22"/>
              </w:rPr>
            </w:pPr>
            <w:r>
              <w:rPr>
                <w:color w:val="000000"/>
                <w:sz w:val="22"/>
                <w:szCs w:val="22"/>
              </w:rPr>
              <w:t>Prime Saver</w:t>
            </w:r>
          </w:p>
        </w:tc>
        <w:tc>
          <w:tcPr>
            <w:tcW w:w="720" w:type="dxa"/>
            <w:tcBorders>
              <w:top w:val="nil"/>
              <w:left w:val="single" w:sz="4" w:space="0" w:color="auto"/>
              <w:bottom w:val="nil"/>
              <w:right w:val="nil"/>
            </w:tcBorders>
            <w:shd w:val="clear" w:color="auto" w:fill="auto"/>
            <w:noWrap/>
            <w:vAlign w:val="bottom"/>
            <w:hideMark/>
          </w:tcPr>
          <w:p w14:paraId="2FF59043" w14:textId="77777777" w:rsidR="009634C4" w:rsidRDefault="009634C4" w:rsidP="009634C4">
            <w:pPr>
              <w:rPr>
                <w:color w:val="000000"/>
                <w:sz w:val="22"/>
                <w:szCs w:val="22"/>
              </w:rPr>
            </w:pPr>
          </w:p>
        </w:tc>
        <w:tc>
          <w:tcPr>
            <w:tcW w:w="494" w:type="dxa"/>
            <w:tcBorders>
              <w:top w:val="nil"/>
              <w:left w:val="nil"/>
              <w:bottom w:val="nil"/>
              <w:right w:val="nil"/>
            </w:tcBorders>
            <w:shd w:val="clear" w:color="auto" w:fill="auto"/>
            <w:noWrap/>
            <w:vAlign w:val="bottom"/>
            <w:hideMark/>
          </w:tcPr>
          <w:p w14:paraId="7AAC1621" w14:textId="77777777" w:rsidR="009634C4" w:rsidRDefault="009634C4" w:rsidP="009634C4">
            <w:pPr>
              <w:rPr>
                <w:sz w:val="20"/>
                <w:szCs w:val="20"/>
              </w:rPr>
            </w:pPr>
          </w:p>
        </w:tc>
        <w:tc>
          <w:tcPr>
            <w:tcW w:w="676" w:type="dxa"/>
            <w:tcBorders>
              <w:top w:val="nil"/>
              <w:left w:val="nil"/>
              <w:bottom w:val="nil"/>
              <w:right w:val="single" w:sz="4" w:space="0" w:color="auto"/>
            </w:tcBorders>
            <w:shd w:val="clear" w:color="auto" w:fill="auto"/>
            <w:noWrap/>
            <w:vAlign w:val="bottom"/>
            <w:hideMark/>
          </w:tcPr>
          <w:p w14:paraId="36D9EE3E" w14:textId="77777777" w:rsidR="009634C4" w:rsidRDefault="009634C4" w:rsidP="009634C4">
            <w:pPr>
              <w:rPr>
                <w:sz w:val="20"/>
                <w:szCs w:val="20"/>
              </w:rPr>
            </w:pPr>
          </w:p>
        </w:tc>
        <w:tc>
          <w:tcPr>
            <w:tcW w:w="720" w:type="dxa"/>
            <w:tcBorders>
              <w:top w:val="nil"/>
              <w:left w:val="single" w:sz="4" w:space="0" w:color="auto"/>
              <w:bottom w:val="nil"/>
              <w:right w:val="nil"/>
            </w:tcBorders>
            <w:shd w:val="clear" w:color="auto" w:fill="auto"/>
            <w:noWrap/>
            <w:vAlign w:val="bottom"/>
            <w:hideMark/>
          </w:tcPr>
          <w:p w14:paraId="61959CE9" w14:textId="77777777" w:rsidR="009634C4" w:rsidRDefault="009634C4" w:rsidP="009634C4">
            <w:pPr>
              <w:rPr>
                <w:sz w:val="20"/>
                <w:szCs w:val="20"/>
              </w:rPr>
            </w:pPr>
          </w:p>
        </w:tc>
        <w:tc>
          <w:tcPr>
            <w:tcW w:w="549" w:type="dxa"/>
            <w:tcBorders>
              <w:top w:val="nil"/>
              <w:left w:val="nil"/>
              <w:bottom w:val="nil"/>
              <w:right w:val="nil"/>
            </w:tcBorders>
            <w:shd w:val="clear" w:color="auto" w:fill="auto"/>
            <w:noWrap/>
            <w:vAlign w:val="bottom"/>
            <w:hideMark/>
          </w:tcPr>
          <w:p w14:paraId="43B16F0F" w14:textId="77777777" w:rsidR="009634C4" w:rsidRDefault="009634C4" w:rsidP="009634C4">
            <w:pPr>
              <w:rPr>
                <w:sz w:val="20"/>
                <w:szCs w:val="20"/>
              </w:rPr>
            </w:pPr>
          </w:p>
        </w:tc>
        <w:tc>
          <w:tcPr>
            <w:tcW w:w="649" w:type="dxa"/>
            <w:tcBorders>
              <w:top w:val="nil"/>
              <w:left w:val="nil"/>
              <w:bottom w:val="nil"/>
              <w:right w:val="single" w:sz="4" w:space="0" w:color="auto"/>
            </w:tcBorders>
            <w:shd w:val="clear" w:color="auto" w:fill="auto"/>
            <w:noWrap/>
            <w:vAlign w:val="bottom"/>
            <w:hideMark/>
          </w:tcPr>
          <w:p w14:paraId="08FE792E" w14:textId="77777777" w:rsidR="009634C4" w:rsidRDefault="009634C4" w:rsidP="009634C4">
            <w:pPr>
              <w:rPr>
                <w:sz w:val="20"/>
                <w:szCs w:val="20"/>
              </w:rPr>
            </w:pPr>
          </w:p>
        </w:tc>
        <w:tc>
          <w:tcPr>
            <w:tcW w:w="872" w:type="dxa"/>
            <w:tcBorders>
              <w:top w:val="nil"/>
              <w:left w:val="single" w:sz="4" w:space="0" w:color="auto"/>
              <w:bottom w:val="nil"/>
              <w:right w:val="single" w:sz="4" w:space="0" w:color="auto"/>
            </w:tcBorders>
            <w:shd w:val="clear" w:color="auto" w:fill="auto"/>
            <w:noWrap/>
            <w:vAlign w:val="bottom"/>
            <w:hideMark/>
          </w:tcPr>
          <w:p w14:paraId="257B8E50" w14:textId="77777777" w:rsidR="009634C4" w:rsidRDefault="009634C4" w:rsidP="009634C4">
            <w:pPr>
              <w:jc w:val="right"/>
              <w:rPr>
                <w:color w:val="000000"/>
                <w:sz w:val="22"/>
                <w:szCs w:val="22"/>
              </w:rPr>
            </w:pPr>
            <w:r>
              <w:rPr>
                <w:color w:val="000000"/>
                <w:sz w:val="22"/>
                <w:szCs w:val="22"/>
              </w:rPr>
              <w:t>4.36</w:t>
            </w:r>
          </w:p>
        </w:tc>
        <w:tc>
          <w:tcPr>
            <w:tcW w:w="425" w:type="dxa"/>
            <w:tcBorders>
              <w:top w:val="nil"/>
              <w:left w:val="single" w:sz="4" w:space="0" w:color="auto"/>
              <w:bottom w:val="nil"/>
              <w:right w:val="single" w:sz="4" w:space="0" w:color="auto"/>
            </w:tcBorders>
            <w:shd w:val="clear" w:color="auto" w:fill="auto"/>
            <w:noWrap/>
            <w:vAlign w:val="bottom"/>
            <w:hideMark/>
          </w:tcPr>
          <w:p w14:paraId="100F5A2C" w14:textId="77777777" w:rsidR="009634C4" w:rsidRDefault="009634C4" w:rsidP="009634C4">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38030BEC" w14:textId="77777777" w:rsidR="009634C4" w:rsidRDefault="009634C4" w:rsidP="009634C4">
            <w:pPr>
              <w:jc w:val="right"/>
              <w:rPr>
                <w:color w:val="000000"/>
                <w:sz w:val="22"/>
                <w:szCs w:val="22"/>
              </w:rPr>
            </w:pPr>
            <w:r>
              <w:rPr>
                <w:color w:val="000000"/>
                <w:sz w:val="22"/>
                <w:szCs w:val="22"/>
              </w:rPr>
              <w:t>0.04</w:t>
            </w:r>
          </w:p>
        </w:tc>
      </w:tr>
      <w:tr w:rsidR="009634C4" w14:paraId="41279A85"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116D816C" w14:textId="77777777" w:rsidR="009634C4" w:rsidRDefault="009634C4" w:rsidP="009634C4">
            <w:pPr>
              <w:jc w:val="right"/>
              <w:rPr>
                <w:color w:val="000000"/>
                <w:sz w:val="22"/>
                <w:szCs w:val="22"/>
              </w:rPr>
            </w:pPr>
          </w:p>
        </w:tc>
        <w:tc>
          <w:tcPr>
            <w:tcW w:w="2658" w:type="dxa"/>
            <w:tcBorders>
              <w:top w:val="nil"/>
              <w:left w:val="nil"/>
              <w:bottom w:val="nil"/>
              <w:right w:val="single" w:sz="4" w:space="0" w:color="auto"/>
            </w:tcBorders>
            <w:shd w:val="clear" w:color="auto" w:fill="auto"/>
            <w:noWrap/>
            <w:vAlign w:val="bottom"/>
            <w:hideMark/>
          </w:tcPr>
          <w:p w14:paraId="310AD60A" w14:textId="7A2A06C1" w:rsidR="009634C4" w:rsidRDefault="009634C4" w:rsidP="009634C4">
            <w:pPr>
              <w:rPr>
                <w:color w:val="000000"/>
                <w:sz w:val="22"/>
                <w:szCs w:val="22"/>
              </w:rPr>
            </w:pPr>
            <w:r>
              <w:rPr>
                <w:color w:val="000000"/>
                <w:sz w:val="22"/>
                <w:szCs w:val="22"/>
              </w:rPr>
              <w:t>Saving-Investment</w:t>
            </w:r>
          </w:p>
        </w:tc>
        <w:tc>
          <w:tcPr>
            <w:tcW w:w="720" w:type="dxa"/>
            <w:tcBorders>
              <w:top w:val="nil"/>
              <w:left w:val="single" w:sz="4" w:space="0" w:color="auto"/>
              <w:bottom w:val="nil"/>
              <w:right w:val="nil"/>
            </w:tcBorders>
            <w:shd w:val="clear" w:color="auto" w:fill="auto"/>
            <w:noWrap/>
            <w:vAlign w:val="bottom"/>
            <w:hideMark/>
          </w:tcPr>
          <w:p w14:paraId="07C21441" w14:textId="77777777" w:rsidR="009634C4" w:rsidRDefault="009634C4" w:rsidP="009634C4">
            <w:pPr>
              <w:rPr>
                <w:color w:val="000000"/>
                <w:sz w:val="22"/>
                <w:szCs w:val="22"/>
              </w:rPr>
            </w:pPr>
          </w:p>
        </w:tc>
        <w:tc>
          <w:tcPr>
            <w:tcW w:w="494" w:type="dxa"/>
            <w:tcBorders>
              <w:top w:val="nil"/>
              <w:left w:val="nil"/>
              <w:bottom w:val="nil"/>
              <w:right w:val="nil"/>
            </w:tcBorders>
            <w:shd w:val="clear" w:color="auto" w:fill="auto"/>
            <w:noWrap/>
            <w:vAlign w:val="bottom"/>
            <w:hideMark/>
          </w:tcPr>
          <w:p w14:paraId="3B8FB431" w14:textId="77777777" w:rsidR="009634C4" w:rsidRDefault="009634C4" w:rsidP="009634C4">
            <w:pPr>
              <w:rPr>
                <w:sz w:val="20"/>
                <w:szCs w:val="20"/>
              </w:rPr>
            </w:pPr>
          </w:p>
        </w:tc>
        <w:tc>
          <w:tcPr>
            <w:tcW w:w="676" w:type="dxa"/>
            <w:tcBorders>
              <w:top w:val="nil"/>
              <w:left w:val="nil"/>
              <w:bottom w:val="nil"/>
              <w:right w:val="single" w:sz="4" w:space="0" w:color="auto"/>
            </w:tcBorders>
            <w:shd w:val="clear" w:color="auto" w:fill="auto"/>
            <w:noWrap/>
            <w:vAlign w:val="bottom"/>
            <w:hideMark/>
          </w:tcPr>
          <w:p w14:paraId="13008695" w14:textId="77777777" w:rsidR="009634C4" w:rsidRDefault="009634C4" w:rsidP="009634C4">
            <w:pPr>
              <w:rPr>
                <w:sz w:val="20"/>
                <w:szCs w:val="20"/>
              </w:rPr>
            </w:pPr>
          </w:p>
        </w:tc>
        <w:tc>
          <w:tcPr>
            <w:tcW w:w="720" w:type="dxa"/>
            <w:tcBorders>
              <w:top w:val="nil"/>
              <w:left w:val="single" w:sz="4" w:space="0" w:color="auto"/>
              <w:bottom w:val="nil"/>
              <w:right w:val="nil"/>
            </w:tcBorders>
            <w:shd w:val="clear" w:color="auto" w:fill="auto"/>
            <w:noWrap/>
            <w:vAlign w:val="bottom"/>
            <w:hideMark/>
          </w:tcPr>
          <w:p w14:paraId="1637C03F" w14:textId="77777777" w:rsidR="009634C4" w:rsidRDefault="009634C4" w:rsidP="009634C4">
            <w:pPr>
              <w:rPr>
                <w:sz w:val="20"/>
                <w:szCs w:val="20"/>
              </w:rPr>
            </w:pPr>
          </w:p>
        </w:tc>
        <w:tc>
          <w:tcPr>
            <w:tcW w:w="549" w:type="dxa"/>
            <w:tcBorders>
              <w:top w:val="nil"/>
              <w:left w:val="nil"/>
              <w:bottom w:val="nil"/>
              <w:right w:val="nil"/>
            </w:tcBorders>
            <w:shd w:val="clear" w:color="auto" w:fill="auto"/>
            <w:noWrap/>
            <w:vAlign w:val="bottom"/>
            <w:hideMark/>
          </w:tcPr>
          <w:p w14:paraId="73D6FA9D" w14:textId="77777777" w:rsidR="009634C4" w:rsidRDefault="009634C4" w:rsidP="009634C4">
            <w:pPr>
              <w:rPr>
                <w:sz w:val="20"/>
                <w:szCs w:val="20"/>
              </w:rPr>
            </w:pPr>
          </w:p>
        </w:tc>
        <w:tc>
          <w:tcPr>
            <w:tcW w:w="649" w:type="dxa"/>
            <w:tcBorders>
              <w:top w:val="nil"/>
              <w:left w:val="nil"/>
              <w:bottom w:val="nil"/>
              <w:right w:val="single" w:sz="4" w:space="0" w:color="auto"/>
            </w:tcBorders>
            <w:shd w:val="clear" w:color="auto" w:fill="auto"/>
            <w:noWrap/>
            <w:vAlign w:val="bottom"/>
            <w:hideMark/>
          </w:tcPr>
          <w:p w14:paraId="19594F0D" w14:textId="77777777" w:rsidR="009634C4" w:rsidRDefault="009634C4" w:rsidP="009634C4">
            <w:pPr>
              <w:rPr>
                <w:sz w:val="20"/>
                <w:szCs w:val="20"/>
              </w:rPr>
            </w:pPr>
          </w:p>
        </w:tc>
        <w:tc>
          <w:tcPr>
            <w:tcW w:w="872" w:type="dxa"/>
            <w:tcBorders>
              <w:top w:val="nil"/>
              <w:left w:val="single" w:sz="4" w:space="0" w:color="auto"/>
              <w:bottom w:val="nil"/>
              <w:right w:val="single" w:sz="4" w:space="0" w:color="auto"/>
            </w:tcBorders>
            <w:shd w:val="clear" w:color="auto" w:fill="auto"/>
            <w:noWrap/>
            <w:vAlign w:val="bottom"/>
            <w:hideMark/>
          </w:tcPr>
          <w:p w14:paraId="123A5C80" w14:textId="77777777" w:rsidR="009634C4" w:rsidRDefault="009634C4" w:rsidP="009634C4">
            <w:pPr>
              <w:jc w:val="right"/>
              <w:rPr>
                <w:color w:val="000000"/>
                <w:sz w:val="22"/>
                <w:szCs w:val="22"/>
              </w:rPr>
            </w:pPr>
            <w:r>
              <w:rPr>
                <w:color w:val="000000"/>
                <w:sz w:val="22"/>
                <w:szCs w:val="22"/>
              </w:rPr>
              <w:t>0.10</w:t>
            </w:r>
          </w:p>
        </w:tc>
        <w:tc>
          <w:tcPr>
            <w:tcW w:w="425" w:type="dxa"/>
            <w:tcBorders>
              <w:top w:val="nil"/>
              <w:left w:val="single" w:sz="4" w:space="0" w:color="auto"/>
              <w:bottom w:val="nil"/>
              <w:right w:val="single" w:sz="4" w:space="0" w:color="auto"/>
            </w:tcBorders>
            <w:shd w:val="clear" w:color="auto" w:fill="auto"/>
            <w:noWrap/>
            <w:vAlign w:val="bottom"/>
            <w:hideMark/>
          </w:tcPr>
          <w:p w14:paraId="63FB4582" w14:textId="77777777" w:rsidR="009634C4" w:rsidRDefault="009634C4" w:rsidP="009634C4">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39A6701B" w14:textId="77777777" w:rsidR="009634C4" w:rsidRDefault="009634C4" w:rsidP="009634C4">
            <w:pPr>
              <w:jc w:val="right"/>
              <w:rPr>
                <w:color w:val="000000"/>
                <w:sz w:val="22"/>
                <w:szCs w:val="22"/>
              </w:rPr>
            </w:pPr>
            <w:r>
              <w:rPr>
                <w:color w:val="000000"/>
                <w:sz w:val="22"/>
                <w:szCs w:val="22"/>
              </w:rPr>
              <w:t>0.75</w:t>
            </w:r>
          </w:p>
        </w:tc>
      </w:tr>
      <w:tr w:rsidR="009634C4" w14:paraId="52B67E52"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275FAA92" w14:textId="77777777" w:rsidR="009634C4" w:rsidRDefault="009634C4" w:rsidP="009634C4">
            <w:pPr>
              <w:jc w:val="right"/>
              <w:rPr>
                <w:color w:val="000000"/>
                <w:sz w:val="22"/>
                <w:szCs w:val="22"/>
              </w:rPr>
            </w:pPr>
          </w:p>
        </w:tc>
        <w:tc>
          <w:tcPr>
            <w:tcW w:w="2658" w:type="dxa"/>
            <w:tcBorders>
              <w:top w:val="nil"/>
              <w:left w:val="nil"/>
              <w:bottom w:val="nil"/>
              <w:right w:val="single" w:sz="4" w:space="0" w:color="auto"/>
            </w:tcBorders>
            <w:shd w:val="clear" w:color="auto" w:fill="auto"/>
            <w:noWrap/>
            <w:vAlign w:val="bottom"/>
            <w:hideMark/>
          </w:tcPr>
          <w:p w14:paraId="1C1F7D1B" w14:textId="1FA2B1C3" w:rsidR="009634C4" w:rsidRDefault="009634C4" w:rsidP="009634C4">
            <w:pPr>
              <w:rPr>
                <w:color w:val="000000"/>
                <w:sz w:val="22"/>
                <w:szCs w:val="22"/>
              </w:rPr>
            </w:pPr>
            <w:r>
              <w:rPr>
                <w:color w:val="000000"/>
                <w:sz w:val="22"/>
                <w:szCs w:val="22"/>
              </w:rPr>
              <w:t>Current Account</w:t>
            </w:r>
          </w:p>
        </w:tc>
        <w:tc>
          <w:tcPr>
            <w:tcW w:w="720" w:type="dxa"/>
            <w:tcBorders>
              <w:top w:val="nil"/>
              <w:left w:val="single" w:sz="4" w:space="0" w:color="auto"/>
              <w:bottom w:val="nil"/>
              <w:right w:val="nil"/>
            </w:tcBorders>
            <w:shd w:val="clear" w:color="auto" w:fill="auto"/>
            <w:noWrap/>
            <w:vAlign w:val="bottom"/>
            <w:hideMark/>
          </w:tcPr>
          <w:p w14:paraId="7F0F3505" w14:textId="77777777" w:rsidR="009634C4" w:rsidRDefault="009634C4" w:rsidP="009634C4">
            <w:pPr>
              <w:rPr>
                <w:color w:val="000000"/>
                <w:sz w:val="22"/>
                <w:szCs w:val="22"/>
              </w:rPr>
            </w:pPr>
          </w:p>
        </w:tc>
        <w:tc>
          <w:tcPr>
            <w:tcW w:w="494" w:type="dxa"/>
            <w:tcBorders>
              <w:top w:val="nil"/>
              <w:left w:val="nil"/>
              <w:bottom w:val="nil"/>
              <w:right w:val="nil"/>
            </w:tcBorders>
            <w:shd w:val="clear" w:color="auto" w:fill="auto"/>
            <w:noWrap/>
            <w:vAlign w:val="bottom"/>
            <w:hideMark/>
          </w:tcPr>
          <w:p w14:paraId="0571F436" w14:textId="77777777" w:rsidR="009634C4" w:rsidRDefault="009634C4" w:rsidP="009634C4">
            <w:pPr>
              <w:rPr>
                <w:sz w:val="20"/>
                <w:szCs w:val="20"/>
              </w:rPr>
            </w:pPr>
          </w:p>
        </w:tc>
        <w:tc>
          <w:tcPr>
            <w:tcW w:w="676" w:type="dxa"/>
            <w:tcBorders>
              <w:top w:val="nil"/>
              <w:left w:val="nil"/>
              <w:bottom w:val="nil"/>
              <w:right w:val="single" w:sz="4" w:space="0" w:color="auto"/>
            </w:tcBorders>
            <w:shd w:val="clear" w:color="auto" w:fill="auto"/>
            <w:noWrap/>
            <w:vAlign w:val="bottom"/>
            <w:hideMark/>
          </w:tcPr>
          <w:p w14:paraId="7FB26499" w14:textId="77777777" w:rsidR="009634C4" w:rsidRDefault="009634C4" w:rsidP="009634C4">
            <w:pPr>
              <w:rPr>
                <w:sz w:val="20"/>
                <w:szCs w:val="20"/>
              </w:rPr>
            </w:pPr>
          </w:p>
        </w:tc>
        <w:tc>
          <w:tcPr>
            <w:tcW w:w="720" w:type="dxa"/>
            <w:tcBorders>
              <w:top w:val="nil"/>
              <w:left w:val="single" w:sz="4" w:space="0" w:color="auto"/>
              <w:bottom w:val="nil"/>
              <w:right w:val="nil"/>
            </w:tcBorders>
            <w:shd w:val="clear" w:color="auto" w:fill="auto"/>
            <w:noWrap/>
            <w:vAlign w:val="bottom"/>
            <w:hideMark/>
          </w:tcPr>
          <w:p w14:paraId="79CA4F7E" w14:textId="77777777" w:rsidR="009634C4" w:rsidRDefault="009634C4" w:rsidP="009634C4">
            <w:pPr>
              <w:rPr>
                <w:sz w:val="20"/>
                <w:szCs w:val="20"/>
              </w:rPr>
            </w:pPr>
          </w:p>
        </w:tc>
        <w:tc>
          <w:tcPr>
            <w:tcW w:w="549" w:type="dxa"/>
            <w:tcBorders>
              <w:top w:val="nil"/>
              <w:left w:val="nil"/>
              <w:bottom w:val="nil"/>
              <w:right w:val="nil"/>
            </w:tcBorders>
            <w:shd w:val="clear" w:color="auto" w:fill="auto"/>
            <w:noWrap/>
            <w:vAlign w:val="bottom"/>
            <w:hideMark/>
          </w:tcPr>
          <w:p w14:paraId="6158962C" w14:textId="77777777" w:rsidR="009634C4" w:rsidRDefault="009634C4" w:rsidP="009634C4">
            <w:pPr>
              <w:rPr>
                <w:sz w:val="20"/>
                <w:szCs w:val="20"/>
              </w:rPr>
            </w:pPr>
          </w:p>
        </w:tc>
        <w:tc>
          <w:tcPr>
            <w:tcW w:w="649" w:type="dxa"/>
            <w:tcBorders>
              <w:top w:val="nil"/>
              <w:left w:val="nil"/>
              <w:bottom w:val="nil"/>
              <w:right w:val="single" w:sz="4" w:space="0" w:color="auto"/>
            </w:tcBorders>
            <w:shd w:val="clear" w:color="auto" w:fill="auto"/>
            <w:noWrap/>
            <w:vAlign w:val="bottom"/>
            <w:hideMark/>
          </w:tcPr>
          <w:p w14:paraId="1E860A80" w14:textId="77777777" w:rsidR="009634C4" w:rsidRDefault="009634C4" w:rsidP="009634C4">
            <w:pPr>
              <w:rPr>
                <w:sz w:val="20"/>
                <w:szCs w:val="20"/>
              </w:rPr>
            </w:pPr>
          </w:p>
        </w:tc>
        <w:tc>
          <w:tcPr>
            <w:tcW w:w="872" w:type="dxa"/>
            <w:tcBorders>
              <w:top w:val="nil"/>
              <w:left w:val="single" w:sz="4" w:space="0" w:color="auto"/>
              <w:bottom w:val="nil"/>
              <w:right w:val="single" w:sz="4" w:space="0" w:color="auto"/>
            </w:tcBorders>
            <w:shd w:val="clear" w:color="auto" w:fill="auto"/>
            <w:noWrap/>
            <w:vAlign w:val="bottom"/>
            <w:hideMark/>
          </w:tcPr>
          <w:p w14:paraId="174D9549" w14:textId="77777777" w:rsidR="009634C4" w:rsidRDefault="009634C4" w:rsidP="009634C4">
            <w:pPr>
              <w:jc w:val="right"/>
              <w:rPr>
                <w:color w:val="000000"/>
                <w:sz w:val="22"/>
                <w:szCs w:val="22"/>
              </w:rPr>
            </w:pPr>
            <w:r>
              <w:rPr>
                <w:color w:val="000000"/>
                <w:sz w:val="22"/>
                <w:szCs w:val="22"/>
              </w:rPr>
              <w:t>5.37</w:t>
            </w:r>
          </w:p>
        </w:tc>
        <w:tc>
          <w:tcPr>
            <w:tcW w:w="425" w:type="dxa"/>
            <w:tcBorders>
              <w:top w:val="nil"/>
              <w:left w:val="single" w:sz="4" w:space="0" w:color="auto"/>
              <w:bottom w:val="nil"/>
              <w:right w:val="single" w:sz="4" w:space="0" w:color="auto"/>
            </w:tcBorders>
            <w:shd w:val="clear" w:color="auto" w:fill="auto"/>
            <w:noWrap/>
            <w:vAlign w:val="bottom"/>
            <w:hideMark/>
          </w:tcPr>
          <w:p w14:paraId="1664E19F" w14:textId="77777777" w:rsidR="009634C4" w:rsidRDefault="009634C4" w:rsidP="009634C4">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37304AE8" w14:textId="77777777" w:rsidR="009634C4" w:rsidRDefault="009634C4" w:rsidP="009634C4">
            <w:pPr>
              <w:jc w:val="right"/>
              <w:rPr>
                <w:color w:val="000000"/>
                <w:sz w:val="22"/>
                <w:szCs w:val="22"/>
              </w:rPr>
            </w:pPr>
            <w:r>
              <w:rPr>
                <w:color w:val="000000"/>
                <w:sz w:val="22"/>
                <w:szCs w:val="22"/>
              </w:rPr>
              <w:t>0.02</w:t>
            </w:r>
          </w:p>
        </w:tc>
      </w:tr>
      <w:tr w:rsidR="003C2D23" w14:paraId="46C49B9D" w14:textId="77777777" w:rsidTr="009634C4">
        <w:trPr>
          <w:trHeight w:val="288"/>
        </w:trPr>
        <w:tc>
          <w:tcPr>
            <w:tcW w:w="1117" w:type="dxa"/>
            <w:tcBorders>
              <w:top w:val="nil"/>
              <w:left w:val="single" w:sz="4" w:space="0" w:color="auto"/>
              <w:bottom w:val="nil"/>
              <w:right w:val="nil"/>
            </w:tcBorders>
            <w:shd w:val="clear" w:color="auto" w:fill="auto"/>
            <w:noWrap/>
            <w:vAlign w:val="bottom"/>
            <w:hideMark/>
          </w:tcPr>
          <w:p w14:paraId="3E18FA0A" w14:textId="77777777" w:rsidR="003C2D23" w:rsidRDefault="003C2D23" w:rsidP="003C2D23">
            <w:pPr>
              <w:jc w:val="right"/>
              <w:rPr>
                <w:color w:val="000000"/>
                <w:sz w:val="22"/>
                <w:szCs w:val="22"/>
              </w:rPr>
            </w:pPr>
          </w:p>
        </w:tc>
        <w:tc>
          <w:tcPr>
            <w:tcW w:w="2658" w:type="dxa"/>
            <w:tcBorders>
              <w:top w:val="nil"/>
              <w:left w:val="nil"/>
              <w:bottom w:val="nil"/>
              <w:right w:val="single" w:sz="4" w:space="0" w:color="auto"/>
            </w:tcBorders>
            <w:shd w:val="clear" w:color="auto" w:fill="auto"/>
            <w:noWrap/>
            <w:vAlign w:val="bottom"/>
            <w:hideMark/>
          </w:tcPr>
          <w:p w14:paraId="5F3D1AD6" w14:textId="453D31B6" w:rsidR="003C2D23" w:rsidRDefault="009634C4" w:rsidP="003C2D23">
            <w:pPr>
              <w:rPr>
                <w:color w:val="000000"/>
                <w:sz w:val="22"/>
                <w:szCs w:val="22"/>
              </w:rPr>
            </w:pPr>
            <w:r>
              <w:rPr>
                <w:color w:val="000000"/>
                <w:sz w:val="22"/>
                <w:szCs w:val="22"/>
              </w:rPr>
              <w:t>Real Interest Rate</w:t>
            </w:r>
          </w:p>
        </w:tc>
        <w:tc>
          <w:tcPr>
            <w:tcW w:w="720" w:type="dxa"/>
            <w:tcBorders>
              <w:top w:val="nil"/>
              <w:left w:val="single" w:sz="4" w:space="0" w:color="auto"/>
              <w:bottom w:val="nil"/>
              <w:right w:val="nil"/>
            </w:tcBorders>
            <w:shd w:val="clear" w:color="auto" w:fill="auto"/>
            <w:noWrap/>
            <w:vAlign w:val="bottom"/>
            <w:hideMark/>
          </w:tcPr>
          <w:p w14:paraId="463B6F57" w14:textId="77777777" w:rsidR="003C2D23" w:rsidRDefault="003C2D23" w:rsidP="003C2D23">
            <w:pPr>
              <w:rPr>
                <w:color w:val="000000"/>
                <w:sz w:val="22"/>
                <w:szCs w:val="22"/>
              </w:rPr>
            </w:pPr>
          </w:p>
        </w:tc>
        <w:tc>
          <w:tcPr>
            <w:tcW w:w="494" w:type="dxa"/>
            <w:tcBorders>
              <w:top w:val="nil"/>
              <w:left w:val="nil"/>
              <w:bottom w:val="nil"/>
              <w:right w:val="nil"/>
            </w:tcBorders>
            <w:shd w:val="clear" w:color="auto" w:fill="auto"/>
            <w:noWrap/>
            <w:vAlign w:val="bottom"/>
            <w:hideMark/>
          </w:tcPr>
          <w:p w14:paraId="712B3026" w14:textId="77777777" w:rsidR="003C2D23" w:rsidRDefault="003C2D23" w:rsidP="003C2D23">
            <w:pPr>
              <w:rPr>
                <w:sz w:val="20"/>
                <w:szCs w:val="20"/>
              </w:rPr>
            </w:pPr>
          </w:p>
        </w:tc>
        <w:tc>
          <w:tcPr>
            <w:tcW w:w="676" w:type="dxa"/>
            <w:tcBorders>
              <w:top w:val="nil"/>
              <w:left w:val="nil"/>
              <w:bottom w:val="nil"/>
              <w:right w:val="single" w:sz="4" w:space="0" w:color="auto"/>
            </w:tcBorders>
            <w:shd w:val="clear" w:color="auto" w:fill="auto"/>
            <w:noWrap/>
            <w:vAlign w:val="bottom"/>
            <w:hideMark/>
          </w:tcPr>
          <w:p w14:paraId="20E30FF4" w14:textId="77777777" w:rsidR="003C2D23" w:rsidRDefault="003C2D23" w:rsidP="003C2D23">
            <w:pPr>
              <w:rPr>
                <w:sz w:val="20"/>
                <w:szCs w:val="20"/>
              </w:rPr>
            </w:pPr>
          </w:p>
        </w:tc>
        <w:tc>
          <w:tcPr>
            <w:tcW w:w="720" w:type="dxa"/>
            <w:tcBorders>
              <w:top w:val="nil"/>
              <w:left w:val="single" w:sz="4" w:space="0" w:color="auto"/>
              <w:bottom w:val="nil"/>
              <w:right w:val="nil"/>
            </w:tcBorders>
            <w:shd w:val="clear" w:color="auto" w:fill="auto"/>
            <w:noWrap/>
            <w:vAlign w:val="bottom"/>
            <w:hideMark/>
          </w:tcPr>
          <w:p w14:paraId="41E7B7B7" w14:textId="77777777" w:rsidR="003C2D23" w:rsidRDefault="003C2D23" w:rsidP="003C2D23">
            <w:pPr>
              <w:rPr>
                <w:sz w:val="20"/>
                <w:szCs w:val="20"/>
              </w:rPr>
            </w:pPr>
          </w:p>
        </w:tc>
        <w:tc>
          <w:tcPr>
            <w:tcW w:w="549" w:type="dxa"/>
            <w:tcBorders>
              <w:top w:val="nil"/>
              <w:left w:val="nil"/>
              <w:bottom w:val="nil"/>
              <w:right w:val="nil"/>
            </w:tcBorders>
            <w:shd w:val="clear" w:color="auto" w:fill="auto"/>
            <w:noWrap/>
            <w:vAlign w:val="bottom"/>
            <w:hideMark/>
          </w:tcPr>
          <w:p w14:paraId="717FCA88" w14:textId="77777777" w:rsidR="003C2D23" w:rsidRDefault="003C2D23" w:rsidP="003C2D23">
            <w:pPr>
              <w:rPr>
                <w:sz w:val="20"/>
                <w:szCs w:val="20"/>
              </w:rPr>
            </w:pPr>
          </w:p>
        </w:tc>
        <w:tc>
          <w:tcPr>
            <w:tcW w:w="649" w:type="dxa"/>
            <w:tcBorders>
              <w:top w:val="nil"/>
              <w:left w:val="nil"/>
              <w:bottom w:val="nil"/>
              <w:right w:val="single" w:sz="4" w:space="0" w:color="auto"/>
            </w:tcBorders>
            <w:shd w:val="clear" w:color="auto" w:fill="auto"/>
            <w:noWrap/>
            <w:vAlign w:val="bottom"/>
            <w:hideMark/>
          </w:tcPr>
          <w:p w14:paraId="4E89C88E" w14:textId="77777777" w:rsidR="003C2D23" w:rsidRDefault="003C2D23" w:rsidP="003C2D23">
            <w:pPr>
              <w:rPr>
                <w:sz w:val="20"/>
                <w:szCs w:val="20"/>
              </w:rPr>
            </w:pPr>
          </w:p>
        </w:tc>
        <w:tc>
          <w:tcPr>
            <w:tcW w:w="872" w:type="dxa"/>
            <w:tcBorders>
              <w:top w:val="nil"/>
              <w:left w:val="single" w:sz="4" w:space="0" w:color="auto"/>
              <w:bottom w:val="nil"/>
              <w:right w:val="single" w:sz="4" w:space="0" w:color="auto"/>
            </w:tcBorders>
            <w:shd w:val="clear" w:color="auto" w:fill="auto"/>
            <w:noWrap/>
            <w:vAlign w:val="bottom"/>
            <w:hideMark/>
          </w:tcPr>
          <w:p w14:paraId="16DFC0E3" w14:textId="77777777" w:rsidR="003C2D23" w:rsidRDefault="003C2D23" w:rsidP="003C2D23">
            <w:pPr>
              <w:jc w:val="right"/>
              <w:rPr>
                <w:color w:val="000000"/>
                <w:sz w:val="22"/>
                <w:szCs w:val="22"/>
              </w:rPr>
            </w:pPr>
            <w:r>
              <w:rPr>
                <w:color w:val="000000"/>
                <w:sz w:val="22"/>
                <w:szCs w:val="22"/>
              </w:rPr>
              <w:t>8.16</w:t>
            </w:r>
          </w:p>
        </w:tc>
        <w:tc>
          <w:tcPr>
            <w:tcW w:w="425" w:type="dxa"/>
            <w:tcBorders>
              <w:top w:val="nil"/>
              <w:left w:val="single" w:sz="4" w:space="0" w:color="auto"/>
              <w:bottom w:val="nil"/>
              <w:right w:val="single" w:sz="4" w:space="0" w:color="auto"/>
            </w:tcBorders>
            <w:shd w:val="clear" w:color="auto" w:fill="auto"/>
            <w:noWrap/>
            <w:vAlign w:val="bottom"/>
            <w:hideMark/>
          </w:tcPr>
          <w:p w14:paraId="20F77B04" w14:textId="77777777" w:rsidR="003C2D23" w:rsidRDefault="003C2D23" w:rsidP="003C2D23">
            <w:pPr>
              <w:jc w:val="right"/>
              <w:rPr>
                <w:color w:val="000000"/>
                <w:sz w:val="22"/>
                <w:szCs w:val="22"/>
              </w:rPr>
            </w:pPr>
            <w:r>
              <w:rPr>
                <w:color w:val="000000"/>
                <w:sz w:val="22"/>
                <w:szCs w:val="22"/>
              </w:rPr>
              <w:t>1</w:t>
            </w:r>
          </w:p>
        </w:tc>
        <w:tc>
          <w:tcPr>
            <w:tcW w:w="650" w:type="dxa"/>
            <w:tcBorders>
              <w:top w:val="nil"/>
              <w:left w:val="single" w:sz="4" w:space="0" w:color="auto"/>
              <w:bottom w:val="nil"/>
              <w:right w:val="single" w:sz="4" w:space="0" w:color="auto"/>
            </w:tcBorders>
            <w:shd w:val="clear" w:color="auto" w:fill="auto"/>
            <w:noWrap/>
            <w:vAlign w:val="bottom"/>
            <w:hideMark/>
          </w:tcPr>
          <w:p w14:paraId="513704EB" w14:textId="77777777" w:rsidR="003C2D23" w:rsidRDefault="003C2D23" w:rsidP="003C2D23">
            <w:pPr>
              <w:jc w:val="right"/>
              <w:rPr>
                <w:color w:val="000000"/>
                <w:sz w:val="22"/>
                <w:szCs w:val="22"/>
              </w:rPr>
            </w:pPr>
            <w:r>
              <w:rPr>
                <w:color w:val="000000"/>
                <w:sz w:val="22"/>
                <w:szCs w:val="22"/>
              </w:rPr>
              <w:t>0.00</w:t>
            </w:r>
          </w:p>
        </w:tc>
      </w:tr>
      <w:tr w:rsidR="003C2D23" w14:paraId="5DC5E0B7" w14:textId="77777777" w:rsidTr="009634C4">
        <w:trPr>
          <w:trHeight w:val="288"/>
        </w:trPr>
        <w:tc>
          <w:tcPr>
            <w:tcW w:w="1117" w:type="dxa"/>
            <w:tcBorders>
              <w:top w:val="nil"/>
              <w:left w:val="single" w:sz="4" w:space="0" w:color="auto"/>
              <w:bottom w:val="single" w:sz="4" w:space="0" w:color="auto"/>
              <w:right w:val="nil"/>
            </w:tcBorders>
            <w:shd w:val="clear" w:color="auto" w:fill="auto"/>
            <w:noWrap/>
            <w:vAlign w:val="bottom"/>
            <w:hideMark/>
          </w:tcPr>
          <w:p w14:paraId="7F92B39E" w14:textId="77777777" w:rsidR="003C2D23" w:rsidRDefault="003C2D23" w:rsidP="003C2D23">
            <w:pPr>
              <w:jc w:val="right"/>
              <w:rPr>
                <w:color w:val="000000"/>
                <w:sz w:val="22"/>
                <w:szCs w:val="22"/>
              </w:rPr>
            </w:pPr>
          </w:p>
        </w:tc>
        <w:tc>
          <w:tcPr>
            <w:tcW w:w="2658" w:type="dxa"/>
            <w:tcBorders>
              <w:top w:val="nil"/>
              <w:left w:val="nil"/>
              <w:bottom w:val="single" w:sz="4" w:space="0" w:color="auto"/>
              <w:right w:val="single" w:sz="4" w:space="0" w:color="auto"/>
            </w:tcBorders>
            <w:shd w:val="clear" w:color="auto" w:fill="auto"/>
            <w:noWrap/>
            <w:vAlign w:val="bottom"/>
            <w:hideMark/>
          </w:tcPr>
          <w:p w14:paraId="3A01AF95" w14:textId="77777777" w:rsidR="003C2D23" w:rsidRDefault="003C2D23" w:rsidP="003C2D23">
            <w:pPr>
              <w:rPr>
                <w:color w:val="000000"/>
                <w:sz w:val="22"/>
                <w:szCs w:val="22"/>
              </w:rPr>
            </w:pPr>
            <w:r>
              <w:rPr>
                <w:color w:val="000000"/>
                <w:sz w:val="22"/>
                <w:szCs w:val="22"/>
              </w:rPr>
              <w:t>ALL</w:t>
            </w:r>
          </w:p>
        </w:tc>
        <w:tc>
          <w:tcPr>
            <w:tcW w:w="720" w:type="dxa"/>
            <w:tcBorders>
              <w:top w:val="nil"/>
              <w:left w:val="single" w:sz="4" w:space="0" w:color="auto"/>
              <w:bottom w:val="single" w:sz="4" w:space="0" w:color="auto"/>
              <w:right w:val="nil"/>
            </w:tcBorders>
            <w:shd w:val="clear" w:color="auto" w:fill="auto"/>
            <w:noWrap/>
            <w:vAlign w:val="bottom"/>
            <w:hideMark/>
          </w:tcPr>
          <w:p w14:paraId="6DB9B248" w14:textId="77777777" w:rsidR="003C2D23" w:rsidRDefault="003C2D23" w:rsidP="003C2D23">
            <w:pPr>
              <w:rPr>
                <w:color w:val="000000"/>
                <w:sz w:val="22"/>
                <w:szCs w:val="22"/>
              </w:rPr>
            </w:pPr>
          </w:p>
        </w:tc>
        <w:tc>
          <w:tcPr>
            <w:tcW w:w="494" w:type="dxa"/>
            <w:tcBorders>
              <w:top w:val="nil"/>
              <w:left w:val="nil"/>
              <w:bottom w:val="single" w:sz="4" w:space="0" w:color="auto"/>
              <w:right w:val="nil"/>
            </w:tcBorders>
            <w:shd w:val="clear" w:color="auto" w:fill="auto"/>
            <w:noWrap/>
            <w:vAlign w:val="bottom"/>
            <w:hideMark/>
          </w:tcPr>
          <w:p w14:paraId="07F9551E" w14:textId="77777777" w:rsidR="003C2D23" w:rsidRDefault="003C2D23" w:rsidP="003C2D23">
            <w:pPr>
              <w:rPr>
                <w:sz w:val="20"/>
                <w:szCs w:val="20"/>
              </w:rPr>
            </w:pPr>
          </w:p>
        </w:tc>
        <w:tc>
          <w:tcPr>
            <w:tcW w:w="676" w:type="dxa"/>
            <w:tcBorders>
              <w:top w:val="nil"/>
              <w:left w:val="nil"/>
              <w:bottom w:val="single" w:sz="4" w:space="0" w:color="auto"/>
              <w:right w:val="single" w:sz="4" w:space="0" w:color="auto"/>
            </w:tcBorders>
            <w:shd w:val="clear" w:color="auto" w:fill="auto"/>
            <w:noWrap/>
            <w:vAlign w:val="bottom"/>
            <w:hideMark/>
          </w:tcPr>
          <w:p w14:paraId="0343152D" w14:textId="77777777" w:rsidR="003C2D23" w:rsidRDefault="003C2D23" w:rsidP="003C2D23">
            <w:pPr>
              <w:rPr>
                <w:sz w:val="20"/>
                <w:szCs w:val="20"/>
              </w:rPr>
            </w:pPr>
          </w:p>
        </w:tc>
        <w:tc>
          <w:tcPr>
            <w:tcW w:w="720" w:type="dxa"/>
            <w:tcBorders>
              <w:top w:val="nil"/>
              <w:left w:val="single" w:sz="4" w:space="0" w:color="auto"/>
              <w:bottom w:val="single" w:sz="4" w:space="0" w:color="auto"/>
              <w:right w:val="nil"/>
            </w:tcBorders>
            <w:shd w:val="clear" w:color="auto" w:fill="auto"/>
            <w:noWrap/>
            <w:vAlign w:val="bottom"/>
            <w:hideMark/>
          </w:tcPr>
          <w:p w14:paraId="3F901872" w14:textId="77777777" w:rsidR="003C2D23" w:rsidRDefault="003C2D23" w:rsidP="003C2D23">
            <w:pPr>
              <w:rPr>
                <w:sz w:val="20"/>
                <w:szCs w:val="20"/>
              </w:rPr>
            </w:pPr>
          </w:p>
        </w:tc>
        <w:tc>
          <w:tcPr>
            <w:tcW w:w="549" w:type="dxa"/>
            <w:tcBorders>
              <w:top w:val="nil"/>
              <w:left w:val="nil"/>
              <w:bottom w:val="single" w:sz="4" w:space="0" w:color="auto"/>
              <w:right w:val="nil"/>
            </w:tcBorders>
            <w:shd w:val="clear" w:color="auto" w:fill="auto"/>
            <w:noWrap/>
            <w:vAlign w:val="bottom"/>
            <w:hideMark/>
          </w:tcPr>
          <w:p w14:paraId="160690A1" w14:textId="77777777" w:rsidR="003C2D23" w:rsidRDefault="003C2D23" w:rsidP="003C2D23">
            <w:pPr>
              <w:rPr>
                <w:sz w:val="20"/>
                <w:szCs w:val="20"/>
              </w:rPr>
            </w:pPr>
          </w:p>
        </w:tc>
        <w:tc>
          <w:tcPr>
            <w:tcW w:w="649" w:type="dxa"/>
            <w:tcBorders>
              <w:top w:val="nil"/>
              <w:left w:val="nil"/>
              <w:bottom w:val="single" w:sz="4" w:space="0" w:color="auto"/>
              <w:right w:val="single" w:sz="4" w:space="0" w:color="auto"/>
            </w:tcBorders>
            <w:shd w:val="clear" w:color="auto" w:fill="auto"/>
            <w:noWrap/>
            <w:vAlign w:val="bottom"/>
            <w:hideMark/>
          </w:tcPr>
          <w:p w14:paraId="14E73859" w14:textId="77777777" w:rsidR="003C2D23" w:rsidRDefault="003C2D23" w:rsidP="003C2D23">
            <w:pPr>
              <w:rPr>
                <w:sz w:val="20"/>
                <w:szCs w:val="20"/>
              </w:rPr>
            </w:pPr>
          </w:p>
        </w:tc>
        <w:tc>
          <w:tcPr>
            <w:tcW w:w="872" w:type="dxa"/>
            <w:tcBorders>
              <w:top w:val="nil"/>
              <w:left w:val="single" w:sz="4" w:space="0" w:color="auto"/>
              <w:bottom w:val="single" w:sz="4" w:space="0" w:color="auto"/>
              <w:right w:val="single" w:sz="4" w:space="0" w:color="auto"/>
            </w:tcBorders>
            <w:shd w:val="clear" w:color="auto" w:fill="auto"/>
            <w:noWrap/>
            <w:vAlign w:val="bottom"/>
            <w:hideMark/>
          </w:tcPr>
          <w:p w14:paraId="0569693B" w14:textId="77777777" w:rsidR="003C2D23" w:rsidRDefault="003C2D23" w:rsidP="003C2D23">
            <w:pPr>
              <w:jc w:val="right"/>
              <w:rPr>
                <w:color w:val="000000"/>
                <w:sz w:val="22"/>
                <w:szCs w:val="22"/>
              </w:rPr>
            </w:pPr>
            <w:r>
              <w:rPr>
                <w:color w:val="000000"/>
                <w:sz w:val="22"/>
                <w:szCs w:val="22"/>
              </w:rPr>
              <w:t>8.75</w:t>
            </w:r>
          </w:p>
        </w:tc>
        <w:tc>
          <w:tcPr>
            <w:tcW w:w="425" w:type="dxa"/>
            <w:tcBorders>
              <w:top w:val="nil"/>
              <w:left w:val="single" w:sz="4" w:space="0" w:color="auto"/>
              <w:bottom w:val="single" w:sz="4" w:space="0" w:color="auto"/>
              <w:right w:val="single" w:sz="4" w:space="0" w:color="auto"/>
            </w:tcBorders>
            <w:shd w:val="clear" w:color="auto" w:fill="auto"/>
            <w:noWrap/>
            <w:vAlign w:val="bottom"/>
            <w:hideMark/>
          </w:tcPr>
          <w:p w14:paraId="37F6A712" w14:textId="77777777" w:rsidR="003C2D23" w:rsidRDefault="003C2D23" w:rsidP="003C2D23">
            <w:pPr>
              <w:jc w:val="right"/>
              <w:rPr>
                <w:color w:val="000000"/>
                <w:sz w:val="22"/>
                <w:szCs w:val="22"/>
              </w:rPr>
            </w:pPr>
            <w:r>
              <w:rPr>
                <w:color w:val="000000"/>
                <w:sz w:val="22"/>
                <w:szCs w:val="22"/>
              </w:rPr>
              <w:t>4</w:t>
            </w:r>
          </w:p>
        </w:tc>
        <w:tc>
          <w:tcPr>
            <w:tcW w:w="650" w:type="dxa"/>
            <w:tcBorders>
              <w:top w:val="nil"/>
              <w:left w:val="single" w:sz="4" w:space="0" w:color="auto"/>
              <w:bottom w:val="single" w:sz="4" w:space="0" w:color="auto"/>
              <w:right w:val="single" w:sz="4" w:space="0" w:color="auto"/>
            </w:tcBorders>
            <w:shd w:val="clear" w:color="auto" w:fill="auto"/>
            <w:noWrap/>
            <w:vAlign w:val="bottom"/>
            <w:hideMark/>
          </w:tcPr>
          <w:p w14:paraId="0C741E95" w14:textId="77777777" w:rsidR="003C2D23" w:rsidRDefault="003C2D23" w:rsidP="003C2D23">
            <w:pPr>
              <w:jc w:val="right"/>
              <w:rPr>
                <w:color w:val="000000"/>
                <w:sz w:val="22"/>
                <w:szCs w:val="22"/>
              </w:rPr>
            </w:pPr>
            <w:r>
              <w:rPr>
                <w:color w:val="000000"/>
                <w:sz w:val="22"/>
                <w:szCs w:val="22"/>
              </w:rPr>
              <w:t>0.07</w:t>
            </w:r>
          </w:p>
        </w:tc>
      </w:tr>
    </w:tbl>
    <w:p w14:paraId="07D75D00" w14:textId="6C177EB9" w:rsidR="00D06FC0" w:rsidRDefault="00D06FC0" w:rsidP="0035674B"/>
    <w:p w14:paraId="5C65621C" w14:textId="6F317001" w:rsidR="00D06FC0" w:rsidRDefault="00D06FC0" w:rsidP="0035674B"/>
    <w:p w14:paraId="56A2CBC6" w14:textId="3E705D0C" w:rsidR="00BB6E7C" w:rsidRDefault="00BB6E7C" w:rsidP="0035674B"/>
    <w:p w14:paraId="77AE6155" w14:textId="77D9011F" w:rsidR="00BB6E7C" w:rsidRDefault="00BB6E7C" w:rsidP="0035674B"/>
    <w:p w14:paraId="5B0CFD38" w14:textId="1C5B2A08" w:rsidR="00BB6E7C" w:rsidRDefault="00BB6E7C" w:rsidP="0035674B"/>
    <w:p w14:paraId="706842D4" w14:textId="6AD8BB9E" w:rsidR="00BB6E7C" w:rsidRDefault="00BB6E7C" w:rsidP="0035674B"/>
    <w:p w14:paraId="17A29F4D" w14:textId="54C60D09" w:rsidR="00BB6E7C" w:rsidRDefault="00BB6E7C" w:rsidP="0035674B"/>
    <w:p w14:paraId="4CEEF7B9" w14:textId="06A24BCD" w:rsidR="00BB6E7C" w:rsidRDefault="00BB6E7C" w:rsidP="0035674B"/>
    <w:p w14:paraId="1B42B7EA" w14:textId="69964793" w:rsidR="00BB6E7C" w:rsidRDefault="00BB6E7C" w:rsidP="0035674B"/>
    <w:p w14:paraId="4544BBC0" w14:textId="78E39D6C" w:rsidR="00BB6E7C" w:rsidRDefault="00BB6E7C" w:rsidP="0035674B"/>
    <w:p w14:paraId="7F616010" w14:textId="3EC67B6F" w:rsidR="00D06FC0" w:rsidRDefault="009634C4" w:rsidP="009634C4">
      <w:pPr>
        <w:spacing w:line="480" w:lineRule="auto"/>
        <w:jc w:val="center"/>
      </w:pPr>
      <w:r>
        <w:rPr>
          <w:b/>
          <w:bCs/>
        </w:rPr>
        <w:lastRenderedPageBreak/>
        <w:t xml:space="preserve">Table 7: </w:t>
      </w:r>
      <w:r>
        <w:t xml:space="preserve">The Panel Data Models </w:t>
      </w:r>
    </w:p>
    <w:tbl>
      <w:tblPr>
        <w:tblW w:w="10674" w:type="dxa"/>
        <w:tblInd w:w="-360" w:type="dxa"/>
        <w:tblLayout w:type="fixed"/>
        <w:tblLook w:val="04A0" w:firstRow="1" w:lastRow="0" w:firstColumn="1" w:lastColumn="0" w:noHBand="0" w:noVBand="1"/>
      </w:tblPr>
      <w:tblGrid>
        <w:gridCol w:w="3593"/>
        <w:gridCol w:w="963"/>
        <w:gridCol w:w="215"/>
        <w:gridCol w:w="755"/>
        <w:gridCol w:w="425"/>
        <w:gridCol w:w="541"/>
        <w:gridCol w:w="639"/>
        <w:gridCol w:w="327"/>
        <w:gridCol w:w="853"/>
        <w:gridCol w:w="113"/>
        <w:gridCol w:w="1067"/>
        <w:gridCol w:w="1183"/>
      </w:tblGrid>
      <w:tr w:rsidR="00214B02" w:rsidRPr="009C2EA4" w14:paraId="782EEF1B" w14:textId="77777777" w:rsidTr="009634C4">
        <w:trPr>
          <w:trHeight w:val="288"/>
        </w:trPr>
        <w:tc>
          <w:tcPr>
            <w:tcW w:w="3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17ED2" w14:textId="77777777" w:rsidR="00214B02" w:rsidRPr="009C2EA4" w:rsidRDefault="00214B02" w:rsidP="00214B02">
            <w:pPr>
              <w:rPr>
                <w:sz w:val="20"/>
                <w:szCs w:val="20"/>
              </w:rPr>
            </w:pPr>
          </w:p>
        </w:tc>
        <w:tc>
          <w:tcPr>
            <w:tcW w:w="11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AEB3F" w14:textId="1B4EEC1A" w:rsidR="00214B02" w:rsidRPr="009C2EA4" w:rsidRDefault="00214B02" w:rsidP="00214B02">
            <w:pPr>
              <w:jc w:val="center"/>
              <w:rPr>
                <w:color w:val="000000"/>
                <w:sz w:val="20"/>
                <w:szCs w:val="20"/>
              </w:rPr>
            </w:pPr>
            <w:r w:rsidRPr="009C2EA4">
              <w:rPr>
                <w:color w:val="000000"/>
                <w:sz w:val="20"/>
                <w:szCs w:val="20"/>
              </w:rPr>
              <w:t>(</w:t>
            </w:r>
            <w:r w:rsidR="009634C4">
              <w:rPr>
                <w:color w:val="000000"/>
                <w:sz w:val="20"/>
                <w:szCs w:val="20"/>
              </w:rPr>
              <w:t>9</w:t>
            </w:r>
            <w:r w:rsidRPr="009C2EA4">
              <w:rPr>
                <w:color w:val="000000"/>
                <w:sz w:val="20"/>
                <w:szCs w:val="20"/>
              </w:rPr>
              <w:t>)</w:t>
            </w:r>
          </w:p>
        </w:tc>
        <w:tc>
          <w:tcPr>
            <w:tcW w:w="11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FA922" w14:textId="7ECE0423" w:rsidR="00214B02" w:rsidRPr="009C2EA4" w:rsidRDefault="00214B02" w:rsidP="00214B02">
            <w:pPr>
              <w:jc w:val="center"/>
              <w:rPr>
                <w:color w:val="000000"/>
                <w:sz w:val="20"/>
                <w:szCs w:val="20"/>
              </w:rPr>
            </w:pPr>
            <w:r w:rsidRPr="009C2EA4">
              <w:rPr>
                <w:color w:val="000000"/>
                <w:sz w:val="20"/>
                <w:szCs w:val="20"/>
              </w:rPr>
              <w:t>(</w:t>
            </w:r>
            <w:r w:rsidR="009634C4">
              <w:rPr>
                <w:color w:val="000000"/>
                <w:sz w:val="20"/>
                <w:szCs w:val="20"/>
              </w:rPr>
              <w:t>10</w:t>
            </w:r>
            <w:r w:rsidRPr="009C2EA4">
              <w:rPr>
                <w:color w:val="000000"/>
                <w:sz w:val="20"/>
                <w:szCs w:val="20"/>
              </w:rPr>
              <w:t>)</w:t>
            </w:r>
          </w:p>
        </w:tc>
        <w:tc>
          <w:tcPr>
            <w:tcW w:w="11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822C7" w14:textId="47B8EEEA" w:rsidR="00214B02" w:rsidRPr="009C2EA4" w:rsidRDefault="00214B02" w:rsidP="00214B02">
            <w:pPr>
              <w:jc w:val="center"/>
              <w:rPr>
                <w:color w:val="000000"/>
                <w:sz w:val="20"/>
                <w:szCs w:val="20"/>
              </w:rPr>
            </w:pPr>
            <w:r w:rsidRPr="009C2EA4">
              <w:rPr>
                <w:color w:val="000000"/>
                <w:sz w:val="20"/>
                <w:szCs w:val="20"/>
              </w:rPr>
              <w:t>(</w:t>
            </w:r>
            <w:r w:rsidR="009634C4">
              <w:rPr>
                <w:color w:val="000000"/>
                <w:sz w:val="20"/>
                <w:szCs w:val="20"/>
              </w:rPr>
              <w:t>11</w:t>
            </w:r>
            <w:r w:rsidRPr="009C2EA4">
              <w:rPr>
                <w:color w:val="000000"/>
                <w:sz w:val="20"/>
                <w:szCs w:val="20"/>
              </w:rPr>
              <w:t>)</w:t>
            </w:r>
          </w:p>
        </w:tc>
        <w:tc>
          <w:tcPr>
            <w:tcW w:w="11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B0EF0" w14:textId="5EF0D339" w:rsidR="00214B02" w:rsidRPr="009C2EA4" w:rsidRDefault="00214B02" w:rsidP="00214B02">
            <w:pPr>
              <w:jc w:val="center"/>
              <w:rPr>
                <w:color w:val="000000"/>
                <w:sz w:val="20"/>
                <w:szCs w:val="20"/>
              </w:rPr>
            </w:pPr>
            <w:r w:rsidRPr="009C2EA4">
              <w:rPr>
                <w:color w:val="000000"/>
                <w:sz w:val="20"/>
                <w:szCs w:val="20"/>
              </w:rPr>
              <w:t>(</w:t>
            </w:r>
            <w:r w:rsidR="009634C4">
              <w:rPr>
                <w:color w:val="000000"/>
                <w:sz w:val="20"/>
                <w:szCs w:val="20"/>
              </w:rPr>
              <w:t>12</w:t>
            </w:r>
            <w:r w:rsidRPr="009C2EA4">
              <w:rPr>
                <w:color w:val="000000"/>
                <w:sz w:val="20"/>
                <w:szCs w:val="20"/>
              </w:rPr>
              <w:t>)</w:t>
            </w:r>
          </w:p>
        </w:tc>
        <w:tc>
          <w:tcPr>
            <w:tcW w:w="11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8D8DD" w14:textId="5FEF77E4" w:rsidR="00214B02" w:rsidRPr="009C2EA4" w:rsidRDefault="00214B02" w:rsidP="00214B02">
            <w:pPr>
              <w:jc w:val="center"/>
              <w:rPr>
                <w:color w:val="000000"/>
                <w:sz w:val="20"/>
                <w:szCs w:val="20"/>
              </w:rPr>
            </w:pPr>
            <w:r w:rsidRPr="009C2EA4">
              <w:rPr>
                <w:color w:val="000000"/>
                <w:sz w:val="20"/>
                <w:szCs w:val="20"/>
              </w:rPr>
              <w:t>(</w:t>
            </w:r>
            <w:r w:rsidR="009634C4">
              <w:rPr>
                <w:color w:val="000000"/>
                <w:sz w:val="20"/>
                <w:szCs w:val="20"/>
              </w:rPr>
              <w:t>13</w:t>
            </w:r>
            <w:r w:rsidRPr="009C2EA4">
              <w:rPr>
                <w:color w:val="000000"/>
                <w:sz w:val="20"/>
                <w:szCs w:val="20"/>
              </w:rPr>
              <w:t>)</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481A8" w14:textId="77777777" w:rsidR="00214B02" w:rsidRPr="009C2EA4" w:rsidRDefault="00214B02" w:rsidP="00214B02">
            <w:pPr>
              <w:jc w:val="center"/>
              <w:rPr>
                <w:color w:val="000000"/>
                <w:sz w:val="20"/>
                <w:szCs w:val="20"/>
              </w:rPr>
            </w:pPr>
            <w:r w:rsidRPr="009C2EA4">
              <w:rPr>
                <w:color w:val="000000"/>
                <w:sz w:val="20"/>
                <w:szCs w:val="20"/>
              </w:rPr>
              <w:t>(6)</w:t>
            </w:r>
          </w:p>
        </w:tc>
      </w:tr>
      <w:tr w:rsidR="00214B02" w:rsidRPr="009C2EA4" w14:paraId="72EB2F21" w14:textId="77777777" w:rsidTr="009634C4">
        <w:trPr>
          <w:trHeight w:val="288"/>
        </w:trPr>
        <w:tc>
          <w:tcPr>
            <w:tcW w:w="3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97E05C" w14:textId="77777777" w:rsidR="00214B02" w:rsidRPr="009C2EA4" w:rsidRDefault="00214B02" w:rsidP="00214B02">
            <w:pPr>
              <w:jc w:val="center"/>
              <w:rPr>
                <w:color w:val="000000"/>
                <w:sz w:val="20"/>
                <w:szCs w:val="20"/>
              </w:rPr>
            </w:pPr>
          </w:p>
        </w:tc>
        <w:tc>
          <w:tcPr>
            <w:tcW w:w="7079" w:type="dxa"/>
            <w:gridSpan w:val="11"/>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0582" w14:textId="77777777" w:rsidR="00214B02" w:rsidRPr="009C2EA4" w:rsidRDefault="00214B02" w:rsidP="00214B02">
            <w:pPr>
              <w:jc w:val="center"/>
              <w:rPr>
                <w:color w:val="000000"/>
                <w:sz w:val="20"/>
                <w:szCs w:val="20"/>
              </w:rPr>
            </w:pPr>
            <w:r w:rsidRPr="009C2EA4">
              <w:rPr>
                <w:color w:val="000000"/>
                <w:sz w:val="20"/>
                <w:szCs w:val="20"/>
              </w:rPr>
              <w:t>Current Account Balance to GDP</w:t>
            </w:r>
          </w:p>
        </w:tc>
      </w:tr>
      <w:tr w:rsidR="00214B02" w:rsidRPr="009C2EA4" w14:paraId="67AA3718" w14:textId="77777777" w:rsidTr="009634C4">
        <w:trPr>
          <w:trHeight w:val="288"/>
        </w:trPr>
        <w:tc>
          <w:tcPr>
            <w:tcW w:w="3595" w:type="dxa"/>
            <w:tcBorders>
              <w:top w:val="single" w:sz="4" w:space="0" w:color="auto"/>
              <w:left w:val="single" w:sz="4" w:space="0" w:color="auto"/>
              <w:bottom w:val="nil"/>
              <w:right w:val="single" w:sz="4" w:space="0" w:color="auto"/>
            </w:tcBorders>
            <w:shd w:val="clear" w:color="auto" w:fill="auto"/>
            <w:noWrap/>
            <w:vAlign w:val="center"/>
            <w:hideMark/>
          </w:tcPr>
          <w:p w14:paraId="437BFC33" w14:textId="77777777" w:rsidR="00214B02" w:rsidRPr="009C2EA4" w:rsidRDefault="00214B02" w:rsidP="00214B02">
            <w:pPr>
              <w:rPr>
                <w:color w:val="000000"/>
                <w:sz w:val="20"/>
                <w:szCs w:val="20"/>
              </w:rPr>
            </w:pPr>
            <w:r w:rsidRPr="009C2EA4">
              <w:rPr>
                <w:color w:val="000000"/>
                <w:sz w:val="20"/>
                <w:szCs w:val="20"/>
              </w:rPr>
              <w:t>Prime Saver</w:t>
            </w:r>
          </w:p>
        </w:tc>
        <w:tc>
          <w:tcPr>
            <w:tcW w:w="1179" w:type="dxa"/>
            <w:gridSpan w:val="2"/>
            <w:tcBorders>
              <w:top w:val="single" w:sz="4" w:space="0" w:color="auto"/>
              <w:left w:val="single" w:sz="4" w:space="0" w:color="auto"/>
              <w:bottom w:val="nil"/>
              <w:right w:val="single" w:sz="4" w:space="0" w:color="auto"/>
            </w:tcBorders>
            <w:shd w:val="clear" w:color="auto" w:fill="auto"/>
            <w:noWrap/>
            <w:vAlign w:val="center"/>
            <w:hideMark/>
          </w:tcPr>
          <w:p w14:paraId="06870A12" w14:textId="77777777" w:rsidR="00214B02" w:rsidRPr="009C2EA4" w:rsidRDefault="00214B02" w:rsidP="00214B02">
            <w:pPr>
              <w:jc w:val="center"/>
              <w:rPr>
                <w:color w:val="000000"/>
                <w:sz w:val="20"/>
                <w:szCs w:val="20"/>
              </w:rPr>
            </w:pPr>
            <w:r w:rsidRPr="009C2EA4">
              <w:rPr>
                <w:color w:val="000000"/>
                <w:sz w:val="20"/>
                <w:szCs w:val="20"/>
              </w:rPr>
              <w:t>0.293***</w:t>
            </w:r>
          </w:p>
        </w:tc>
        <w:tc>
          <w:tcPr>
            <w:tcW w:w="1180" w:type="dxa"/>
            <w:gridSpan w:val="2"/>
            <w:tcBorders>
              <w:top w:val="single" w:sz="4" w:space="0" w:color="auto"/>
              <w:left w:val="single" w:sz="4" w:space="0" w:color="auto"/>
              <w:bottom w:val="nil"/>
              <w:right w:val="single" w:sz="4" w:space="0" w:color="auto"/>
            </w:tcBorders>
            <w:shd w:val="clear" w:color="auto" w:fill="auto"/>
            <w:noWrap/>
            <w:vAlign w:val="center"/>
            <w:hideMark/>
          </w:tcPr>
          <w:p w14:paraId="059A0A57" w14:textId="77777777" w:rsidR="00214B02" w:rsidRPr="009C2EA4" w:rsidRDefault="00214B02" w:rsidP="00214B02">
            <w:pPr>
              <w:jc w:val="center"/>
              <w:rPr>
                <w:color w:val="000000"/>
                <w:sz w:val="20"/>
                <w:szCs w:val="20"/>
              </w:rPr>
            </w:pPr>
            <w:r w:rsidRPr="009C2EA4">
              <w:rPr>
                <w:color w:val="000000"/>
                <w:sz w:val="20"/>
                <w:szCs w:val="20"/>
              </w:rPr>
              <w:t>0.288***</w:t>
            </w:r>
          </w:p>
        </w:tc>
        <w:tc>
          <w:tcPr>
            <w:tcW w:w="1180" w:type="dxa"/>
            <w:gridSpan w:val="2"/>
            <w:tcBorders>
              <w:top w:val="single" w:sz="4" w:space="0" w:color="auto"/>
              <w:left w:val="single" w:sz="4" w:space="0" w:color="auto"/>
              <w:bottom w:val="nil"/>
              <w:right w:val="single" w:sz="4" w:space="0" w:color="auto"/>
            </w:tcBorders>
            <w:shd w:val="clear" w:color="auto" w:fill="auto"/>
            <w:noWrap/>
            <w:vAlign w:val="center"/>
            <w:hideMark/>
          </w:tcPr>
          <w:p w14:paraId="018B6F1F" w14:textId="77777777" w:rsidR="00214B02" w:rsidRPr="009C2EA4" w:rsidRDefault="00214B02" w:rsidP="00214B02">
            <w:pPr>
              <w:jc w:val="center"/>
              <w:rPr>
                <w:color w:val="000000"/>
                <w:sz w:val="20"/>
                <w:szCs w:val="20"/>
              </w:rPr>
            </w:pPr>
            <w:r w:rsidRPr="009C2EA4">
              <w:rPr>
                <w:color w:val="000000"/>
                <w:sz w:val="20"/>
                <w:szCs w:val="20"/>
              </w:rPr>
              <w:t>0.288***</w:t>
            </w:r>
          </w:p>
        </w:tc>
        <w:tc>
          <w:tcPr>
            <w:tcW w:w="1180" w:type="dxa"/>
            <w:gridSpan w:val="2"/>
            <w:tcBorders>
              <w:top w:val="single" w:sz="4" w:space="0" w:color="auto"/>
              <w:left w:val="single" w:sz="4" w:space="0" w:color="auto"/>
              <w:bottom w:val="nil"/>
              <w:right w:val="single" w:sz="4" w:space="0" w:color="auto"/>
            </w:tcBorders>
            <w:shd w:val="clear" w:color="auto" w:fill="auto"/>
            <w:noWrap/>
            <w:vAlign w:val="center"/>
            <w:hideMark/>
          </w:tcPr>
          <w:p w14:paraId="5D329EA0" w14:textId="77777777" w:rsidR="00214B02" w:rsidRPr="009C2EA4" w:rsidRDefault="00214B02" w:rsidP="00214B02">
            <w:pPr>
              <w:jc w:val="center"/>
              <w:rPr>
                <w:color w:val="000000"/>
                <w:sz w:val="20"/>
                <w:szCs w:val="20"/>
              </w:rPr>
            </w:pPr>
            <w:r w:rsidRPr="009C2EA4">
              <w:rPr>
                <w:color w:val="000000"/>
                <w:sz w:val="20"/>
                <w:szCs w:val="20"/>
              </w:rPr>
              <w:t>0.286***</w:t>
            </w:r>
          </w:p>
        </w:tc>
        <w:tc>
          <w:tcPr>
            <w:tcW w:w="1180" w:type="dxa"/>
            <w:gridSpan w:val="2"/>
            <w:tcBorders>
              <w:top w:val="single" w:sz="4" w:space="0" w:color="auto"/>
              <w:left w:val="single" w:sz="4" w:space="0" w:color="auto"/>
              <w:bottom w:val="nil"/>
              <w:right w:val="single" w:sz="4" w:space="0" w:color="auto"/>
            </w:tcBorders>
            <w:shd w:val="clear" w:color="auto" w:fill="auto"/>
            <w:noWrap/>
            <w:vAlign w:val="center"/>
            <w:hideMark/>
          </w:tcPr>
          <w:p w14:paraId="79FC39F6" w14:textId="77777777" w:rsidR="00214B02" w:rsidRPr="009C2EA4" w:rsidRDefault="00214B02" w:rsidP="00214B02">
            <w:pPr>
              <w:jc w:val="center"/>
              <w:rPr>
                <w:color w:val="000000"/>
                <w:sz w:val="20"/>
                <w:szCs w:val="20"/>
              </w:rPr>
            </w:pPr>
            <w:r w:rsidRPr="009C2EA4">
              <w:rPr>
                <w:color w:val="000000"/>
                <w:sz w:val="20"/>
                <w:szCs w:val="20"/>
              </w:rPr>
              <w:t>0.275***</w:t>
            </w:r>
          </w:p>
        </w:tc>
        <w:tc>
          <w:tcPr>
            <w:tcW w:w="1180" w:type="dxa"/>
            <w:tcBorders>
              <w:top w:val="single" w:sz="4" w:space="0" w:color="auto"/>
              <w:left w:val="single" w:sz="4" w:space="0" w:color="auto"/>
              <w:bottom w:val="nil"/>
              <w:right w:val="single" w:sz="4" w:space="0" w:color="auto"/>
            </w:tcBorders>
            <w:shd w:val="clear" w:color="auto" w:fill="auto"/>
            <w:noWrap/>
            <w:vAlign w:val="center"/>
            <w:hideMark/>
          </w:tcPr>
          <w:p w14:paraId="5C4895DD" w14:textId="77777777" w:rsidR="00214B02" w:rsidRPr="009C2EA4" w:rsidRDefault="00214B02" w:rsidP="00214B02">
            <w:pPr>
              <w:jc w:val="center"/>
              <w:rPr>
                <w:color w:val="000000"/>
                <w:sz w:val="20"/>
                <w:szCs w:val="20"/>
              </w:rPr>
            </w:pPr>
            <w:r w:rsidRPr="009C2EA4">
              <w:rPr>
                <w:color w:val="000000"/>
                <w:sz w:val="20"/>
                <w:szCs w:val="20"/>
              </w:rPr>
              <w:t>0.301***</w:t>
            </w:r>
          </w:p>
        </w:tc>
      </w:tr>
      <w:tr w:rsidR="00214B02" w:rsidRPr="009C2EA4" w14:paraId="527EA0AE"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08107E92" w14:textId="77777777" w:rsidR="00214B02" w:rsidRPr="009C2EA4" w:rsidRDefault="00214B02" w:rsidP="00214B02">
            <w:pPr>
              <w:rPr>
                <w:color w:val="000000"/>
                <w:sz w:val="20"/>
                <w:szCs w:val="20"/>
              </w:rPr>
            </w:pPr>
            <w:r w:rsidRPr="009C2EA4">
              <w:rPr>
                <w:color w:val="000000"/>
                <w:sz w:val="20"/>
                <w:szCs w:val="20"/>
              </w:rPr>
              <w:t>(% of total population)</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7BD45B43"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0.0404</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1CBE0A56"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0.043</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419F356C"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0.0427</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13D14235"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0.0418</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5DE5BA27"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0.0422</w:t>
            </w:r>
            <w:r>
              <w:rPr>
                <w:color w:val="000000"/>
                <w:sz w:val="20"/>
                <w:szCs w:val="20"/>
              </w:rPr>
              <w:t>)</w:t>
            </w:r>
          </w:p>
        </w:tc>
        <w:tc>
          <w:tcPr>
            <w:tcW w:w="1180" w:type="dxa"/>
            <w:tcBorders>
              <w:top w:val="nil"/>
              <w:left w:val="single" w:sz="4" w:space="0" w:color="auto"/>
              <w:bottom w:val="nil"/>
              <w:right w:val="single" w:sz="4" w:space="0" w:color="auto"/>
            </w:tcBorders>
            <w:shd w:val="clear" w:color="auto" w:fill="auto"/>
            <w:noWrap/>
            <w:vAlign w:val="center"/>
            <w:hideMark/>
          </w:tcPr>
          <w:p w14:paraId="51234E45"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0.0441</w:t>
            </w:r>
            <w:r>
              <w:rPr>
                <w:color w:val="000000"/>
                <w:sz w:val="20"/>
                <w:szCs w:val="20"/>
              </w:rPr>
              <w:t>)</w:t>
            </w:r>
          </w:p>
        </w:tc>
      </w:tr>
      <w:tr w:rsidR="00214B02" w:rsidRPr="009C2EA4" w14:paraId="4CEE26C8"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tcPr>
          <w:p w14:paraId="5EE71777" w14:textId="77777777" w:rsidR="00214B02" w:rsidRPr="009C2EA4" w:rsidRDefault="00214B02" w:rsidP="00214B02">
            <w:pPr>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center"/>
          </w:tcPr>
          <w:p w14:paraId="627C0B6B"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tcPr>
          <w:p w14:paraId="4BCEE3E2"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tcPr>
          <w:p w14:paraId="5B09310A"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tcPr>
          <w:p w14:paraId="0AAB219B"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tcPr>
          <w:p w14:paraId="6234EA09" w14:textId="77777777" w:rsidR="00214B02" w:rsidRPr="009C2EA4" w:rsidRDefault="00214B02" w:rsidP="00214B02">
            <w:pPr>
              <w:jc w:val="center"/>
              <w:rPr>
                <w:color w:val="000000"/>
                <w:sz w:val="20"/>
                <w:szCs w:val="20"/>
              </w:rPr>
            </w:pPr>
          </w:p>
        </w:tc>
        <w:tc>
          <w:tcPr>
            <w:tcW w:w="1180" w:type="dxa"/>
            <w:tcBorders>
              <w:top w:val="nil"/>
              <w:left w:val="single" w:sz="4" w:space="0" w:color="auto"/>
              <w:bottom w:val="nil"/>
              <w:right w:val="single" w:sz="4" w:space="0" w:color="auto"/>
            </w:tcBorders>
            <w:shd w:val="clear" w:color="auto" w:fill="auto"/>
            <w:noWrap/>
            <w:vAlign w:val="center"/>
          </w:tcPr>
          <w:p w14:paraId="230333FD" w14:textId="77777777" w:rsidR="00214B02" w:rsidRPr="009C2EA4" w:rsidRDefault="00214B02" w:rsidP="00214B02">
            <w:pPr>
              <w:jc w:val="center"/>
              <w:rPr>
                <w:color w:val="000000"/>
                <w:sz w:val="20"/>
                <w:szCs w:val="20"/>
              </w:rPr>
            </w:pPr>
          </w:p>
        </w:tc>
      </w:tr>
      <w:tr w:rsidR="00214B02" w:rsidRPr="009C2EA4" w14:paraId="70D7386B"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6752B77F" w14:textId="77777777" w:rsidR="00214B02" w:rsidRPr="009C2EA4" w:rsidRDefault="00214B02" w:rsidP="00214B02">
            <w:pPr>
              <w:rPr>
                <w:color w:val="000000"/>
                <w:sz w:val="20"/>
                <w:szCs w:val="20"/>
              </w:rPr>
            </w:pPr>
            <w:r w:rsidRPr="009C2EA4">
              <w:rPr>
                <w:color w:val="000000"/>
                <w:sz w:val="20"/>
                <w:szCs w:val="20"/>
              </w:rPr>
              <w:t>GDP Growth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6B56721A" w14:textId="77777777" w:rsidR="00214B02" w:rsidRPr="009C2EA4" w:rsidRDefault="00214B02" w:rsidP="00214B02">
            <w:pPr>
              <w:jc w:val="center"/>
              <w:rPr>
                <w:color w:val="000000"/>
                <w:sz w:val="20"/>
                <w:szCs w:val="20"/>
              </w:rPr>
            </w:pPr>
            <w:r w:rsidRPr="009C2EA4">
              <w:rPr>
                <w:color w:val="000000"/>
                <w:sz w:val="20"/>
                <w:szCs w:val="20"/>
              </w:rPr>
              <w:t>0.0498*</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6E645005" w14:textId="77777777" w:rsidR="00214B02" w:rsidRPr="009C2EA4" w:rsidRDefault="00214B02" w:rsidP="00214B02">
            <w:pPr>
              <w:jc w:val="center"/>
              <w:rPr>
                <w:color w:val="000000"/>
                <w:sz w:val="20"/>
                <w:szCs w:val="20"/>
              </w:rPr>
            </w:pPr>
            <w:r w:rsidRPr="009C2EA4">
              <w:rPr>
                <w:color w:val="000000"/>
                <w:sz w:val="20"/>
                <w:szCs w:val="20"/>
              </w:rPr>
              <w:t>0.0535*</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195EC455" w14:textId="77777777" w:rsidR="00214B02" w:rsidRPr="009C2EA4" w:rsidRDefault="00214B02" w:rsidP="00214B02">
            <w:pPr>
              <w:jc w:val="center"/>
              <w:rPr>
                <w:color w:val="000000"/>
                <w:sz w:val="20"/>
                <w:szCs w:val="20"/>
              </w:rPr>
            </w:pPr>
            <w:r w:rsidRPr="009C2EA4">
              <w:rPr>
                <w:color w:val="000000"/>
                <w:sz w:val="20"/>
                <w:szCs w:val="20"/>
              </w:rPr>
              <w:t>0.0467*</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639EB5BC" w14:textId="77777777" w:rsidR="00214B02" w:rsidRPr="009C2EA4" w:rsidRDefault="00214B02" w:rsidP="00214B02">
            <w:pPr>
              <w:jc w:val="center"/>
              <w:rPr>
                <w:color w:val="000000"/>
                <w:sz w:val="20"/>
                <w:szCs w:val="20"/>
              </w:rPr>
            </w:pPr>
            <w:r w:rsidRPr="009C2EA4">
              <w:rPr>
                <w:color w:val="000000"/>
                <w:sz w:val="20"/>
                <w:szCs w:val="20"/>
              </w:rPr>
              <w:t>0.0505*</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5AAEEABA" w14:textId="77777777" w:rsidR="00214B02" w:rsidRPr="009C2EA4" w:rsidRDefault="00214B02" w:rsidP="00214B02">
            <w:pPr>
              <w:jc w:val="center"/>
              <w:rPr>
                <w:color w:val="000000"/>
                <w:sz w:val="20"/>
                <w:szCs w:val="20"/>
              </w:rPr>
            </w:pPr>
            <w:r w:rsidRPr="009C2EA4">
              <w:rPr>
                <w:color w:val="000000"/>
                <w:sz w:val="20"/>
                <w:szCs w:val="20"/>
              </w:rPr>
              <w:t>0.0434</w:t>
            </w:r>
          </w:p>
        </w:tc>
        <w:tc>
          <w:tcPr>
            <w:tcW w:w="1180" w:type="dxa"/>
            <w:tcBorders>
              <w:top w:val="nil"/>
              <w:left w:val="single" w:sz="4" w:space="0" w:color="auto"/>
              <w:bottom w:val="nil"/>
              <w:right w:val="single" w:sz="4" w:space="0" w:color="auto"/>
            </w:tcBorders>
            <w:shd w:val="clear" w:color="auto" w:fill="auto"/>
            <w:noWrap/>
            <w:vAlign w:val="center"/>
            <w:hideMark/>
          </w:tcPr>
          <w:p w14:paraId="036FBDF6" w14:textId="77777777" w:rsidR="00214B02" w:rsidRPr="009C2EA4" w:rsidRDefault="00214B02" w:rsidP="00214B02">
            <w:pPr>
              <w:jc w:val="center"/>
              <w:rPr>
                <w:color w:val="000000"/>
                <w:sz w:val="20"/>
                <w:szCs w:val="20"/>
              </w:rPr>
            </w:pPr>
            <w:r w:rsidRPr="009C2EA4">
              <w:rPr>
                <w:color w:val="000000"/>
                <w:sz w:val="20"/>
                <w:szCs w:val="20"/>
              </w:rPr>
              <w:t>0.0385</w:t>
            </w:r>
          </w:p>
        </w:tc>
      </w:tr>
      <w:tr w:rsidR="00214B02" w:rsidRPr="009C2EA4" w14:paraId="6E7C1743"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hideMark/>
          </w:tcPr>
          <w:p w14:paraId="0B9C479A"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057393A0"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0.0232</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3DF308D6"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0.0233</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2FA6DDEC"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0.0232</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2F9C7AF5"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0.0233</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2125C2C7"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0.0233</w:t>
            </w:r>
            <w:r>
              <w:rPr>
                <w:color w:val="000000"/>
                <w:sz w:val="20"/>
                <w:szCs w:val="20"/>
              </w:rPr>
              <w:t>)</w:t>
            </w:r>
          </w:p>
        </w:tc>
        <w:tc>
          <w:tcPr>
            <w:tcW w:w="1180" w:type="dxa"/>
            <w:tcBorders>
              <w:top w:val="nil"/>
              <w:left w:val="single" w:sz="4" w:space="0" w:color="auto"/>
              <w:bottom w:val="nil"/>
              <w:right w:val="single" w:sz="4" w:space="0" w:color="auto"/>
            </w:tcBorders>
            <w:shd w:val="clear" w:color="auto" w:fill="auto"/>
            <w:noWrap/>
            <w:vAlign w:val="center"/>
            <w:hideMark/>
          </w:tcPr>
          <w:p w14:paraId="40AE017E"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0.0232</w:t>
            </w:r>
            <w:r>
              <w:rPr>
                <w:color w:val="000000"/>
                <w:sz w:val="20"/>
                <w:szCs w:val="20"/>
              </w:rPr>
              <w:t>)</w:t>
            </w:r>
          </w:p>
        </w:tc>
      </w:tr>
      <w:tr w:rsidR="00214B02" w:rsidRPr="009C2EA4" w14:paraId="79E78ECC"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tcPr>
          <w:p w14:paraId="29955309"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center"/>
          </w:tcPr>
          <w:p w14:paraId="609F571C"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tcPr>
          <w:p w14:paraId="5BDDBB04"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tcPr>
          <w:p w14:paraId="645C6D3B"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tcPr>
          <w:p w14:paraId="48D75609"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tcPr>
          <w:p w14:paraId="080C7CCD" w14:textId="77777777" w:rsidR="00214B02" w:rsidRPr="009C2EA4" w:rsidRDefault="00214B02" w:rsidP="00214B02">
            <w:pPr>
              <w:jc w:val="center"/>
              <w:rPr>
                <w:color w:val="000000"/>
                <w:sz w:val="20"/>
                <w:szCs w:val="20"/>
              </w:rPr>
            </w:pPr>
          </w:p>
        </w:tc>
        <w:tc>
          <w:tcPr>
            <w:tcW w:w="1180" w:type="dxa"/>
            <w:tcBorders>
              <w:top w:val="nil"/>
              <w:left w:val="single" w:sz="4" w:space="0" w:color="auto"/>
              <w:bottom w:val="nil"/>
              <w:right w:val="single" w:sz="4" w:space="0" w:color="auto"/>
            </w:tcBorders>
            <w:shd w:val="clear" w:color="auto" w:fill="auto"/>
            <w:noWrap/>
            <w:vAlign w:val="center"/>
          </w:tcPr>
          <w:p w14:paraId="621C7CAB" w14:textId="77777777" w:rsidR="00214B02" w:rsidRPr="009C2EA4" w:rsidRDefault="00214B02" w:rsidP="00214B02">
            <w:pPr>
              <w:jc w:val="center"/>
              <w:rPr>
                <w:color w:val="000000"/>
                <w:sz w:val="20"/>
                <w:szCs w:val="20"/>
              </w:rPr>
            </w:pPr>
          </w:p>
        </w:tc>
      </w:tr>
      <w:tr w:rsidR="00214B02" w:rsidRPr="009C2EA4" w14:paraId="09058048"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435E30C7" w14:textId="77777777" w:rsidR="00214B02" w:rsidRPr="009C2EA4" w:rsidRDefault="00214B02" w:rsidP="00214B02">
            <w:pPr>
              <w:rPr>
                <w:color w:val="000000"/>
                <w:sz w:val="20"/>
                <w:szCs w:val="20"/>
              </w:rPr>
            </w:pPr>
            <w:r w:rsidRPr="009C2EA4">
              <w:rPr>
                <w:color w:val="000000"/>
                <w:sz w:val="20"/>
                <w:szCs w:val="20"/>
              </w:rPr>
              <w:t>FDI (% GDP)</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0F822820" w14:textId="77777777" w:rsidR="00214B02" w:rsidRPr="009C2EA4" w:rsidRDefault="00214B02" w:rsidP="00214B02">
            <w:pPr>
              <w:jc w:val="center"/>
              <w:rPr>
                <w:color w:val="000000"/>
                <w:sz w:val="20"/>
                <w:szCs w:val="20"/>
              </w:rPr>
            </w:pPr>
            <w:r w:rsidRPr="009C2EA4">
              <w:rPr>
                <w:color w:val="000000"/>
                <w:sz w:val="20"/>
                <w:szCs w:val="20"/>
              </w:rPr>
              <w:t>-0.096***</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0F4A0156" w14:textId="77777777" w:rsidR="00214B02" w:rsidRPr="009C2EA4" w:rsidRDefault="00214B02" w:rsidP="00214B02">
            <w:pPr>
              <w:jc w:val="center"/>
              <w:rPr>
                <w:color w:val="000000"/>
                <w:sz w:val="20"/>
                <w:szCs w:val="20"/>
              </w:rPr>
            </w:pPr>
            <w:r w:rsidRPr="009C2EA4">
              <w:rPr>
                <w:color w:val="000000"/>
                <w:sz w:val="20"/>
                <w:szCs w:val="20"/>
              </w:rPr>
              <w:t>-0.095***</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2521EC14" w14:textId="77777777" w:rsidR="00214B02" w:rsidRPr="009C2EA4" w:rsidRDefault="00214B02" w:rsidP="00214B02">
            <w:pPr>
              <w:jc w:val="center"/>
              <w:rPr>
                <w:color w:val="000000"/>
                <w:sz w:val="20"/>
                <w:szCs w:val="20"/>
              </w:rPr>
            </w:pPr>
            <w:r w:rsidRPr="009C2EA4">
              <w:rPr>
                <w:color w:val="000000"/>
                <w:sz w:val="20"/>
                <w:szCs w:val="20"/>
              </w:rPr>
              <w:t>-0.097***</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216A78B6" w14:textId="77777777" w:rsidR="00214B02" w:rsidRPr="009C2EA4" w:rsidRDefault="00214B02" w:rsidP="00214B02">
            <w:pPr>
              <w:jc w:val="center"/>
              <w:rPr>
                <w:color w:val="000000"/>
                <w:sz w:val="20"/>
                <w:szCs w:val="20"/>
              </w:rPr>
            </w:pPr>
            <w:r w:rsidRPr="009C2EA4">
              <w:rPr>
                <w:color w:val="000000"/>
                <w:sz w:val="20"/>
                <w:szCs w:val="20"/>
              </w:rPr>
              <w:t>-0.095***</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0CA58F80" w14:textId="77777777" w:rsidR="00214B02" w:rsidRPr="009C2EA4" w:rsidRDefault="00214B02" w:rsidP="00214B02">
            <w:pPr>
              <w:jc w:val="center"/>
              <w:rPr>
                <w:color w:val="000000"/>
                <w:sz w:val="20"/>
                <w:szCs w:val="20"/>
              </w:rPr>
            </w:pPr>
            <w:r w:rsidRPr="009C2EA4">
              <w:rPr>
                <w:color w:val="000000"/>
                <w:sz w:val="20"/>
                <w:szCs w:val="20"/>
              </w:rPr>
              <w:t>-0.096***</w:t>
            </w:r>
          </w:p>
        </w:tc>
        <w:tc>
          <w:tcPr>
            <w:tcW w:w="1180" w:type="dxa"/>
            <w:tcBorders>
              <w:top w:val="nil"/>
              <w:left w:val="single" w:sz="4" w:space="0" w:color="auto"/>
              <w:bottom w:val="nil"/>
              <w:right w:val="single" w:sz="4" w:space="0" w:color="auto"/>
            </w:tcBorders>
            <w:shd w:val="clear" w:color="auto" w:fill="auto"/>
            <w:noWrap/>
            <w:vAlign w:val="center"/>
            <w:hideMark/>
          </w:tcPr>
          <w:p w14:paraId="467EC983" w14:textId="77777777" w:rsidR="00214B02" w:rsidRPr="009C2EA4" w:rsidRDefault="00214B02" w:rsidP="00214B02">
            <w:pPr>
              <w:jc w:val="center"/>
              <w:rPr>
                <w:color w:val="000000"/>
                <w:sz w:val="20"/>
                <w:szCs w:val="20"/>
              </w:rPr>
            </w:pPr>
            <w:r w:rsidRPr="009C2EA4">
              <w:rPr>
                <w:color w:val="000000"/>
                <w:sz w:val="20"/>
                <w:szCs w:val="20"/>
              </w:rPr>
              <w:t>-0.097***</w:t>
            </w:r>
          </w:p>
        </w:tc>
      </w:tr>
      <w:tr w:rsidR="00214B02" w:rsidRPr="009C2EA4" w14:paraId="06618E29"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hideMark/>
          </w:tcPr>
          <w:p w14:paraId="33170DE4" w14:textId="77777777" w:rsidR="00214B02" w:rsidRPr="009C2EA4" w:rsidRDefault="00214B02" w:rsidP="00214B02">
            <w:pPr>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167CC576"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0.00894</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4BB00D58"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0.00896</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3BFCBBC4"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0.00894</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69BC1D07"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0.00896</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70B272AD"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0.00894</w:t>
            </w:r>
            <w:r>
              <w:rPr>
                <w:color w:val="000000"/>
                <w:sz w:val="20"/>
                <w:szCs w:val="20"/>
              </w:rPr>
              <w:t>)</w:t>
            </w:r>
          </w:p>
        </w:tc>
        <w:tc>
          <w:tcPr>
            <w:tcW w:w="1180" w:type="dxa"/>
            <w:tcBorders>
              <w:top w:val="nil"/>
              <w:left w:val="single" w:sz="4" w:space="0" w:color="auto"/>
              <w:bottom w:val="nil"/>
              <w:right w:val="single" w:sz="4" w:space="0" w:color="auto"/>
            </w:tcBorders>
            <w:shd w:val="clear" w:color="auto" w:fill="auto"/>
            <w:noWrap/>
            <w:vAlign w:val="center"/>
            <w:hideMark/>
          </w:tcPr>
          <w:p w14:paraId="08E64E96"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0.0089</w:t>
            </w:r>
            <w:r>
              <w:rPr>
                <w:color w:val="000000"/>
                <w:sz w:val="20"/>
                <w:szCs w:val="20"/>
              </w:rPr>
              <w:t>)</w:t>
            </w:r>
          </w:p>
        </w:tc>
      </w:tr>
      <w:tr w:rsidR="00214B02" w:rsidRPr="009C2EA4" w14:paraId="134A17E7"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tcPr>
          <w:p w14:paraId="6797812D" w14:textId="77777777" w:rsidR="00214B02" w:rsidRPr="009C2EA4" w:rsidRDefault="00214B02" w:rsidP="00214B02">
            <w:pPr>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center"/>
          </w:tcPr>
          <w:p w14:paraId="3A4383B9"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tcPr>
          <w:p w14:paraId="4B212B05"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tcPr>
          <w:p w14:paraId="527C3E59"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tcPr>
          <w:p w14:paraId="0370CCE1"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tcPr>
          <w:p w14:paraId="19708079" w14:textId="77777777" w:rsidR="00214B02" w:rsidRPr="009C2EA4" w:rsidRDefault="00214B02" w:rsidP="00214B02">
            <w:pPr>
              <w:jc w:val="center"/>
              <w:rPr>
                <w:color w:val="000000"/>
                <w:sz w:val="20"/>
                <w:szCs w:val="20"/>
              </w:rPr>
            </w:pPr>
          </w:p>
        </w:tc>
        <w:tc>
          <w:tcPr>
            <w:tcW w:w="1180" w:type="dxa"/>
            <w:tcBorders>
              <w:top w:val="nil"/>
              <w:left w:val="single" w:sz="4" w:space="0" w:color="auto"/>
              <w:bottom w:val="nil"/>
              <w:right w:val="single" w:sz="4" w:space="0" w:color="auto"/>
            </w:tcBorders>
            <w:shd w:val="clear" w:color="auto" w:fill="auto"/>
            <w:noWrap/>
            <w:vAlign w:val="center"/>
          </w:tcPr>
          <w:p w14:paraId="0BFD664C" w14:textId="77777777" w:rsidR="00214B02" w:rsidRPr="009C2EA4" w:rsidRDefault="00214B02" w:rsidP="00214B02">
            <w:pPr>
              <w:jc w:val="center"/>
              <w:rPr>
                <w:color w:val="000000"/>
                <w:sz w:val="20"/>
                <w:szCs w:val="20"/>
              </w:rPr>
            </w:pPr>
          </w:p>
        </w:tc>
      </w:tr>
      <w:tr w:rsidR="00214B02" w:rsidRPr="009C2EA4" w14:paraId="6CF33A58"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1C83A56E" w14:textId="77777777" w:rsidR="00214B02" w:rsidRPr="009C2EA4" w:rsidRDefault="00214B02" w:rsidP="00214B02">
            <w:pPr>
              <w:rPr>
                <w:color w:val="000000"/>
                <w:sz w:val="20"/>
                <w:szCs w:val="20"/>
              </w:rPr>
            </w:pPr>
            <w:r w:rsidRPr="009C2EA4">
              <w:rPr>
                <w:color w:val="000000"/>
                <w:sz w:val="20"/>
                <w:szCs w:val="20"/>
              </w:rPr>
              <w:t>Manufacturing (% GDP)</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016E1C65" w14:textId="77777777" w:rsidR="00214B02" w:rsidRPr="009C2EA4" w:rsidRDefault="00214B02" w:rsidP="00214B02">
            <w:pPr>
              <w:jc w:val="center"/>
              <w:rPr>
                <w:color w:val="000000"/>
                <w:sz w:val="20"/>
                <w:szCs w:val="20"/>
              </w:rPr>
            </w:pPr>
            <w:r w:rsidRPr="009C2EA4">
              <w:rPr>
                <w:color w:val="000000"/>
                <w:sz w:val="20"/>
                <w:szCs w:val="20"/>
              </w:rPr>
              <w:t>0.0622**</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78440157" w14:textId="77777777" w:rsidR="00214B02" w:rsidRPr="009C2EA4" w:rsidRDefault="00214B02" w:rsidP="00214B02">
            <w:pPr>
              <w:jc w:val="center"/>
              <w:rPr>
                <w:color w:val="000000"/>
                <w:sz w:val="20"/>
                <w:szCs w:val="20"/>
              </w:rPr>
            </w:pPr>
            <w:r w:rsidRPr="009C2EA4">
              <w:rPr>
                <w:color w:val="000000"/>
                <w:sz w:val="20"/>
                <w:szCs w:val="20"/>
              </w:rPr>
              <w:t>0.0608**</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63F45EB7" w14:textId="77777777" w:rsidR="00214B02" w:rsidRPr="009C2EA4" w:rsidRDefault="00214B02" w:rsidP="00214B02">
            <w:pPr>
              <w:jc w:val="center"/>
              <w:rPr>
                <w:color w:val="000000"/>
                <w:sz w:val="20"/>
                <w:szCs w:val="20"/>
              </w:rPr>
            </w:pPr>
            <w:r w:rsidRPr="009C2EA4">
              <w:rPr>
                <w:color w:val="000000"/>
                <w:sz w:val="20"/>
                <w:szCs w:val="20"/>
              </w:rPr>
              <w:t>0.0637**</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30E27E74" w14:textId="77777777" w:rsidR="00214B02" w:rsidRPr="009C2EA4" w:rsidRDefault="00214B02" w:rsidP="00214B02">
            <w:pPr>
              <w:jc w:val="center"/>
              <w:rPr>
                <w:color w:val="000000"/>
                <w:sz w:val="20"/>
                <w:szCs w:val="20"/>
              </w:rPr>
            </w:pPr>
            <w:r w:rsidRPr="009C2EA4">
              <w:rPr>
                <w:color w:val="000000"/>
                <w:sz w:val="20"/>
                <w:szCs w:val="20"/>
              </w:rPr>
              <w:t>0.0626**</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7C19F829" w14:textId="77777777" w:rsidR="00214B02" w:rsidRPr="009C2EA4" w:rsidRDefault="00214B02" w:rsidP="00214B02">
            <w:pPr>
              <w:jc w:val="center"/>
              <w:rPr>
                <w:color w:val="000000"/>
                <w:sz w:val="20"/>
                <w:szCs w:val="20"/>
              </w:rPr>
            </w:pPr>
            <w:r w:rsidRPr="009C2EA4">
              <w:rPr>
                <w:color w:val="000000"/>
                <w:sz w:val="20"/>
                <w:szCs w:val="20"/>
              </w:rPr>
              <w:t>0.0600**</w:t>
            </w:r>
          </w:p>
        </w:tc>
        <w:tc>
          <w:tcPr>
            <w:tcW w:w="1180" w:type="dxa"/>
            <w:tcBorders>
              <w:top w:val="nil"/>
              <w:left w:val="single" w:sz="4" w:space="0" w:color="auto"/>
              <w:bottom w:val="nil"/>
              <w:right w:val="single" w:sz="4" w:space="0" w:color="auto"/>
            </w:tcBorders>
            <w:shd w:val="clear" w:color="auto" w:fill="auto"/>
            <w:noWrap/>
            <w:vAlign w:val="center"/>
            <w:hideMark/>
          </w:tcPr>
          <w:p w14:paraId="0B523CCD" w14:textId="77777777" w:rsidR="00214B02" w:rsidRPr="009C2EA4" w:rsidRDefault="00214B02" w:rsidP="00214B02">
            <w:pPr>
              <w:jc w:val="center"/>
              <w:rPr>
                <w:color w:val="000000"/>
                <w:sz w:val="20"/>
                <w:szCs w:val="20"/>
              </w:rPr>
            </w:pPr>
            <w:r w:rsidRPr="009C2EA4">
              <w:rPr>
                <w:color w:val="000000"/>
                <w:sz w:val="20"/>
                <w:szCs w:val="20"/>
              </w:rPr>
              <w:t>0.0679**</w:t>
            </w:r>
          </w:p>
        </w:tc>
      </w:tr>
      <w:tr w:rsidR="00214B02" w:rsidRPr="009C2EA4" w14:paraId="0C773617"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hideMark/>
          </w:tcPr>
          <w:p w14:paraId="4A1232CF" w14:textId="77777777" w:rsidR="00214B02" w:rsidRPr="009C2EA4" w:rsidRDefault="00214B02" w:rsidP="00214B02">
            <w:pPr>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37341E52"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0.0215</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657BF193"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0.0216</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5EEF80AC"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0.0216</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25283262"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0.0215</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1221A2A9"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0.0215</w:t>
            </w:r>
            <w:r>
              <w:rPr>
                <w:color w:val="000000"/>
                <w:sz w:val="20"/>
                <w:szCs w:val="20"/>
              </w:rPr>
              <w:t>)</w:t>
            </w:r>
          </w:p>
        </w:tc>
        <w:tc>
          <w:tcPr>
            <w:tcW w:w="1180" w:type="dxa"/>
            <w:tcBorders>
              <w:top w:val="nil"/>
              <w:left w:val="single" w:sz="4" w:space="0" w:color="auto"/>
              <w:bottom w:val="nil"/>
              <w:right w:val="single" w:sz="4" w:space="0" w:color="auto"/>
            </w:tcBorders>
            <w:shd w:val="clear" w:color="auto" w:fill="auto"/>
            <w:noWrap/>
            <w:vAlign w:val="center"/>
            <w:hideMark/>
          </w:tcPr>
          <w:p w14:paraId="2F69E4B1"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0.0216</w:t>
            </w:r>
            <w:r>
              <w:rPr>
                <w:color w:val="000000"/>
                <w:sz w:val="20"/>
                <w:szCs w:val="20"/>
              </w:rPr>
              <w:t>)</w:t>
            </w:r>
          </w:p>
        </w:tc>
      </w:tr>
      <w:tr w:rsidR="00214B02" w:rsidRPr="009C2EA4" w14:paraId="5C35F48C"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hideMark/>
          </w:tcPr>
          <w:p w14:paraId="5462D763"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bottom"/>
            <w:hideMark/>
          </w:tcPr>
          <w:p w14:paraId="6EEDD24B"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34A98594"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6763BD5"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0E235A4"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130B78F"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bottom"/>
            <w:hideMark/>
          </w:tcPr>
          <w:p w14:paraId="24FEC0C4" w14:textId="77777777" w:rsidR="00214B02" w:rsidRPr="009C2EA4" w:rsidRDefault="00214B02" w:rsidP="00214B02">
            <w:pPr>
              <w:jc w:val="center"/>
              <w:rPr>
                <w:sz w:val="20"/>
                <w:szCs w:val="20"/>
              </w:rPr>
            </w:pPr>
          </w:p>
        </w:tc>
      </w:tr>
      <w:tr w:rsidR="00214B02" w:rsidRPr="009C2EA4" w14:paraId="2A2DB058"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1CF3746E" w14:textId="77777777" w:rsidR="00214B02" w:rsidRPr="009C2EA4" w:rsidRDefault="00214B02" w:rsidP="00214B02">
            <w:pPr>
              <w:rPr>
                <w:color w:val="000000"/>
                <w:sz w:val="20"/>
                <w:szCs w:val="20"/>
              </w:rPr>
            </w:pPr>
            <w:r w:rsidRPr="009C2EA4">
              <w:rPr>
                <w:color w:val="000000"/>
                <w:sz w:val="20"/>
                <w:szCs w:val="20"/>
              </w:rPr>
              <w:t xml:space="preserve">Dummy for Top 33% Countries for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42C66412"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4FF9E4A6" w14:textId="77777777" w:rsidR="00214B02" w:rsidRPr="009C2EA4" w:rsidRDefault="00214B02" w:rsidP="00214B02">
            <w:pPr>
              <w:jc w:val="center"/>
              <w:rPr>
                <w:color w:val="000000"/>
                <w:sz w:val="20"/>
                <w:szCs w:val="20"/>
              </w:rPr>
            </w:pPr>
            <w:r w:rsidRPr="009C2EA4">
              <w:rPr>
                <w:color w:val="000000"/>
                <w:sz w:val="20"/>
                <w:szCs w:val="20"/>
              </w:rPr>
              <w:t>-0.0893</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40C5938A"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76B9E9CC"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554B410D"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430B78FF" w14:textId="77777777" w:rsidR="00214B02" w:rsidRPr="009C2EA4" w:rsidRDefault="00214B02" w:rsidP="00214B02">
            <w:pPr>
              <w:jc w:val="center"/>
              <w:rPr>
                <w:color w:val="000000"/>
                <w:sz w:val="20"/>
                <w:szCs w:val="20"/>
              </w:rPr>
            </w:pPr>
            <w:r w:rsidRPr="009C2EA4">
              <w:rPr>
                <w:color w:val="000000"/>
                <w:sz w:val="20"/>
                <w:szCs w:val="20"/>
              </w:rPr>
              <w:t>-0.514*</w:t>
            </w:r>
          </w:p>
        </w:tc>
      </w:tr>
      <w:tr w:rsidR="00214B02" w:rsidRPr="009C2EA4" w14:paraId="580DC14A"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35D2F46A" w14:textId="77777777" w:rsidR="00214B02" w:rsidRPr="009C2EA4" w:rsidRDefault="00214B02" w:rsidP="00214B02">
            <w:pPr>
              <w:rPr>
                <w:color w:val="000000"/>
                <w:sz w:val="20"/>
                <w:szCs w:val="20"/>
              </w:rPr>
            </w:pPr>
            <w:r w:rsidRPr="009C2EA4">
              <w:rPr>
                <w:color w:val="000000"/>
                <w:sz w:val="20"/>
                <w:szCs w:val="20"/>
              </w:rPr>
              <w:t>Life Expectancy X Prime Saver</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78F7552E"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438BBB46"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0.14</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29C461E"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203AD700"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0C56D646"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7A66E28A"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0.234</w:t>
            </w:r>
            <w:r>
              <w:rPr>
                <w:color w:val="000000"/>
                <w:sz w:val="20"/>
                <w:szCs w:val="20"/>
              </w:rPr>
              <w:t>)</w:t>
            </w:r>
          </w:p>
        </w:tc>
      </w:tr>
      <w:tr w:rsidR="00214B02" w:rsidRPr="009C2EA4" w14:paraId="58979E70"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hideMark/>
          </w:tcPr>
          <w:p w14:paraId="22BD2926"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bottom"/>
            <w:hideMark/>
          </w:tcPr>
          <w:p w14:paraId="4DE0548C"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32184C1D"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92CB26C"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72C5DAC8"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2B672D08"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bottom"/>
            <w:hideMark/>
          </w:tcPr>
          <w:p w14:paraId="303767D8" w14:textId="77777777" w:rsidR="00214B02" w:rsidRPr="009C2EA4" w:rsidRDefault="00214B02" w:rsidP="00214B02">
            <w:pPr>
              <w:jc w:val="center"/>
              <w:rPr>
                <w:sz w:val="20"/>
                <w:szCs w:val="20"/>
              </w:rPr>
            </w:pPr>
          </w:p>
        </w:tc>
      </w:tr>
      <w:tr w:rsidR="00214B02" w:rsidRPr="009C2EA4" w14:paraId="27291186"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4BA607C7" w14:textId="77777777" w:rsidR="00214B02" w:rsidRPr="009C2EA4" w:rsidRDefault="00214B02" w:rsidP="00214B02">
            <w:pPr>
              <w:rPr>
                <w:color w:val="000000"/>
                <w:sz w:val="20"/>
                <w:szCs w:val="20"/>
              </w:rPr>
            </w:pPr>
            <w:r w:rsidRPr="009C2EA4">
              <w:rPr>
                <w:color w:val="000000"/>
                <w:sz w:val="20"/>
                <w:szCs w:val="20"/>
              </w:rPr>
              <w:t xml:space="preserve">Dummy for Bottom 33% Countries for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3B853602"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0075C6F8" w14:textId="77777777" w:rsidR="00214B02" w:rsidRPr="009C2EA4" w:rsidRDefault="00214B02" w:rsidP="00214B02">
            <w:pPr>
              <w:jc w:val="center"/>
              <w:rPr>
                <w:b/>
                <w:bCs/>
                <w:color w:val="000000"/>
                <w:sz w:val="20"/>
                <w:szCs w:val="20"/>
              </w:rPr>
            </w:pPr>
            <w:r w:rsidRPr="009C2EA4">
              <w:rPr>
                <w:b/>
                <w:bCs/>
                <w:color w:val="000000"/>
                <w:sz w:val="20"/>
                <w:szCs w:val="20"/>
              </w:rPr>
              <w:t>-0.386**</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415EBC36"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A672C39"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13186C63"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2B02D819" w14:textId="77777777" w:rsidR="00214B02" w:rsidRPr="009C2EA4" w:rsidRDefault="00214B02" w:rsidP="00214B02">
            <w:pPr>
              <w:jc w:val="center"/>
              <w:rPr>
                <w:color w:val="000000"/>
                <w:sz w:val="20"/>
                <w:szCs w:val="20"/>
              </w:rPr>
            </w:pPr>
            <w:r w:rsidRPr="009C2EA4">
              <w:rPr>
                <w:color w:val="000000"/>
                <w:sz w:val="20"/>
                <w:szCs w:val="20"/>
              </w:rPr>
              <w:t>-0.740*</w:t>
            </w:r>
          </w:p>
        </w:tc>
      </w:tr>
      <w:tr w:rsidR="00214B02" w:rsidRPr="009C2EA4" w14:paraId="367EFA23"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6D91FE5F" w14:textId="77777777" w:rsidR="00214B02" w:rsidRPr="009C2EA4" w:rsidRDefault="00214B02" w:rsidP="00214B02">
            <w:pPr>
              <w:rPr>
                <w:color w:val="000000"/>
                <w:sz w:val="20"/>
                <w:szCs w:val="20"/>
              </w:rPr>
            </w:pPr>
            <w:r w:rsidRPr="009C2EA4">
              <w:rPr>
                <w:color w:val="000000"/>
                <w:sz w:val="20"/>
                <w:szCs w:val="20"/>
              </w:rPr>
              <w:t>Life Expectancy X Prime Saver</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14D8614D"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4C1971E8" w14:textId="77777777" w:rsidR="00214B02" w:rsidRPr="009C2EA4" w:rsidRDefault="00214B02" w:rsidP="00214B02">
            <w:pPr>
              <w:jc w:val="center"/>
              <w:rPr>
                <w:b/>
                <w:bCs/>
                <w:color w:val="000000"/>
                <w:sz w:val="20"/>
                <w:szCs w:val="20"/>
              </w:rPr>
            </w:pPr>
            <w:r w:rsidRPr="005F32F4">
              <w:rPr>
                <w:b/>
                <w:bCs/>
                <w:color w:val="000000"/>
                <w:sz w:val="20"/>
                <w:szCs w:val="20"/>
              </w:rPr>
              <w:t>(</w:t>
            </w:r>
            <w:r w:rsidRPr="009C2EA4">
              <w:rPr>
                <w:b/>
                <w:bCs/>
                <w:color w:val="000000"/>
                <w:sz w:val="20"/>
                <w:szCs w:val="20"/>
              </w:rPr>
              <w:t>0.197</w:t>
            </w:r>
            <w:r w:rsidRPr="005F32F4">
              <w:rPr>
                <w:b/>
                <w:bCs/>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0733AE32"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4AE70A1"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1323C0BC"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5DA5A384"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0.292</w:t>
            </w:r>
            <w:r>
              <w:rPr>
                <w:color w:val="000000"/>
                <w:sz w:val="20"/>
                <w:szCs w:val="20"/>
              </w:rPr>
              <w:t>)</w:t>
            </w:r>
          </w:p>
        </w:tc>
      </w:tr>
      <w:tr w:rsidR="00214B02" w:rsidRPr="009C2EA4" w14:paraId="07CAD821"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hideMark/>
          </w:tcPr>
          <w:p w14:paraId="404EDBDE"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bottom"/>
            <w:hideMark/>
          </w:tcPr>
          <w:p w14:paraId="2C55B49B"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EFE79CB"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339358A2"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36BC0A4E"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6E428CD"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bottom"/>
            <w:hideMark/>
          </w:tcPr>
          <w:p w14:paraId="59FE31D7" w14:textId="77777777" w:rsidR="00214B02" w:rsidRPr="009C2EA4" w:rsidRDefault="00214B02" w:rsidP="00214B02">
            <w:pPr>
              <w:jc w:val="center"/>
              <w:rPr>
                <w:sz w:val="20"/>
                <w:szCs w:val="20"/>
              </w:rPr>
            </w:pPr>
          </w:p>
        </w:tc>
      </w:tr>
      <w:tr w:rsidR="00214B02" w:rsidRPr="009C2EA4" w14:paraId="27D97B05"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0BD2275C" w14:textId="77777777" w:rsidR="00214B02" w:rsidRPr="009C2EA4" w:rsidRDefault="00214B02" w:rsidP="00214B02">
            <w:pPr>
              <w:rPr>
                <w:color w:val="000000"/>
                <w:sz w:val="20"/>
                <w:szCs w:val="20"/>
              </w:rPr>
            </w:pPr>
            <w:r w:rsidRPr="009C2EA4">
              <w:rPr>
                <w:color w:val="000000"/>
                <w:sz w:val="20"/>
                <w:szCs w:val="20"/>
              </w:rPr>
              <w:t xml:space="preserve">Dummy for Top 33% Countries for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183C9ED6"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68A623DF" w14:textId="77777777" w:rsidR="00214B02" w:rsidRPr="009C2EA4" w:rsidRDefault="00214B02" w:rsidP="00214B02">
            <w:pPr>
              <w:jc w:val="center"/>
              <w:rPr>
                <w:color w:val="000000"/>
                <w:sz w:val="20"/>
                <w:szCs w:val="20"/>
              </w:rPr>
            </w:pPr>
            <w:r w:rsidRPr="009C2EA4">
              <w:rPr>
                <w:color w:val="000000"/>
                <w:sz w:val="20"/>
                <w:szCs w:val="20"/>
              </w:rPr>
              <w:t>0.0109</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48BB21B0"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4E084A8F"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2F211FD3"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24CEAD42" w14:textId="77777777" w:rsidR="00214B02" w:rsidRPr="009C2EA4" w:rsidRDefault="00214B02" w:rsidP="00214B02">
            <w:pPr>
              <w:jc w:val="center"/>
              <w:rPr>
                <w:color w:val="000000"/>
                <w:sz w:val="20"/>
                <w:szCs w:val="20"/>
              </w:rPr>
            </w:pPr>
            <w:r w:rsidRPr="009C2EA4">
              <w:rPr>
                <w:color w:val="000000"/>
                <w:sz w:val="20"/>
                <w:szCs w:val="20"/>
              </w:rPr>
              <w:t>0.695</w:t>
            </w:r>
          </w:p>
        </w:tc>
      </w:tr>
      <w:tr w:rsidR="00214B02" w:rsidRPr="009C2EA4" w14:paraId="727158C2"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5D513193" w14:textId="77777777" w:rsidR="00214B02" w:rsidRPr="009C2EA4" w:rsidRDefault="00214B02" w:rsidP="00214B02">
            <w:pPr>
              <w:rPr>
                <w:color w:val="000000"/>
                <w:sz w:val="20"/>
                <w:szCs w:val="20"/>
              </w:rPr>
            </w:pPr>
            <w:r w:rsidRPr="009C2EA4">
              <w:rPr>
                <w:color w:val="000000"/>
                <w:sz w:val="20"/>
                <w:szCs w:val="20"/>
              </w:rPr>
              <w:t>Life Expectancy</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0EE7CE8A"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6DEB3A74"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1.455</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742E686D"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33691A34"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21F196D"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5E1F50F3"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1.768</w:t>
            </w:r>
            <w:r>
              <w:rPr>
                <w:color w:val="000000"/>
                <w:sz w:val="20"/>
                <w:szCs w:val="20"/>
              </w:rPr>
              <w:t>)</w:t>
            </w:r>
          </w:p>
        </w:tc>
      </w:tr>
      <w:tr w:rsidR="00214B02" w:rsidRPr="009C2EA4" w14:paraId="43585A37"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hideMark/>
          </w:tcPr>
          <w:p w14:paraId="01670C8E"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bottom"/>
            <w:hideMark/>
          </w:tcPr>
          <w:p w14:paraId="695963A6"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2550BCC3"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25664189"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5EECDD30"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3FEE7206"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bottom"/>
            <w:hideMark/>
          </w:tcPr>
          <w:p w14:paraId="39992620" w14:textId="77777777" w:rsidR="00214B02" w:rsidRPr="009C2EA4" w:rsidRDefault="00214B02" w:rsidP="00214B02">
            <w:pPr>
              <w:jc w:val="center"/>
              <w:rPr>
                <w:sz w:val="20"/>
                <w:szCs w:val="20"/>
              </w:rPr>
            </w:pPr>
          </w:p>
        </w:tc>
      </w:tr>
      <w:tr w:rsidR="00214B02" w:rsidRPr="009C2EA4" w14:paraId="652C4865"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2F89B97D" w14:textId="77777777" w:rsidR="00214B02" w:rsidRPr="009C2EA4" w:rsidRDefault="00214B02" w:rsidP="00214B02">
            <w:pPr>
              <w:rPr>
                <w:color w:val="000000"/>
                <w:sz w:val="20"/>
                <w:szCs w:val="20"/>
              </w:rPr>
            </w:pPr>
            <w:r w:rsidRPr="009C2EA4">
              <w:rPr>
                <w:color w:val="000000"/>
                <w:sz w:val="20"/>
                <w:szCs w:val="20"/>
              </w:rPr>
              <w:t xml:space="preserve">Dummy for Bottom 33% Countries for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519DAB27"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28BBE098" w14:textId="77777777" w:rsidR="00214B02" w:rsidRPr="009C2EA4" w:rsidRDefault="00214B02" w:rsidP="00214B02">
            <w:pPr>
              <w:jc w:val="center"/>
              <w:rPr>
                <w:color w:val="000000"/>
                <w:sz w:val="20"/>
                <w:szCs w:val="20"/>
              </w:rPr>
            </w:pPr>
            <w:r w:rsidRPr="009C2EA4">
              <w:rPr>
                <w:color w:val="000000"/>
                <w:sz w:val="20"/>
                <w:szCs w:val="20"/>
              </w:rPr>
              <w:t>-1.536</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4AA3F080"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0E4E2AB5"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7C90AD0"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26B0BC15" w14:textId="77777777" w:rsidR="00214B02" w:rsidRPr="009C2EA4" w:rsidRDefault="00214B02" w:rsidP="00214B02">
            <w:pPr>
              <w:jc w:val="center"/>
              <w:rPr>
                <w:color w:val="000000"/>
                <w:sz w:val="20"/>
                <w:szCs w:val="20"/>
              </w:rPr>
            </w:pPr>
            <w:r w:rsidRPr="009C2EA4">
              <w:rPr>
                <w:color w:val="000000"/>
                <w:sz w:val="20"/>
                <w:szCs w:val="20"/>
              </w:rPr>
              <w:t>-0.0622</w:t>
            </w:r>
          </w:p>
        </w:tc>
      </w:tr>
      <w:tr w:rsidR="00214B02" w:rsidRPr="009C2EA4" w14:paraId="530B848D"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6EE23191" w14:textId="77777777" w:rsidR="00214B02" w:rsidRPr="009C2EA4" w:rsidRDefault="00214B02" w:rsidP="00214B02">
            <w:pPr>
              <w:rPr>
                <w:color w:val="000000"/>
                <w:sz w:val="20"/>
                <w:szCs w:val="20"/>
              </w:rPr>
            </w:pPr>
            <w:r w:rsidRPr="009C2EA4">
              <w:rPr>
                <w:color w:val="000000"/>
                <w:sz w:val="20"/>
                <w:szCs w:val="20"/>
              </w:rPr>
              <w:t>Life Expectancy</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76947093"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37AF9CA2"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1.458</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718B59C"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39FC1BCE"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17C38A86"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43A6049B"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1.972</w:t>
            </w:r>
            <w:r>
              <w:rPr>
                <w:color w:val="000000"/>
                <w:sz w:val="20"/>
                <w:szCs w:val="20"/>
              </w:rPr>
              <w:t>)</w:t>
            </w:r>
          </w:p>
        </w:tc>
      </w:tr>
      <w:tr w:rsidR="00214B02" w:rsidRPr="009C2EA4" w14:paraId="77A30AD2"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hideMark/>
          </w:tcPr>
          <w:p w14:paraId="7BE8F1AE"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bottom"/>
            <w:hideMark/>
          </w:tcPr>
          <w:p w14:paraId="328CA5F6"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58C78AAF"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7A203DE0"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41F2C691"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19B87CD3"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bottom"/>
            <w:hideMark/>
          </w:tcPr>
          <w:p w14:paraId="55995D74" w14:textId="77777777" w:rsidR="00214B02" w:rsidRPr="009C2EA4" w:rsidRDefault="00214B02" w:rsidP="00214B02">
            <w:pPr>
              <w:jc w:val="center"/>
              <w:rPr>
                <w:sz w:val="20"/>
                <w:szCs w:val="20"/>
              </w:rPr>
            </w:pPr>
          </w:p>
        </w:tc>
      </w:tr>
      <w:tr w:rsidR="00214B02" w:rsidRPr="009C2EA4" w14:paraId="4455B283"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44E318C5" w14:textId="77777777" w:rsidR="00214B02" w:rsidRPr="009C2EA4" w:rsidRDefault="00214B02" w:rsidP="00214B02">
            <w:pPr>
              <w:rPr>
                <w:color w:val="000000"/>
                <w:sz w:val="20"/>
                <w:szCs w:val="20"/>
              </w:rPr>
            </w:pPr>
            <w:r w:rsidRPr="009C2EA4">
              <w:rPr>
                <w:color w:val="000000"/>
                <w:sz w:val="20"/>
                <w:szCs w:val="20"/>
              </w:rPr>
              <w:t xml:space="preserve">Dummy for Top 33% Countries for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573A086B"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6861DC51"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0D4DFB67" w14:textId="77777777" w:rsidR="00214B02" w:rsidRPr="009C2EA4" w:rsidRDefault="00214B02" w:rsidP="00214B02">
            <w:pPr>
              <w:jc w:val="center"/>
              <w:rPr>
                <w:b/>
                <w:bCs/>
                <w:color w:val="000000"/>
                <w:sz w:val="20"/>
                <w:szCs w:val="20"/>
              </w:rPr>
            </w:pPr>
            <w:r w:rsidRPr="009C2EA4">
              <w:rPr>
                <w:b/>
                <w:bCs/>
                <w:color w:val="000000"/>
                <w:sz w:val="20"/>
                <w:szCs w:val="20"/>
              </w:rPr>
              <w:t>0.703***</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03B24815"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98400CD"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081FBB00" w14:textId="77777777" w:rsidR="00214B02" w:rsidRPr="009C2EA4" w:rsidRDefault="00214B02" w:rsidP="00214B02">
            <w:pPr>
              <w:jc w:val="center"/>
              <w:rPr>
                <w:color w:val="000000"/>
                <w:sz w:val="20"/>
                <w:szCs w:val="20"/>
              </w:rPr>
            </w:pPr>
            <w:r w:rsidRPr="009C2EA4">
              <w:rPr>
                <w:color w:val="000000"/>
                <w:sz w:val="20"/>
                <w:szCs w:val="20"/>
              </w:rPr>
              <w:t>0.901***</w:t>
            </w:r>
          </w:p>
        </w:tc>
      </w:tr>
      <w:tr w:rsidR="00214B02" w:rsidRPr="009C2EA4" w14:paraId="59A2BA91"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26AE1851" w14:textId="77777777" w:rsidR="00214B02" w:rsidRPr="009C2EA4" w:rsidRDefault="00214B02" w:rsidP="00214B02">
            <w:pPr>
              <w:rPr>
                <w:color w:val="000000"/>
                <w:sz w:val="20"/>
                <w:szCs w:val="20"/>
              </w:rPr>
            </w:pPr>
            <w:r w:rsidRPr="009C2EA4">
              <w:rPr>
                <w:color w:val="000000"/>
                <w:sz w:val="20"/>
                <w:szCs w:val="20"/>
              </w:rPr>
              <w:t>Social Security Coverage X Prime Saver</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7FE7B543"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7721C35F"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6551136A" w14:textId="77777777" w:rsidR="00214B02" w:rsidRPr="009C2EA4" w:rsidRDefault="00214B02" w:rsidP="00214B02">
            <w:pPr>
              <w:jc w:val="center"/>
              <w:rPr>
                <w:b/>
                <w:bCs/>
                <w:color w:val="000000"/>
                <w:sz w:val="20"/>
                <w:szCs w:val="20"/>
              </w:rPr>
            </w:pPr>
            <w:r w:rsidRPr="005F32F4">
              <w:rPr>
                <w:b/>
                <w:bCs/>
                <w:color w:val="000000"/>
                <w:sz w:val="20"/>
                <w:szCs w:val="20"/>
              </w:rPr>
              <w:t>(</w:t>
            </w:r>
            <w:r w:rsidRPr="009C2EA4">
              <w:rPr>
                <w:b/>
                <w:bCs/>
                <w:color w:val="000000"/>
                <w:sz w:val="20"/>
                <w:szCs w:val="20"/>
              </w:rPr>
              <w:t>0.15</w:t>
            </w:r>
            <w:r w:rsidRPr="005F32F4">
              <w:rPr>
                <w:b/>
                <w:bCs/>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7262A5BE"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4D7D5ADD"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5D13BF67"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0.19</w:t>
            </w:r>
            <w:r>
              <w:rPr>
                <w:color w:val="000000"/>
                <w:sz w:val="20"/>
                <w:szCs w:val="20"/>
              </w:rPr>
              <w:t>)</w:t>
            </w:r>
          </w:p>
        </w:tc>
      </w:tr>
      <w:tr w:rsidR="00214B02" w:rsidRPr="009C2EA4" w14:paraId="1CF23D52"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hideMark/>
          </w:tcPr>
          <w:p w14:paraId="52DC38F2"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bottom"/>
            <w:hideMark/>
          </w:tcPr>
          <w:p w14:paraId="658187CF"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3543FF9E"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0CB22E10" w14:textId="77777777" w:rsidR="00214B02" w:rsidRPr="009C2EA4" w:rsidRDefault="00214B02" w:rsidP="00214B02">
            <w:pPr>
              <w:jc w:val="center"/>
              <w:rPr>
                <w:b/>
                <w:bCs/>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2A9DD13D"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0370D832"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bottom"/>
            <w:hideMark/>
          </w:tcPr>
          <w:p w14:paraId="1B22B123" w14:textId="77777777" w:rsidR="00214B02" w:rsidRPr="009C2EA4" w:rsidRDefault="00214B02" w:rsidP="00214B02">
            <w:pPr>
              <w:jc w:val="center"/>
              <w:rPr>
                <w:sz w:val="20"/>
                <w:szCs w:val="20"/>
              </w:rPr>
            </w:pPr>
          </w:p>
        </w:tc>
      </w:tr>
      <w:tr w:rsidR="00214B02" w:rsidRPr="009C2EA4" w14:paraId="0DAC694C"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14272FB5" w14:textId="77777777" w:rsidR="00214B02" w:rsidRPr="009C2EA4" w:rsidRDefault="00214B02" w:rsidP="00214B02">
            <w:pPr>
              <w:rPr>
                <w:color w:val="000000"/>
                <w:sz w:val="20"/>
                <w:szCs w:val="20"/>
              </w:rPr>
            </w:pPr>
            <w:r w:rsidRPr="009C2EA4">
              <w:rPr>
                <w:color w:val="000000"/>
                <w:sz w:val="20"/>
                <w:szCs w:val="20"/>
              </w:rPr>
              <w:t xml:space="preserve">Dummy for Bottom 33% Countries for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3E5E0015"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3735EA7D"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2A71947A" w14:textId="77777777" w:rsidR="00214B02" w:rsidRPr="009C2EA4" w:rsidRDefault="00214B02" w:rsidP="00214B02">
            <w:pPr>
              <w:jc w:val="center"/>
              <w:rPr>
                <w:b/>
                <w:bCs/>
                <w:color w:val="000000"/>
                <w:sz w:val="20"/>
                <w:szCs w:val="20"/>
              </w:rPr>
            </w:pPr>
            <w:r w:rsidRPr="009C2EA4">
              <w:rPr>
                <w:b/>
                <w:bCs/>
                <w:color w:val="000000"/>
                <w:sz w:val="20"/>
                <w:szCs w:val="20"/>
              </w:rPr>
              <w:t>-0.515*</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259E8B5"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2E41402C"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1847985A" w14:textId="77777777" w:rsidR="00214B02" w:rsidRPr="009C2EA4" w:rsidRDefault="00214B02" w:rsidP="00214B02">
            <w:pPr>
              <w:jc w:val="center"/>
              <w:rPr>
                <w:color w:val="000000"/>
                <w:sz w:val="20"/>
                <w:szCs w:val="20"/>
              </w:rPr>
            </w:pPr>
            <w:r w:rsidRPr="009C2EA4">
              <w:rPr>
                <w:color w:val="000000"/>
                <w:sz w:val="20"/>
                <w:szCs w:val="20"/>
              </w:rPr>
              <w:t>-0.842**</w:t>
            </w:r>
          </w:p>
        </w:tc>
      </w:tr>
      <w:tr w:rsidR="00214B02" w:rsidRPr="009C2EA4" w14:paraId="781ADF23"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2A504FB8" w14:textId="77777777" w:rsidR="00214B02" w:rsidRPr="009C2EA4" w:rsidRDefault="00214B02" w:rsidP="00214B02">
            <w:pPr>
              <w:rPr>
                <w:color w:val="000000"/>
                <w:sz w:val="20"/>
                <w:szCs w:val="20"/>
              </w:rPr>
            </w:pPr>
            <w:r w:rsidRPr="009C2EA4">
              <w:rPr>
                <w:color w:val="000000"/>
                <w:sz w:val="20"/>
                <w:szCs w:val="20"/>
              </w:rPr>
              <w:t>Social Security Coverage X Prime Saver</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660F07C7"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69AA5780"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46EBAD28" w14:textId="77777777" w:rsidR="00214B02" w:rsidRPr="009C2EA4" w:rsidRDefault="00214B02" w:rsidP="00214B02">
            <w:pPr>
              <w:jc w:val="center"/>
              <w:rPr>
                <w:b/>
                <w:bCs/>
                <w:color w:val="000000"/>
                <w:sz w:val="20"/>
                <w:szCs w:val="20"/>
              </w:rPr>
            </w:pPr>
            <w:r w:rsidRPr="005F32F4">
              <w:rPr>
                <w:b/>
                <w:bCs/>
                <w:color w:val="000000"/>
                <w:sz w:val="20"/>
                <w:szCs w:val="20"/>
              </w:rPr>
              <w:t>(</w:t>
            </w:r>
            <w:r w:rsidRPr="009C2EA4">
              <w:rPr>
                <w:b/>
                <w:bCs/>
                <w:color w:val="000000"/>
                <w:sz w:val="20"/>
                <w:szCs w:val="20"/>
              </w:rPr>
              <w:t>0.209</w:t>
            </w:r>
            <w:r w:rsidRPr="005F32F4">
              <w:rPr>
                <w:b/>
                <w:bCs/>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5A5EA156"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7B6036DB"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35256EDD"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0.302</w:t>
            </w:r>
            <w:r>
              <w:rPr>
                <w:color w:val="000000"/>
                <w:sz w:val="20"/>
                <w:szCs w:val="20"/>
              </w:rPr>
              <w:t>)</w:t>
            </w:r>
          </w:p>
        </w:tc>
      </w:tr>
      <w:tr w:rsidR="00214B02" w:rsidRPr="009C2EA4" w14:paraId="469B7F4B"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hideMark/>
          </w:tcPr>
          <w:p w14:paraId="39EF2D2A"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bottom"/>
            <w:hideMark/>
          </w:tcPr>
          <w:p w14:paraId="27A46A05"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983F969"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070428CF"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459E43BF"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399D937"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bottom"/>
            <w:hideMark/>
          </w:tcPr>
          <w:p w14:paraId="202F033A" w14:textId="77777777" w:rsidR="00214B02" w:rsidRPr="009C2EA4" w:rsidRDefault="00214B02" w:rsidP="00214B02">
            <w:pPr>
              <w:jc w:val="center"/>
              <w:rPr>
                <w:sz w:val="20"/>
                <w:szCs w:val="20"/>
              </w:rPr>
            </w:pPr>
          </w:p>
        </w:tc>
      </w:tr>
      <w:tr w:rsidR="00214B02" w:rsidRPr="009C2EA4" w14:paraId="12AD1181"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566F3510" w14:textId="77777777" w:rsidR="00214B02" w:rsidRPr="009C2EA4" w:rsidRDefault="00214B02" w:rsidP="00214B02">
            <w:pPr>
              <w:rPr>
                <w:color w:val="000000"/>
                <w:sz w:val="20"/>
                <w:szCs w:val="20"/>
              </w:rPr>
            </w:pPr>
            <w:r w:rsidRPr="009C2EA4">
              <w:rPr>
                <w:color w:val="000000"/>
                <w:sz w:val="20"/>
                <w:szCs w:val="20"/>
              </w:rPr>
              <w:t xml:space="preserve">Dummy for Top 33% Countries for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03539855"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3907AF79"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76E39072" w14:textId="77777777" w:rsidR="00214B02" w:rsidRPr="009C2EA4" w:rsidRDefault="00214B02" w:rsidP="00214B02">
            <w:pPr>
              <w:jc w:val="center"/>
              <w:rPr>
                <w:color w:val="000000"/>
                <w:sz w:val="20"/>
                <w:szCs w:val="20"/>
              </w:rPr>
            </w:pPr>
            <w:r w:rsidRPr="009C2EA4">
              <w:rPr>
                <w:color w:val="000000"/>
                <w:sz w:val="20"/>
                <w:szCs w:val="20"/>
              </w:rPr>
              <w:t>-2.006</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13294DF1"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329FD903"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3955265A" w14:textId="77777777" w:rsidR="00214B02" w:rsidRPr="009C2EA4" w:rsidRDefault="00214B02" w:rsidP="00214B02">
            <w:pPr>
              <w:jc w:val="center"/>
              <w:rPr>
                <w:color w:val="000000"/>
                <w:sz w:val="20"/>
                <w:szCs w:val="20"/>
              </w:rPr>
            </w:pPr>
            <w:r w:rsidRPr="009C2EA4">
              <w:rPr>
                <w:color w:val="000000"/>
                <w:sz w:val="20"/>
                <w:szCs w:val="20"/>
              </w:rPr>
              <w:t>-3.152*</w:t>
            </w:r>
          </w:p>
        </w:tc>
      </w:tr>
      <w:tr w:rsidR="00214B02" w:rsidRPr="009C2EA4" w14:paraId="623755EF"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14854E4B" w14:textId="77777777" w:rsidR="00214B02" w:rsidRPr="009C2EA4" w:rsidRDefault="00214B02" w:rsidP="00214B02">
            <w:pPr>
              <w:rPr>
                <w:color w:val="000000"/>
                <w:sz w:val="20"/>
                <w:szCs w:val="20"/>
              </w:rPr>
            </w:pPr>
            <w:r w:rsidRPr="009C2EA4">
              <w:rPr>
                <w:color w:val="000000"/>
                <w:sz w:val="20"/>
                <w:szCs w:val="20"/>
              </w:rPr>
              <w:t xml:space="preserve">Social Security Coverage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59195136"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3B4D66C6"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236C91D3"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1.415</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1723019B"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35014265"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0C5CE12E"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1.555</w:t>
            </w:r>
            <w:r>
              <w:rPr>
                <w:color w:val="000000"/>
                <w:sz w:val="20"/>
                <w:szCs w:val="20"/>
              </w:rPr>
              <w:t>)</w:t>
            </w:r>
          </w:p>
        </w:tc>
      </w:tr>
      <w:tr w:rsidR="00214B02" w:rsidRPr="009C2EA4" w14:paraId="0C6F1480"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hideMark/>
          </w:tcPr>
          <w:p w14:paraId="7FE8A2D0"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bottom"/>
            <w:hideMark/>
          </w:tcPr>
          <w:p w14:paraId="1ABB0278"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135A87A5"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13127473"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460A1966"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0C7D2BAF"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bottom"/>
            <w:hideMark/>
          </w:tcPr>
          <w:p w14:paraId="390192F2" w14:textId="77777777" w:rsidR="00214B02" w:rsidRPr="009C2EA4" w:rsidRDefault="00214B02" w:rsidP="00214B02">
            <w:pPr>
              <w:jc w:val="center"/>
              <w:rPr>
                <w:sz w:val="20"/>
                <w:szCs w:val="20"/>
              </w:rPr>
            </w:pPr>
          </w:p>
        </w:tc>
      </w:tr>
      <w:tr w:rsidR="00214B02" w:rsidRPr="009C2EA4" w14:paraId="4BEC8B2B"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1C722A06" w14:textId="77777777" w:rsidR="00214B02" w:rsidRPr="009C2EA4" w:rsidRDefault="00214B02" w:rsidP="00214B02">
            <w:pPr>
              <w:rPr>
                <w:color w:val="000000"/>
                <w:sz w:val="20"/>
                <w:szCs w:val="20"/>
              </w:rPr>
            </w:pPr>
            <w:r w:rsidRPr="009C2EA4">
              <w:rPr>
                <w:color w:val="000000"/>
                <w:sz w:val="20"/>
                <w:szCs w:val="20"/>
              </w:rPr>
              <w:t xml:space="preserve">Dummy for Bottom 33% Countries for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62C2F282"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6BDE4642"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493A346F" w14:textId="77777777" w:rsidR="00214B02" w:rsidRPr="009C2EA4" w:rsidRDefault="00214B02" w:rsidP="00214B02">
            <w:pPr>
              <w:jc w:val="center"/>
              <w:rPr>
                <w:color w:val="000000"/>
                <w:sz w:val="20"/>
                <w:szCs w:val="20"/>
              </w:rPr>
            </w:pPr>
            <w:r w:rsidRPr="009C2EA4">
              <w:rPr>
                <w:color w:val="000000"/>
                <w:sz w:val="20"/>
                <w:szCs w:val="20"/>
              </w:rPr>
              <w:t>-2.389</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58FA53E0"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16709224"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77A339C7" w14:textId="77777777" w:rsidR="00214B02" w:rsidRPr="009C2EA4" w:rsidRDefault="00214B02" w:rsidP="00214B02">
            <w:pPr>
              <w:jc w:val="center"/>
              <w:rPr>
                <w:color w:val="000000"/>
                <w:sz w:val="20"/>
                <w:szCs w:val="20"/>
              </w:rPr>
            </w:pPr>
            <w:r w:rsidRPr="009C2EA4">
              <w:rPr>
                <w:color w:val="000000"/>
                <w:sz w:val="20"/>
                <w:szCs w:val="20"/>
              </w:rPr>
              <w:t>-1.45</w:t>
            </w:r>
          </w:p>
        </w:tc>
      </w:tr>
      <w:tr w:rsidR="00214B02" w:rsidRPr="009C2EA4" w14:paraId="660E1F76"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4CA3BE79" w14:textId="77777777" w:rsidR="00214B02" w:rsidRPr="009C2EA4" w:rsidRDefault="00214B02" w:rsidP="00214B02">
            <w:pPr>
              <w:rPr>
                <w:color w:val="000000"/>
                <w:sz w:val="20"/>
                <w:szCs w:val="20"/>
              </w:rPr>
            </w:pPr>
            <w:r w:rsidRPr="009C2EA4">
              <w:rPr>
                <w:color w:val="000000"/>
                <w:sz w:val="20"/>
                <w:szCs w:val="20"/>
              </w:rPr>
              <w:t xml:space="preserve">Social Security Coverage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40CEF73B"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5EEF7304"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231C3F77"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1.544</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0DBB77FF"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BF73B37"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06A7950F"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2.034</w:t>
            </w:r>
            <w:r>
              <w:rPr>
                <w:color w:val="000000"/>
                <w:sz w:val="20"/>
                <w:szCs w:val="20"/>
              </w:rPr>
              <w:t>)</w:t>
            </w:r>
          </w:p>
        </w:tc>
      </w:tr>
      <w:tr w:rsidR="00214B02" w:rsidRPr="009C2EA4" w14:paraId="45FF6136"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hideMark/>
          </w:tcPr>
          <w:p w14:paraId="46D9E8DA"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bottom"/>
            <w:hideMark/>
          </w:tcPr>
          <w:p w14:paraId="30C6DE1F"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58440674"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44B87D03"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74A0B301"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5400222D"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bottom"/>
            <w:hideMark/>
          </w:tcPr>
          <w:p w14:paraId="242BF915" w14:textId="77777777" w:rsidR="00214B02" w:rsidRPr="009C2EA4" w:rsidRDefault="00214B02" w:rsidP="00214B02">
            <w:pPr>
              <w:jc w:val="center"/>
              <w:rPr>
                <w:sz w:val="20"/>
                <w:szCs w:val="20"/>
              </w:rPr>
            </w:pPr>
          </w:p>
        </w:tc>
      </w:tr>
      <w:tr w:rsidR="00214B02" w:rsidRPr="009C2EA4" w14:paraId="719B3D00"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71413280" w14:textId="77777777" w:rsidR="00214B02" w:rsidRPr="009C2EA4" w:rsidRDefault="00214B02" w:rsidP="00214B02">
            <w:pPr>
              <w:rPr>
                <w:color w:val="000000"/>
                <w:sz w:val="20"/>
                <w:szCs w:val="20"/>
              </w:rPr>
            </w:pPr>
            <w:r w:rsidRPr="009C2EA4">
              <w:rPr>
                <w:color w:val="000000"/>
                <w:sz w:val="20"/>
                <w:szCs w:val="20"/>
              </w:rPr>
              <w:t xml:space="preserve">Dummy for Top 33% Countries for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6D3B4931"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1673BDD6"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714676E8"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374C9D04" w14:textId="77777777" w:rsidR="00214B02" w:rsidRPr="009C2EA4" w:rsidRDefault="00214B02" w:rsidP="00214B02">
            <w:pPr>
              <w:jc w:val="center"/>
              <w:rPr>
                <w:color w:val="000000"/>
                <w:sz w:val="20"/>
                <w:szCs w:val="20"/>
              </w:rPr>
            </w:pPr>
            <w:r w:rsidRPr="009C2EA4">
              <w:rPr>
                <w:color w:val="000000"/>
                <w:sz w:val="20"/>
                <w:szCs w:val="20"/>
              </w:rPr>
              <w:t>0.0728</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11306A50" w14:textId="77777777" w:rsidR="00214B02" w:rsidRPr="009C2EA4" w:rsidRDefault="00214B02" w:rsidP="00214B02">
            <w:pPr>
              <w:jc w:val="center"/>
              <w:rPr>
                <w:color w:val="000000"/>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096B39F6" w14:textId="77777777" w:rsidR="00214B02" w:rsidRPr="009C2EA4" w:rsidRDefault="00214B02" w:rsidP="00214B02">
            <w:pPr>
              <w:jc w:val="center"/>
              <w:rPr>
                <w:color w:val="000000"/>
                <w:sz w:val="20"/>
                <w:szCs w:val="20"/>
              </w:rPr>
            </w:pPr>
            <w:r w:rsidRPr="009C2EA4">
              <w:rPr>
                <w:color w:val="000000"/>
                <w:sz w:val="20"/>
                <w:szCs w:val="20"/>
              </w:rPr>
              <w:t>0.359</w:t>
            </w:r>
          </w:p>
        </w:tc>
      </w:tr>
      <w:tr w:rsidR="00214B02" w:rsidRPr="009C2EA4" w14:paraId="614C4807"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6B801066" w14:textId="77777777" w:rsidR="00214B02" w:rsidRPr="009C2EA4" w:rsidRDefault="00214B02" w:rsidP="00214B02">
            <w:pPr>
              <w:rPr>
                <w:color w:val="000000"/>
                <w:sz w:val="20"/>
                <w:szCs w:val="20"/>
              </w:rPr>
            </w:pPr>
            <w:r w:rsidRPr="009C2EA4">
              <w:rPr>
                <w:color w:val="000000"/>
                <w:sz w:val="20"/>
                <w:szCs w:val="20"/>
              </w:rPr>
              <w:t>Capital Openness X Prime Saver</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2B020C5F"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08A160F9"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3211D65F"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7159D0E7"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0.144</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1DB01852" w14:textId="77777777" w:rsidR="00214B02" w:rsidRPr="009C2EA4" w:rsidRDefault="00214B02" w:rsidP="00214B02">
            <w:pPr>
              <w:jc w:val="center"/>
              <w:rPr>
                <w:color w:val="000000"/>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07A1B292"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0.203</w:t>
            </w:r>
            <w:r>
              <w:rPr>
                <w:color w:val="000000"/>
                <w:sz w:val="20"/>
                <w:szCs w:val="20"/>
              </w:rPr>
              <w:t>)</w:t>
            </w:r>
          </w:p>
        </w:tc>
      </w:tr>
      <w:tr w:rsidR="00214B02" w:rsidRPr="009C2EA4" w14:paraId="24E520EB" w14:textId="77777777" w:rsidTr="009634C4">
        <w:trPr>
          <w:trHeight w:val="288"/>
        </w:trPr>
        <w:tc>
          <w:tcPr>
            <w:tcW w:w="3595" w:type="dxa"/>
            <w:tcBorders>
              <w:top w:val="nil"/>
              <w:left w:val="single" w:sz="4" w:space="0" w:color="auto"/>
              <w:bottom w:val="single" w:sz="4" w:space="0" w:color="auto"/>
              <w:right w:val="single" w:sz="4" w:space="0" w:color="auto"/>
            </w:tcBorders>
            <w:shd w:val="clear" w:color="auto" w:fill="auto"/>
            <w:noWrap/>
            <w:vAlign w:val="bottom"/>
            <w:hideMark/>
          </w:tcPr>
          <w:p w14:paraId="6AD15335" w14:textId="30B1C94D" w:rsidR="00214B02" w:rsidRDefault="00214B02" w:rsidP="00214B02">
            <w:pPr>
              <w:jc w:val="right"/>
              <w:rPr>
                <w:color w:val="000000"/>
                <w:sz w:val="20"/>
                <w:szCs w:val="20"/>
              </w:rPr>
            </w:pPr>
          </w:p>
          <w:p w14:paraId="2F846D4F" w14:textId="053A905E" w:rsidR="009634C4" w:rsidRPr="009634C4" w:rsidRDefault="009634C4" w:rsidP="00214B02">
            <w:pPr>
              <w:jc w:val="right"/>
              <w:rPr>
                <w:i/>
                <w:iCs/>
                <w:color w:val="000000"/>
                <w:sz w:val="20"/>
                <w:szCs w:val="20"/>
              </w:rPr>
            </w:pPr>
            <w:r w:rsidRPr="009634C4">
              <w:rPr>
                <w:i/>
                <w:iCs/>
                <w:color w:val="000000"/>
                <w:sz w:val="20"/>
                <w:szCs w:val="20"/>
              </w:rPr>
              <w:t>Continue the next page</w:t>
            </w:r>
          </w:p>
          <w:p w14:paraId="5F3E7EFF" w14:textId="77777777" w:rsidR="009634C4" w:rsidRDefault="009634C4" w:rsidP="00214B02">
            <w:pPr>
              <w:jc w:val="right"/>
              <w:rPr>
                <w:color w:val="000000"/>
                <w:sz w:val="20"/>
                <w:szCs w:val="20"/>
              </w:rPr>
            </w:pPr>
          </w:p>
          <w:p w14:paraId="46742F33" w14:textId="7B71FE87" w:rsidR="009634C4" w:rsidRPr="009C2EA4" w:rsidRDefault="009634C4" w:rsidP="00214B02">
            <w:pPr>
              <w:jc w:val="right"/>
              <w:rPr>
                <w:color w:val="000000"/>
                <w:sz w:val="20"/>
                <w:szCs w:val="20"/>
              </w:rPr>
            </w:pPr>
          </w:p>
        </w:tc>
        <w:tc>
          <w:tcPr>
            <w:tcW w:w="1179" w:type="dxa"/>
            <w:gridSpan w:val="2"/>
            <w:tcBorders>
              <w:top w:val="nil"/>
              <w:left w:val="single" w:sz="4" w:space="0" w:color="auto"/>
              <w:bottom w:val="single" w:sz="4" w:space="0" w:color="auto"/>
              <w:right w:val="single" w:sz="4" w:space="0" w:color="auto"/>
            </w:tcBorders>
            <w:shd w:val="clear" w:color="auto" w:fill="auto"/>
            <w:noWrap/>
            <w:vAlign w:val="bottom"/>
            <w:hideMark/>
          </w:tcPr>
          <w:p w14:paraId="72439EA0" w14:textId="77777777" w:rsidR="00214B02" w:rsidRPr="009C2EA4" w:rsidRDefault="00214B02" w:rsidP="00214B02">
            <w:pPr>
              <w:jc w:val="center"/>
              <w:rPr>
                <w:sz w:val="20"/>
                <w:szCs w:val="20"/>
              </w:rPr>
            </w:pPr>
          </w:p>
        </w:tc>
        <w:tc>
          <w:tcPr>
            <w:tcW w:w="118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7295DEE" w14:textId="77777777" w:rsidR="00214B02" w:rsidRPr="009C2EA4" w:rsidRDefault="00214B02" w:rsidP="00214B02">
            <w:pPr>
              <w:jc w:val="center"/>
              <w:rPr>
                <w:sz w:val="20"/>
                <w:szCs w:val="20"/>
              </w:rPr>
            </w:pPr>
          </w:p>
        </w:tc>
        <w:tc>
          <w:tcPr>
            <w:tcW w:w="118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9054C66" w14:textId="77777777" w:rsidR="00214B02" w:rsidRPr="009C2EA4" w:rsidRDefault="00214B02" w:rsidP="00214B02">
            <w:pPr>
              <w:jc w:val="center"/>
              <w:rPr>
                <w:sz w:val="20"/>
                <w:szCs w:val="20"/>
              </w:rPr>
            </w:pPr>
          </w:p>
        </w:tc>
        <w:tc>
          <w:tcPr>
            <w:tcW w:w="118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B50D632" w14:textId="77777777" w:rsidR="00214B02" w:rsidRPr="009C2EA4" w:rsidRDefault="00214B02" w:rsidP="00214B02">
            <w:pPr>
              <w:jc w:val="center"/>
              <w:rPr>
                <w:sz w:val="20"/>
                <w:szCs w:val="20"/>
              </w:rPr>
            </w:pPr>
          </w:p>
        </w:tc>
        <w:tc>
          <w:tcPr>
            <w:tcW w:w="118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73620CB" w14:textId="77777777" w:rsidR="00214B02" w:rsidRPr="009C2EA4" w:rsidRDefault="00214B02" w:rsidP="00214B02">
            <w:pPr>
              <w:jc w:val="center"/>
              <w:rPr>
                <w:sz w:val="20"/>
                <w:szCs w:val="20"/>
              </w:rPr>
            </w:pP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94E36B" w14:textId="77777777" w:rsidR="00214B02" w:rsidRPr="009C2EA4" w:rsidRDefault="00214B02" w:rsidP="00214B02">
            <w:pPr>
              <w:jc w:val="center"/>
              <w:rPr>
                <w:sz w:val="20"/>
                <w:szCs w:val="20"/>
              </w:rPr>
            </w:pPr>
          </w:p>
        </w:tc>
      </w:tr>
      <w:tr w:rsidR="00214B02" w:rsidRPr="009C2EA4" w14:paraId="5711C48C" w14:textId="77777777" w:rsidTr="009634C4">
        <w:trPr>
          <w:trHeight w:val="288"/>
        </w:trPr>
        <w:tc>
          <w:tcPr>
            <w:tcW w:w="3595" w:type="dxa"/>
            <w:tcBorders>
              <w:top w:val="single" w:sz="4" w:space="0" w:color="auto"/>
              <w:left w:val="single" w:sz="4" w:space="0" w:color="auto"/>
              <w:bottom w:val="nil"/>
              <w:right w:val="single" w:sz="4" w:space="0" w:color="auto"/>
            </w:tcBorders>
            <w:shd w:val="clear" w:color="auto" w:fill="auto"/>
            <w:noWrap/>
            <w:vAlign w:val="center"/>
            <w:hideMark/>
          </w:tcPr>
          <w:p w14:paraId="052C8ED3" w14:textId="77777777" w:rsidR="00214B02" w:rsidRPr="009C2EA4" w:rsidRDefault="00214B02" w:rsidP="00214B02">
            <w:pPr>
              <w:rPr>
                <w:color w:val="000000"/>
                <w:sz w:val="20"/>
                <w:szCs w:val="20"/>
              </w:rPr>
            </w:pPr>
            <w:r w:rsidRPr="009C2EA4">
              <w:rPr>
                <w:color w:val="000000"/>
                <w:sz w:val="20"/>
                <w:szCs w:val="20"/>
              </w:rPr>
              <w:lastRenderedPageBreak/>
              <w:t xml:space="preserve">Dummy for Bottom 33% Countries for </w:t>
            </w:r>
          </w:p>
        </w:tc>
        <w:tc>
          <w:tcPr>
            <w:tcW w:w="1179" w:type="dxa"/>
            <w:gridSpan w:val="2"/>
            <w:tcBorders>
              <w:top w:val="single" w:sz="4" w:space="0" w:color="auto"/>
              <w:left w:val="single" w:sz="4" w:space="0" w:color="auto"/>
              <w:bottom w:val="nil"/>
              <w:right w:val="single" w:sz="4" w:space="0" w:color="auto"/>
            </w:tcBorders>
            <w:shd w:val="clear" w:color="auto" w:fill="auto"/>
            <w:noWrap/>
            <w:vAlign w:val="center"/>
            <w:hideMark/>
          </w:tcPr>
          <w:p w14:paraId="196FE8A8" w14:textId="77777777" w:rsidR="00214B02" w:rsidRPr="009C2EA4" w:rsidRDefault="00214B02" w:rsidP="00214B02">
            <w:pPr>
              <w:jc w:val="center"/>
              <w:rPr>
                <w:color w:val="000000"/>
                <w:sz w:val="20"/>
                <w:szCs w:val="20"/>
              </w:rPr>
            </w:pPr>
          </w:p>
        </w:tc>
        <w:tc>
          <w:tcPr>
            <w:tcW w:w="1180" w:type="dxa"/>
            <w:gridSpan w:val="2"/>
            <w:tcBorders>
              <w:top w:val="single" w:sz="4" w:space="0" w:color="auto"/>
              <w:left w:val="single" w:sz="4" w:space="0" w:color="auto"/>
              <w:bottom w:val="nil"/>
              <w:right w:val="single" w:sz="4" w:space="0" w:color="auto"/>
            </w:tcBorders>
            <w:shd w:val="clear" w:color="auto" w:fill="auto"/>
            <w:noWrap/>
            <w:vAlign w:val="center"/>
            <w:hideMark/>
          </w:tcPr>
          <w:p w14:paraId="753D2AC0" w14:textId="77777777" w:rsidR="00214B02" w:rsidRPr="009C2EA4" w:rsidRDefault="00214B02" w:rsidP="00214B02">
            <w:pPr>
              <w:jc w:val="center"/>
              <w:rPr>
                <w:sz w:val="20"/>
                <w:szCs w:val="20"/>
              </w:rPr>
            </w:pPr>
          </w:p>
        </w:tc>
        <w:tc>
          <w:tcPr>
            <w:tcW w:w="1180" w:type="dxa"/>
            <w:gridSpan w:val="2"/>
            <w:tcBorders>
              <w:top w:val="single" w:sz="4" w:space="0" w:color="auto"/>
              <w:left w:val="single" w:sz="4" w:space="0" w:color="auto"/>
              <w:bottom w:val="nil"/>
              <w:right w:val="single" w:sz="4" w:space="0" w:color="auto"/>
            </w:tcBorders>
            <w:shd w:val="clear" w:color="auto" w:fill="auto"/>
            <w:noWrap/>
            <w:vAlign w:val="center"/>
            <w:hideMark/>
          </w:tcPr>
          <w:p w14:paraId="469E1105" w14:textId="77777777" w:rsidR="00214B02" w:rsidRPr="009C2EA4" w:rsidRDefault="00214B02" w:rsidP="00214B02">
            <w:pPr>
              <w:jc w:val="center"/>
              <w:rPr>
                <w:sz w:val="20"/>
                <w:szCs w:val="20"/>
              </w:rPr>
            </w:pPr>
          </w:p>
        </w:tc>
        <w:tc>
          <w:tcPr>
            <w:tcW w:w="1180" w:type="dxa"/>
            <w:gridSpan w:val="2"/>
            <w:tcBorders>
              <w:top w:val="single" w:sz="4" w:space="0" w:color="auto"/>
              <w:left w:val="single" w:sz="4" w:space="0" w:color="auto"/>
              <w:bottom w:val="nil"/>
              <w:right w:val="single" w:sz="4" w:space="0" w:color="auto"/>
            </w:tcBorders>
            <w:shd w:val="clear" w:color="auto" w:fill="auto"/>
            <w:noWrap/>
            <w:vAlign w:val="center"/>
            <w:hideMark/>
          </w:tcPr>
          <w:p w14:paraId="38FFBDAA" w14:textId="77777777" w:rsidR="00214B02" w:rsidRPr="009C2EA4" w:rsidRDefault="00214B02" w:rsidP="00214B02">
            <w:pPr>
              <w:jc w:val="center"/>
              <w:rPr>
                <w:color w:val="000000"/>
                <w:sz w:val="20"/>
                <w:szCs w:val="20"/>
              </w:rPr>
            </w:pPr>
            <w:r w:rsidRPr="009C2EA4">
              <w:rPr>
                <w:color w:val="000000"/>
                <w:sz w:val="20"/>
                <w:szCs w:val="20"/>
              </w:rPr>
              <w:t>-0.138</w:t>
            </w:r>
          </w:p>
        </w:tc>
        <w:tc>
          <w:tcPr>
            <w:tcW w:w="1180" w:type="dxa"/>
            <w:gridSpan w:val="2"/>
            <w:tcBorders>
              <w:top w:val="single" w:sz="4" w:space="0" w:color="auto"/>
              <w:left w:val="single" w:sz="4" w:space="0" w:color="auto"/>
              <w:bottom w:val="nil"/>
              <w:right w:val="single" w:sz="4" w:space="0" w:color="auto"/>
            </w:tcBorders>
            <w:shd w:val="clear" w:color="auto" w:fill="auto"/>
            <w:noWrap/>
            <w:vAlign w:val="bottom"/>
            <w:hideMark/>
          </w:tcPr>
          <w:p w14:paraId="461BFC39" w14:textId="77777777" w:rsidR="00214B02" w:rsidRPr="009C2EA4" w:rsidRDefault="00214B02" w:rsidP="00214B02">
            <w:pPr>
              <w:jc w:val="center"/>
              <w:rPr>
                <w:color w:val="000000"/>
                <w:sz w:val="20"/>
                <w:szCs w:val="20"/>
              </w:rPr>
            </w:pPr>
          </w:p>
        </w:tc>
        <w:tc>
          <w:tcPr>
            <w:tcW w:w="1180" w:type="dxa"/>
            <w:tcBorders>
              <w:top w:val="single" w:sz="4" w:space="0" w:color="auto"/>
              <w:left w:val="single" w:sz="4" w:space="0" w:color="auto"/>
              <w:bottom w:val="nil"/>
              <w:right w:val="single" w:sz="4" w:space="0" w:color="auto"/>
            </w:tcBorders>
            <w:shd w:val="clear" w:color="auto" w:fill="auto"/>
            <w:noWrap/>
            <w:vAlign w:val="center"/>
            <w:hideMark/>
          </w:tcPr>
          <w:p w14:paraId="3AA7EBE7" w14:textId="77777777" w:rsidR="00214B02" w:rsidRPr="009C2EA4" w:rsidRDefault="00214B02" w:rsidP="00214B02">
            <w:pPr>
              <w:jc w:val="center"/>
              <w:rPr>
                <w:color w:val="000000"/>
                <w:sz w:val="20"/>
                <w:szCs w:val="20"/>
              </w:rPr>
            </w:pPr>
            <w:r w:rsidRPr="009C2EA4">
              <w:rPr>
                <w:color w:val="000000"/>
                <w:sz w:val="20"/>
                <w:szCs w:val="20"/>
              </w:rPr>
              <w:t>-0.114</w:t>
            </w:r>
          </w:p>
        </w:tc>
      </w:tr>
      <w:tr w:rsidR="00214B02" w:rsidRPr="009C2EA4" w14:paraId="482CDBDC"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5FAE2193" w14:textId="77777777" w:rsidR="00214B02" w:rsidRPr="009C2EA4" w:rsidRDefault="00214B02" w:rsidP="00214B02">
            <w:pPr>
              <w:rPr>
                <w:color w:val="000000"/>
                <w:sz w:val="20"/>
                <w:szCs w:val="20"/>
              </w:rPr>
            </w:pPr>
            <w:r w:rsidRPr="009C2EA4">
              <w:rPr>
                <w:color w:val="000000"/>
                <w:sz w:val="20"/>
                <w:szCs w:val="20"/>
              </w:rPr>
              <w:t>Capital Openness X Prime Saver</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364AE1C4"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71C3DC1D"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01E0426B"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1360BC58"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0.144</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01263BAA" w14:textId="77777777" w:rsidR="00214B02" w:rsidRPr="009C2EA4" w:rsidRDefault="00214B02" w:rsidP="00214B02">
            <w:pPr>
              <w:jc w:val="center"/>
              <w:rPr>
                <w:color w:val="000000"/>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32CB9C03"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0.193</w:t>
            </w:r>
            <w:r>
              <w:rPr>
                <w:color w:val="000000"/>
                <w:sz w:val="20"/>
                <w:szCs w:val="20"/>
              </w:rPr>
              <w:t>)</w:t>
            </w:r>
          </w:p>
        </w:tc>
      </w:tr>
      <w:tr w:rsidR="00214B02" w:rsidRPr="009C2EA4" w14:paraId="41024BBF"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hideMark/>
          </w:tcPr>
          <w:p w14:paraId="7BFB51CF"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bottom"/>
            <w:hideMark/>
          </w:tcPr>
          <w:p w14:paraId="737E7446"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553F87DB"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014BC217"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5261A48D"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06F297E8"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bottom"/>
            <w:hideMark/>
          </w:tcPr>
          <w:p w14:paraId="23BA66B1" w14:textId="77777777" w:rsidR="00214B02" w:rsidRPr="009C2EA4" w:rsidRDefault="00214B02" w:rsidP="00214B02">
            <w:pPr>
              <w:jc w:val="center"/>
              <w:rPr>
                <w:sz w:val="20"/>
                <w:szCs w:val="20"/>
              </w:rPr>
            </w:pPr>
          </w:p>
        </w:tc>
      </w:tr>
      <w:tr w:rsidR="00214B02" w:rsidRPr="009C2EA4" w14:paraId="58E68025"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1020C81D" w14:textId="77777777" w:rsidR="00214B02" w:rsidRPr="009C2EA4" w:rsidRDefault="00214B02" w:rsidP="00214B02">
            <w:pPr>
              <w:rPr>
                <w:color w:val="000000"/>
                <w:sz w:val="20"/>
                <w:szCs w:val="20"/>
              </w:rPr>
            </w:pPr>
            <w:r w:rsidRPr="009C2EA4">
              <w:rPr>
                <w:color w:val="000000"/>
                <w:sz w:val="20"/>
                <w:szCs w:val="20"/>
              </w:rPr>
              <w:t xml:space="preserve">Dummy for Top 33% Countries for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54A9BF53"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0F1DB53D"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01BE8FB9"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069C6648" w14:textId="77777777" w:rsidR="00214B02" w:rsidRPr="009C2EA4" w:rsidRDefault="00214B02" w:rsidP="00214B02">
            <w:pPr>
              <w:jc w:val="center"/>
              <w:rPr>
                <w:color w:val="000000"/>
                <w:sz w:val="20"/>
                <w:szCs w:val="20"/>
              </w:rPr>
            </w:pPr>
            <w:r w:rsidRPr="009C2EA4">
              <w:rPr>
                <w:color w:val="000000"/>
                <w:sz w:val="20"/>
                <w:szCs w:val="20"/>
              </w:rPr>
              <w:t>1.59</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390C82DE" w14:textId="77777777" w:rsidR="00214B02" w:rsidRPr="009C2EA4" w:rsidRDefault="00214B02" w:rsidP="00214B02">
            <w:pPr>
              <w:jc w:val="center"/>
              <w:rPr>
                <w:color w:val="000000"/>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30055DA6" w14:textId="77777777" w:rsidR="00214B02" w:rsidRPr="009C2EA4" w:rsidRDefault="00214B02" w:rsidP="00214B02">
            <w:pPr>
              <w:jc w:val="center"/>
              <w:rPr>
                <w:color w:val="000000"/>
                <w:sz w:val="20"/>
                <w:szCs w:val="20"/>
              </w:rPr>
            </w:pPr>
            <w:r w:rsidRPr="009C2EA4">
              <w:rPr>
                <w:color w:val="000000"/>
                <w:sz w:val="20"/>
                <w:szCs w:val="20"/>
              </w:rPr>
              <w:t>1.082</w:t>
            </w:r>
          </w:p>
        </w:tc>
      </w:tr>
      <w:tr w:rsidR="00214B02" w:rsidRPr="009C2EA4" w14:paraId="1D4FDEFC"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1DCEF94A" w14:textId="77777777" w:rsidR="00214B02" w:rsidRPr="009C2EA4" w:rsidRDefault="00214B02" w:rsidP="00214B02">
            <w:pPr>
              <w:rPr>
                <w:color w:val="000000"/>
                <w:sz w:val="20"/>
                <w:szCs w:val="20"/>
              </w:rPr>
            </w:pPr>
            <w:r w:rsidRPr="009C2EA4">
              <w:rPr>
                <w:color w:val="000000"/>
                <w:sz w:val="20"/>
                <w:szCs w:val="20"/>
              </w:rPr>
              <w:t>Capital Account Openness</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283E4A4D"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78B52B36"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59479C25"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2B3E1614"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1.531</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07E1C08E" w14:textId="77777777" w:rsidR="00214B02" w:rsidRPr="009C2EA4" w:rsidRDefault="00214B02" w:rsidP="00214B02">
            <w:pPr>
              <w:jc w:val="center"/>
              <w:rPr>
                <w:color w:val="000000"/>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7AA4BF67"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1.621</w:t>
            </w:r>
            <w:r>
              <w:rPr>
                <w:color w:val="000000"/>
                <w:sz w:val="20"/>
                <w:szCs w:val="20"/>
              </w:rPr>
              <w:t>)</w:t>
            </w:r>
          </w:p>
        </w:tc>
      </w:tr>
      <w:tr w:rsidR="00214B02" w:rsidRPr="009C2EA4" w14:paraId="5361E8F4"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hideMark/>
          </w:tcPr>
          <w:p w14:paraId="1C2A3A19"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bottom"/>
            <w:hideMark/>
          </w:tcPr>
          <w:p w14:paraId="1B038EAD"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72854229"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7D480B63"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4FE9D5C4"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58BAA355"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bottom"/>
            <w:hideMark/>
          </w:tcPr>
          <w:p w14:paraId="0B18D9A3" w14:textId="77777777" w:rsidR="00214B02" w:rsidRPr="009C2EA4" w:rsidRDefault="00214B02" w:rsidP="00214B02">
            <w:pPr>
              <w:jc w:val="center"/>
              <w:rPr>
                <w:sz w:val="20"/>
                <w:szCs w:val="20"/>
              </w:rPr>
            </w:pPr>
          </w:p>
        </w:tc>
      </w:tr>
      <w:tr w:rsidR="00214B02" w:rsidRPr="009C2EA4" w14:paraId="7A324A03"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6E32AEF5" w14:textId="77777777" w:rsidR="00214B02" w:rsidRPr="009C2EA4" w:rsidRDefault="00214B02" w:rsidP="00214B02">
            <w:pPr>
              <w:rPr>
                <w:color w:val="000000"/>
                <w:sz w:val="20"/>
                <w:szCs w:val="20"/>
              </w:rPr>
            </w:pPr>
            <w:r w:rsidRPr="009C2EA4">
              <w:rPr>
                <w:color w:val="000000"/>
                <w:sz w:val="20"/>
                <w:szCs w:val="20"/>
              </w:rPr>
              <w:t xml:space="preserve">Dummy for Bottom 33% Countries for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296ED06F"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1B3F0DAA"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5CFBF657"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492661AA" w14:textId="77777777" w:rsidR="00214B02" w:rsidRPr="009C2EA4" w:rsidRDefault="00214B02" w:rsidP="00214B02">
            <w:pPr>
              <w:jc w:val="center"/>
              <w:rPr>
                <w:color w:val="000000"/>
                <w:sz w:val="20"/>
                <w:szCs w:val="20"/>
              </w:rPr>
            </w:pPr>
            <w:r w:rsidRPr="009C2EA4">
              <w:rPr>
                <w:color w:val="000000"/>
                <w:sz w:val="20"/>
                <w:szCs w:val="20"/>
              </w:rPr>
              <w:t>0.135</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07D8C79" w14:textId="77777777" w:rsidR="00214B02" w:rsidRPr="009C2EA4" w:rsidRDefault="00214B02" w:rsidP="00214B02">
            <w:pPr>
              <w:jc w:val="center"/>
              <w:rPr>
                <w:color w:val="000000"/>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4B82F65E" w14:textId="77777777" w:rsidR="00214B02" w:rsidRPr="009C2EA4" w:rsidRDefault="00214B02" w:rsidP="00214B02">
            <w:pPr>
              <w:jc w:val="center"/>
              <w:rPr>
                <w:color w:val="000000"/>
                <w:sz w:val="20"/>
                <w:szCs w:val="20"/>
              </w:rPr>
            </w:pPr>
            <w:r w:rsidRPr="009C2EA4">
              <w:rPr>
                <w:color w:val="000000"/>
                <w:sz w:val="20"/>
                <w:szCs w:val="20"/>
              </w:rPr>
              <w:t>0.406</w:t>
            </w:r>
          </w:p>
        </w:tc>
      </w:tr>
      <w:tr w:rsidR="00214B02" w:rsidRPr="009C2EA4" w14:paraId="31AFB851"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764E5B6F" w14:textId="77777777" w:rsidR="00214B02" w:rsidRPr="009C2EA4" w:rsidRDefault="00214B02" w:rsidP="00214B02">
            <w:pPr>
              <w:rPr>
                <w:color w:val="000000"/>
                <w:sz w:val="20"/>
                <w:szCs w:val="20"/>
              </w:rPr>
            </w:pPr>
            <w:r w:rsidRPr="009C2EA4">
              <w:rPr>
                <w:color w:val="000000"/>
                <w:sz w:val="20"/>
                <w:szCs w:val="20"/>
              </w:rPr>
              <w:t>Capital Account Openness</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3716A564"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7AD3AEBD"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25E37875"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2290D448"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1.408</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292C9557" w14:textId="77777777" w:rsidR="00214B02" w:rsidRPr="009C2EA4" w:rsidRDefault="00214B02" w:rsidP="00214B02">
            <w:pPr>
              <w:jc w:val="center"/>
              <w:rPr>
                <w:color w:val="000000"/>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2E69F383"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1.533</w:t>
            </w:r>
            <w:r>
              <w:rPr>
                <w:color w:val="000000"/>
                <w:sz w:val="20"/>
                <w:szCs w:val="20"/>
              </w:rPr>
              <w:t>)</w:t>
            </w:r>
          </w:p>
        </w:tc>
      </w:tr>
      <w:tr w:rsidR="00214B02" w:rsidRPr="009C2EA4" w14:paraId="0AE1ACE7"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hideMark/>
          </w:tcPr>
          <w:p w14:paraId="3D3EB918"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bottom"/>
            <w:hideMark/>
          </w:tcPr>
          <w:p w14:paraId="2A4F9401"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49EDAC60"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3DFAB9B0"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56B27478"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172B1024"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bottom"/>
            <w:hideMark/>
          </w:tcPr>
          <w:p w14:paraId="6A16E1CF" w14:textId="77777777" w:rsidR="00214B02" w:rsidRPr="009C2EA4" w:rsidRDefault="00214B02" w:rsidP="00214B02">
            <w:pPr>
              <w:jc w:val="center"/>
              <w:rPr>
                <w:sz w:val="20"/>
                <w:szCs w:val="20"/>
              </w:rPr>
            </w:pPr>
          </w:p>
        </w:tc>
      </w:tr>
      <w:tr w:rsidR="00214B02" w:rsidRPr="009C2EA4" w14:paraId="07572699"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0EB2C036" w14:textId="77777777" w:rsidR="00214B02" w:rsidRPr="009C2EA4" w:rsidRDefault="00214B02" w:rsidP="00214B02">
            <w:pPr>
              <w:rPr>
                <w:color w:val="000000"/>
                <w:sz w:val="20"/>
                <w:szCs w:val="20"/>
              </w:rPr>
            </w:pPr>
            <w:r w:rsidRPr="009C2EA4">
              <w:rPr>
                <w:color w:val="000000"/>
                <w:sz w:val="20"/>
                <w:szCs w:val="20"/>
              </w:rPr>
              <w:t xml:space="preserve">Dummy for Top 33% Countries for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7A84841F"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48CD956B"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11EA02F7"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59807015"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2F58B1DE" w14:textId="77777777" w:rsidR="00214B02" w:rsidRPr="009C2EA4" w:rsidRDefault="00214B02" w:rsidP="00214B02">
            <w:pPr>
              <w:jc w:val="center"/>
              <w:rPr>
                <w:color w:val="000000"/>
                <w:sz w:val="20"/>
                <w:szCs w:val="20"/>
              </w:rPr>
            </w:pPr>
            <w:r w:rsidRPr="009C2EA4">
              <w:rPr>
                <w:color w:val="000000"/>
                <w:sz w:val="20"/>
                <w:szCs w:val="20"/>
              </w:rPr>
              <w:t>-0.167</w:t>
            </w:r>
          </w:p>
        </w:tc>
        <w:tc>
          <w:tcPr>
            <w:tcW w:w="1180" w:type="dxa"/>
            <w:tcBorders>
              <w:top w:val="nil"/>
              <w:left w:val="single" w:sz="4" w:space="0" w:color="auto"/>
              <w:bottom w:val="nil"/>
              <w:right w:val="single" w:sz="4" w:space="0" w:color="auto"/>
            </w:tcBorders>
            <w:shd w:val="clear" w:color="auto" w:fill="auto"/>
            <w:noWrap/>
            <w:vAlign w:val="center"/>
            <w:hideMark/>
          </w:tcPr>
          <w:p w14:paraId="78AC5C20" w14:textId="77777777" w:rsidR="00214B02" w:rsidRPr="009C2EA4" w:rsidRDefault="00214B02" w:rsidP="00214B02">
            <w:pPr>
              <w:jc w:val="center"/>
              <w:rPr>
                <w:color w:val="000000"/>
                <w:sz w:val="20"/>
                <w:szCs w:val="20"/>
              </w:rPr>
            </w:pPr>
            <w:r w:rsidRPr="009C2EA4">
              <w:rPr>
                <w:color w:val="000000"/>
                <w:sz w:val="20"/>
                <w:szCs w:val="20"/>
              </w:rPr>
              <w:t>-0.304</w:t>
            </w:r>
          </w:p>
        </w:tc>
      </w:tr>
      <w:tr w:rsidR="00214B02" w:rsidRPr="009C2EA4" w14:paraId="1F4CF82D"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35706F82" w14:textId="77777777" w:rsidR="00214B02" w:rsidRPr="009C2EA4" w:rsidRDefault="00214B02" w:rsidP="00214B02">
            <w:pPr>
              <w:rPr>
                <w:color w:val="000000"/>
                <w:sz w:val="20"/>
                <w:szCs w:val="20"/>
              </w:rPr>
            </w:pPr>
            <w:r w:rsidRPr="009C2EA4">
              <w:rPr>
                <w:color w:val="000000"/>
                <w:sz w:val="20"/>
                <w:szCs w:val="20"/>
              </w:rPr>
              <w:t>Financial Deepening X Prime Saver</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3572A359"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09F14E00"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094A001D"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76F30F28"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65995B54"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0.116</w:t>
            </w:r>
            <w:r>
              <w:rPr>
                <w:color w:val="000000"/>
                <w:sz w:val="20"/>
                <w:szCs w:val="20"/>
              </w:rPr>
              <w:t>)</w:t>
            </w:r>
          </w:p>
        </w:tc>
        <w:tc>
          <w:tcPr>
            <w:tcW w:w="1180" w:type="dxa"/>
            <w:tcBorders>
              <w:top w:val="nil"/>
              <w:left w:val="single" w:sz="4" w:space="0" w:color="auto"/>
              <w:bottom w:val="nil"/>
              <w:right w:val="single" w:sz="4" w:space="0" w:color="auto"/>
            </w:tcBorders>
            <w:shd w:val="clear" w:color="auto" w:fill="auto"/>
            <w:noWrap/>
            <w:vAlign w:val="center"/>
            <w:hideMark/>
          </w:tcPr>
          <w:p w14:paraId="475191A3"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0.185</w:t>
            </w:r>
            <w:r>
              <w:rPr>
                <w:color w:val="000000"/>
                <w:sz w:val="20"/>
                <w:szCs w:val="20"/>
              </w:rPr>
              <w:t>)</w:t>
            </w:r>
          </w:p>
        </w:tc>
      </w:tr>
      <w:tr w:rsidR="00214B02" w:rsidRPr="009C2EA4" w14:paraId="522F701C"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hideMark/>
          </w:tcPr>
          <w:p w14:paraId="66D9A7A5"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bottom"/>
            <w:hideMark/>
          </w:tcPr>
          <w:p w14:paraId="470141DA"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16482B07"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9A7756C"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58508DD2"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255D861C"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bottom"/>
            <w:hideMark/>
          </w:tcPr>
          <w:p w14:paraId="0FEEAB54" w14:textId="77777777" w:rsidR="00214B02" w:rsidRPr="009C2EA4" w:rsidRDefault="00214B02" w:rsidP="00214B02">
            <w:pPr>
              <w:jc w:val="center"/>
              <w:rPr>
                <w:sz w:val="20"/>
                <w:szCs w:val="20"/>
              </w:rPr>
            </w:pPr>
          </w:p>
        </w:tc>
      </w:tr>
      <w:tr w:rsidR="00214B02" w:rsidRPr="009C2EA4" w14:paraId="64ABF61C"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00ECBDAA" w14:textId="77777777" w:rsidR="00214B02" w:rsidRPr="009C2EA4" w:rsidRDefault="00214B02" w:rsidP="00214B02">
            <w:pPr>
              <w:rPr>
                <w:color w:val="000000"/>
                <w:sz w:val="20"/>
                <w:szCs w:val="20"/>
              </w:rPr>
            </w:pPr>
            <w:r w:rsidRPr="009C2EA4">
              <w:rPr>
                <w:color w:val="000000"/>
                <w:sz w:val="20"/>
                <w:szCs w:val="20"/>
              </w:rPr>
              <w:t xml:space="preserve">Dummy for Bottom 33% Countries for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1534CDEB"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25CC7BD4"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30B72F9F"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7EAAC069"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77A475F0" w14:textId="77777777" w:rsidR="00214B02" w:rsidRPr="009C2EA4" w:rsidRDefault="00214B02" w:rsidP="00214B02">
            <w:pPr>
              <w:jc w:val="center"/>
              <w:rPr>
                <w:color w:val="000000"/>
                <w:sz w:val="20"/>
                <w:szCs w:val="20"/>
              </w:rPr>
            </w:pPr>
            <w:r w:rsidRPr="009C2EA4">
              <w:rPr>
                <w:color w:val="000000"/>
                <w:sz w:val="20"/>
                <w:szCs w:val="20"/>
              </w:rPr>
              <w:t>0.814***</w:t>
            </w:r>
          </w:p>
        </w:tc>
        <w:tc>
          <w:tcPr>
            <w:tcW w:w="1180" w:type="dxa"/>
            <w:tcBorders>
              <w:top w:val="nil"/>
              <w:left w:val="single" w:sz="4" w:space="0" w:color="auto"/>
              <w:bottom w:val="nil"/>
              <w:right w:val="single" w:sz="4" w:space="0" w:color="auto"/>
            </w:tcBorders>
            <w:shd w:val="clear" w:color="auto" w:fill="auto"/>
            <w:noWrap/>
            <w:vAlign w:val="center"/>
            <w:hideMark/>
          </w:tcPr>
          <w:p w14:paraId="7B4D6F18" w14:textId="77777777" w:rsidR="00214B02" w:rsidRPr="009C2EA4" w:rsidRDefault="00214B02" w:rsidP="00214B02">
            <w:pPr>
              <w:jc w:val="center"/>
              <w:rPr>
                <w:color w:val="000000"/>
                <w:sz w:val="20"/>
                <w:szCs w:val="20"/>
              </w:rPr>
            </w:pPr>
            <w:r w:rsidRPr="009C2EA4">
              <w:rPr>
                <w:color w:val="000000"/>
                <w:sz w:val="20"/>
                <w:szCs w:val="20"/>
              </w:rPr>
              <w:t>1.463***</w:t>
            </w:r>
          </w:p>
        </w:tc>
      </w:tr>
      <w:tr w:rsidR="00214B02" w:rsidRPr="009C2EA4" w14:paraId="22AF055A"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340D7CE5" w14:textId="77777777" w:rsidR="00214B02" w:rsidRPr="009C2EA4" w:rsidRDefault="00214B02" w:rsidP="00214B02">
            <w:pPr>
              <w:rPr>
                <w:color w:val="000000"/>
                <w:sz w:val="20"/>
                <w:szCs w:val="20"/>
              </w:rPr>
            </w:pPr>
            <w:r w:rsidRPr="009C2EA4">
              <w:rPr>
                <w:color w:val="000000"/>
                <w:sz w:val="20"/>
                <w:szCs w:val="20"/>
              </w:rPr>
              <w:t>Financial Deepening X Prime Saver</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047D262D"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502E3CAD"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18DA98C2"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15231123"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7D552A34"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0.2</w:t>
            </w:r>
            <w:r>
              <w:rPr>
                <w:color w:val="000000"/>
                <w:sz w:val="20"/>
                <w:szCs w:val="20"/>
              </w:rPr>
              <w:t>)</w:t>
            </w:r>
          </w:p>
        </w:tc>
        <w:tc>
          <w:tcPr>
            <w:tcW w:w="1180" w:type="dxa"/>
            <w:tcBorders>
              <w:top w:val="nil"/>
              <w:left w:val="single" w:sz="4" w:space="0" w:color="auto"/>
              <w:bottom w:val="nil"/>
              <w:right w:val="single" w:sz="4" w:space="0" w:color="auto"/>
            </w:tcBorders>
            <w:shd w:val="clear" w:color="auto" w:fill="auto"/>
            <w:noWrap/>
            <w:vAlign w:val="center"/>
            <w:hideMark/>
          </w:tcPr>
          <w:p w14:paraId="4740F976"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0.264</w:t>
            </w:r>
            <w:r>
              <w:rPr>
                <w:color w:val="000000"/>
                <w:sz w:val="20"/>
                <w:szCs w:val="20"/>
              </w:rPr>
              <w:t>)</w:t>
            </w:r>
          </w:p>
        </w:tc>
      </w:tr>
      <w:tr w:rsidR="00214B02" w:rsidRPr="009C2EA4" w14:paraId="38199AA3"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2F6D0D3C"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05A191D7"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22648CD2"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067B121C"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3A726A07"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525A6EAD"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7254BE68" w14:textId="77777777" w:rsidR="00214B02" w:rsidRPr="009C2EA4" w:rsidRDefault="00214B02" w:rsidP="00214B02">
            <w:pPr>
              <w:jc w:val="center"/>
              <w:rPr>
                <w:sz w:val="20"/>
                <w:szCs w:val="20"/>
              </w:rPr>
            </w:pPr>
          </w:p>
        </w:tc>
      </w:tr>
      <w:tr w:rsidR="00214B02" w:rsidRPr="009C2EA4" w14:paraId="24E6028C"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494E269F" w14:textId="77777777" w:rsidR="00214B02" w:rsidRPr="009C2EA4" w:rsidRDefault="00214B02" w:rsidP="00214B02">
            <w:pPr>
              <w:rPr>
                <w:color w:val="000000"/>
                <w:sz w:val="20"/>
                <w:szCs w:val="20"/>
              </w:rPr>
            </w:pPr>
            <w:r w:rsidRPr="009C2EA4">
              <w:rPr>
                <w:color w:val="000000"/>
                <w:sz w:val="20"/>
                <w:szCs w:val="20"/>
              </w:rPr>
              <w:t xml:space="preserve">Dummy for Top 33% Countries for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562C7F92"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0426EDC4"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647C36FE"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0C56905C"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6FECC3FB" w14:textId="77777777" w:rsidR="00214B02" w:rsidRPr="009C2EA4" w:rsidRDefault="00214B02" w:rsidP="00214B02">
            <w:pPr>
              <w:jc w:val="center"/>
              <w:rPr>
                <w:color w:val="000000"/>
                <w:sz w:val="20"/>
                <w:szCs w:val="20"/>
              </w:rPr>
            </w:pPr>
            <w:r w:rsidRPr="009C2EA4">
              <w:rPr>
                <w:color w:val="000000"/>
                <w:sz w:val="20"/>
                <w:szCs w:val="20"/>
              </w:rPr>
              <w:t>1.395</w:t>
            </w:r>
          </w:p>
        </w:tc>
        <w:tc>
          <w:tcPr>
            <w:tcW w:w="1180" w:type="dxa"/>
            <w:tcBorders>
              <w:top w:val="nil"/>
              <w:left w:val="single" w:sz="4" w:space="0" w:color="auto"/>
              <w:bottom w:val="nil"/>
              <w:right w:val="single" w:sz="4" w:space="0" w:color="auto"/>
            </w:tcBorders>
            <w:shd w:val="clear" w:color="auto" w:fill="auto"/>
            <w:noWrap/>
            <w:vAlign w:val="center"/>
            <w:hideMark/>
          </w:tcPr>
          <w:p w14:paraId="6927549D" w14:textId="77777777" w:rsidR="00214B02" w:rsidRPr="009C2EA4" w:rsidRDefault="00214B02" w:rsidP="00214B02">
            <w:pPr>
              <w:jc w:val="center"/>
              <w:rPr>
                <w:color w:val="000000"/>
                <w:sz w:val="20"/>
                <w:szCs w:val="20"/>
              </w:rPr>
            </w:pPr>
            <w:r w:rsidRPr="009C2EA4">
              <w:rPr>
                <w:color w:val="000000"/>
                <w:sz w:val="20"/>
                <w:szCs w:val="20"/>
              </w:rPr>
              <w:t>1.364</w:t>
            </w:r>
          </w:p>
        </w:tc>
      </w:tr>
      <w:tr w:rsidR="00214B02" w:rsidRPr="009C2EA4" w14:paraId="7D502D3C"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26FC83D6" w14:textId="77777777" w:rsidR="00214B02" w:rsidRPr="009C2EA4" w:rsidRDefault="00214B02" w:rsidP="00214B02">
            <w:pPr>
              <w:rPr>
                <w:color w:val="000000"/>
                <w:sz w:val="20"/>
                <w:szCs w:val="20"/>
              </w:rPr>
            </w:pPr>
            <w:r w:rsidRPr="009C2EA4">
              <w:rPr>
                <w:color w:val="000000"/>
                <w:sz w:val="20"/>
                <w:szCs w:val="20"/>
              </w:rPr>
              <w:t>Financial Deepening</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405A6D74"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825C445"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0BE76FB3"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48B4D754"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5CB59F49"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1.398</w:t>
            </w:r>
            <w:r>
              <w:rPr>
                <w:color w:val="000000"/>
                <w:sz w:val="20"/>
                <w:szCs w:val="20"/>
              </w:rPr>
              <w:t>)</w:t>
            </w:r>
          </w:p>
        </w:tc>
        <w:tc>
          <w:tcPr>
            <w:tcW w:w="1180" w:type="dxa"/>
            <w:tcBorders>
              <w:top w:val="nil"/>
              <w:left w:val="single" w:sz="4" w:space="0" w:color="auto"/>
              <w:bottom w:val="nil"/>
              <w:right w:val="single" w:sz="4" w:space="0" w:color="auto"/>
            </w:tcBorders>
            <w:shd w:val="clear" w:color="auto" w:fill="auto"/>
            <w:noWrap/>
            <w:vAlign w:val="center"/>
            <w:hideMark/>
          </w:tcPr>
          <w:p w14:paraId="3EAC9155"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1.573</w:t>
            </w:r>
            <w:r>
              <w:rPr>
                <w:color w:val="000000"/>
                <w:sz w:val="20"/>
                <w:szCs w:val="20"/>
              </w:rPr>
              <w:t>)</w:t>
            </w:r>
          </w:p>
        </w:tc>
      </w:tr>
      <w:tr w:rsidR="00214B02" w:rsidRPr="009C2EA4" w14:paraId="32ECD01B"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07E46251"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5F9C794B"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10E6111C"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652B10FF"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4037FED2"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3F37A59E"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54D96461" w14:textId="77777777" w:rsidR="00214B02" w:rsidRPr="009C2EA4" w:rsidRDefault="00214B02" w:rsidP="00214B02">
            <w:pPr>
              <w:jc w:val="center"/>
              <w:rPr>
                <w:sz w:val="20"/>
                <w:szCs w:val="20"/>
              </w:rPr>
            </w:pPr>
          </w:p>
        </w:tc>
      </w:tr>
      <w:tr w:rsidR="00214B02" w:rsidRPr="009C2EA4" w14:paraId="17CC4738"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41F860BE" w14:textId="77777777" w:rsidR="00214B02" w:rsidRPr="009C2EA4" w:rsidRDefault="00214B02" w:rsidP="00214B02">
            <w:pPr>
              <w:rPr>
                <w:color w:val="000000"/>
                <w:sz w:val="20"/>
                <w:szCs w:val="20"/>
              </w:rPr>
            </w:pPr>
            <w:r w:rsidRPr="009C2EA4">
              <w:rPr>
                <w:color w:val="000000"/>
                <w:sz w:val="20"/>
                <w:szCs w:val="20"/>
              </w:rPr>
              <w:t xml:space="preserve">Dummy for Bottom 33% Countries for </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70A4370E"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66E112B6"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6397CF6B"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51FD2D03"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78B4B091" w14:textId="77777777" w:rsidR="00214B02" w:rsidRPr="009C2EA4" w:rsidRDefault="00214B02" w:rsidP="00214B02">
            <w:pPr>
              <w:jc w:val="center"/>
              <w:rPr>
                <w:color w:val="000000"/>
                <w:sz w:val="20"/>
                <w:szCs w:val="20"/>
              </w:rPr>
            </w:pPr>
            <w:r w:rsidRPr="009C2EA4">
              <w:rPr>
                <w:color w:val="000000"/>
                <w:sz w:val="20"/>
                <w:szCs w:val="20"/>
              </w:rPr>
              <w:t>-0.869</w:t>
            </w:r>
          </w:p>
        </w:tc>
        <w:tc>
          <w:tcPr>
            <w:tcW w:w="1180" w:type="dxa"/>
            <w:tcBorders>
              <w:top w:val="nil"/>
              <w:left w:val="single" w:sz="4" w:space="0" w:color="auto"/>
              <w:bottom w:val="nil"/>
              <w:right w:val="single" w:sz="4" w:space="0" w:color="auto"/>
            </w:tcBorders>
            <w:shd w:val="clear" w:color="auto" w:fill="auto"/>
            <w:noWrap/>
            <w:vAlign w:val="center"/>
            <w:hideMark/>
          </w:tcPr>
          <w:p w14:paraId="46E69AC5" w14:textId="77777777" w:rsidR="00214B02" w:rsidRPr="009C2EA4" w:rsidRDefault="00214B02" w:rsidP="00214B02">
            <w:pPr>
              <w:jc w:val="center"/>
              <w:rPr>
                <w:color w:val="000000"/>
                <w:sz w:val="20"/>
                <w:szCs w:val="20"/>
              </w:rPr>
            </w:pPr>
            <w:r w:rsidRPr="009C2EA4">
              <w:rPr>
                <w:color w:val="000000"/>
                <w:sz w:val="20"/>
                <w:szCs w:val="20"/>
              </w:rPr>
              <w:t>-0.627</w:t>
            </w:r>
          </w:p>
        </w:tc>
      </w:tr>
      <w:tr w:rsidR="00214B02" w:rsidRPr="009C2EA4" w14:paraId="3E07A254"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12D4E60B" w14:textId="77777777" w:rsidR="00214B02" w:rsidRPr="009C2EA4" w:rsidRDefault="00214B02" w:rsidP="00214B02">
            <w:pPr>
              <w:rPr>
                <w:color w:val="000000"/>
                <w:sz w:val="20"/>
                <w:szCs w:val="20"/>
              </w:rPr>
            </w:pPr>
            <w:r w:rsidRPr="009C2EA4">
              <w:rPr>
                <w:color w:val="000000"/>
                <w:sz w:val="20"/>
                <w:szCs w:val="20"/>
              </w:rPr>
              <w:t>Financial Deepening</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0C89FE67" w14:textId="77777777" w:rsidR="00214B02" w:rsidRPr="009C2EA4" w:rsidRDefault="00214B02" w:rsidP="00214B02">
            <w:pPr>
              <w:jc w:val="center"/>
              <w:rPr>
                <w:color w:val="000000"/>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24F1770F"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5E71326B"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37A82703"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48ED6665"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1.509</w:t>
            </w:r>
            <w:r>
              <w:rPr>
                <w:color w:val="000000"/>
                <w:sz w:val="20"/>
                <w:szCs w:val="20"/>
              </w:rPr>
              <w:t>)</w:t>
            </w:r>
          </w:p>
        </w:tc>
        <w:tc>
          <w:tcPr>
            <w:tcW w:w="1180" w:type="dxa"/>
            <w:tcBorders>
              <w:top w:val="nil"/>
              <w:left w:val="single" w:sz="4" w:space="0" w:color="auto"/>
              <w:bottom w:val="nil"/>
              <w:right w:val="single" w:sz="4" w:space="0" w:color="auto"/>
            </w:tcBorders>
            <w:shd w:val="clear" w:color="auto" w:fill="auto"/>
            <w:noWrap/>
            <w:vAlign w:val="center"/>
            <w:hideMark/>
          </w:tcPr>
          <w:p w14:paraId="567E1565"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1.714</w:t>
            </w:r>
            <w:r>
              <w:rPr>
                <w:color w:val="000000"/>
                <w:sz w:val="20"/>
                <w:szCs w:val="20"/>
              </w:rPr>
              <w:t>)</w:t>
            </w:r>
          </w:p>
        </w:tc>
      </w:tr>
      <w:tr w:rsidR="00214B02" w:rsidRPr="009C2EA4" w14:paraId="31410A05"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45EB33CD" w14:textId="77777777" w:rsidR="00214B02" w:rsidRPr="009C2EA4" w:rsidRDefault="00214B02" w:rsidP="00214B02">
            <w:pPr>
              <w:jc w:val="right"/>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6B2F1DA8"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09919C3D"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32237A59"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bottom"/>
            <w:hideMark/>
          </w:tcPr>
          <w:p w14:paraId="161965ED" w14:textId="77777777" w:rsidR="00214B02" w:rsidRPr="009C2EA4" w:rsidRDefault="00214B02" w:rsidP="00214B02">
            <w:pPr>
              <w:jc w:val="center"/>
              <w:rPr>
                <w:sz w:val="20"/>
                <w:szCs w:val="20"/>
              </w:rPr>
            </w:pP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6767F469" w14:textId="77777777" w:rsidR="00214B02" w:rsidRPr="009C2EA4" w:rsidRDefault="00214B02" w:rsidP="00214B02">
            <w:pPr>
              <w:jc w:val="center"/>
              <w:rPr>
                <w:sz w:val="20"/>
                <w:szCs w:val="20"/>
              </w:rPr>
            </w:pPr>
          </w:p>
        </w:tc>
        <w:tc>
          <w:tcPr>
            <w:tcW w:w="1180" w:type="dxa"/>
            <w:tcBorders>
              <w:top w:val="nil"/>
              <w:left w:val="single" w:sz="4" w:space="0" w:color="auto"/>
              <w:bottom w:val="nil"/>
              <w:right w:val="single" w:sz="4" w:space="0" w:color="auto"/>
            </w:tcBorders>
            <w:shd w:val="clear" w:color="auto" w:fill="auto"/>
            <w:noWrap/>
            <w:vAlign w:val="center"/>
            <w:hideMark/>
          </w:tcPr>
          <w:p w14:paraId="1A184CA5" w14:textId="77777777" w:rsidR="00214B02" w:rsidRPr="009C2EA4" w:rsidRDefault="00214B02" w:rsidP="00214B02">
            <w:pPr>
              <w:jc w:val="center"/>
              <w:rPr>
                <w:sz w:val="20"/>
                <w:szCs w:val="20"/>
              </w:rPr>
            </w:pPr>
          </w:p>
        </w:tc>
      </w:tr>
      <w:tr w:rsidR="00214B02" w:rsidRPr="009C2EA4" w14:paraId="494A774D"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center"/>
            <w:hideMark/>
          </w:tcPr>
          <w:p w14:paraId="272A1E83" w14:textId="77777777" w:rsidR="00214B02" w:rsidRPr="009C2EA4" w:rsidRDefault="00214B02" w:rsidP="00214B02">
            <w:pPr>
              <w:rPr>
                <w:color w:val="000000"/>
                <w:sz w:val="20"/>
                <w:szCs w:val="20"/>
              </w:rPr>
            </w:pPr>
            <w:r w:rsidRPr="009C2EA4">
              <w:rPr>
                <w:color w:val="000000"/>
                <w:sz w:val="20"/>
                <w:szCs w:val="20"/>
              </w:rPr>
              <w:t>Constant Term</w:t>
            </w: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15E14004" w14:textId="77777777" w:rsidR="00214B02" w:rsidRPr="009C2EA4" w:rsidRDefault="00214B02" w:rsidP="00214B02">
            <w:pPr>
              <w:jc w:val="center"/>
              <w:rPr>
                <w:color w:val="000000"/>
                <w:sz w:val="20"/>
                <w:szCs w:val="20"/>
              </w:rPr>
            </w:pPr>
            <w:r w:rsidRPr="009C2EA4">
              <w:rPr>
                <w:color w:val="000000"/>
                <w:sz w:val="20"/>
                <w:szCs w:val="20"/>
              </w:rPr>
              <w:t>-8.083***</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7D61844F" w14:textId="77777777" w:rsidR="00214B02" w:rsidRPr="009C2EA4" w:rsidRDefault="00214B02" w:rsidP="00214B02">
            <w:pPr>
              <w:jc w:val="center"/>
              <w:rPr>
                <w:color w:val="000000"/>
                <w:sz w:val="20"/>
                <w:szCs w:val="20"/>
              </w:rPr>
            </w:pPr>
            <w:r w:rsidRPr="009C2EA4">
              <w:rPr>
                <w:color w:val="000000"/>
                <w:sz w:val="20"/>
                <w:szCs w:val="20"/>
              </w:rPr>
              <w:t>-7.427***</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211DC702" w14:textId="77777777" w:rsidR="00214B02" w:rsidRPr="009C2EA4" w:rsidRDefault="00214B02" w:rsidP="00214B02">
            <w:pPr>
              <w:jc w:val="center"/>
              <w:rPr>
                <w:color w:val="000000"/>
                <w:sz w:val="20"/>
                <w:szCs w:val="20"/>
              </w:rPr>
            </w:pPr>
            <w:r w:rsidRPr="009C2EA4">
              <w:rPr>
                <w:color w:val="000000"/>
                <w:sz w:val="20"/>
                <w:szCs w:val="20"/>
              </w:rPr>
              <w:t>-6.922***</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0E685865" w14:textId="77777777" w:rsidR="00214B02" w:rsidRPr="009C2EA4" w:rsidRDefault="00214B02" w:rsidP="00214B02">
            <w:pPr>
              <w:jc w:val="center"/>
              <w:rPr>
                <w:color w:val="000000"/>
                <w:sz w:val="20"/>
                <w:szCs w:val="20"/>
              </w:rPr>
            </w:pPr>
            <w:r w:rsidRPr="009C2EA4">
              <w:rPr>
                <w:color w:val="000000"/>
                <w:sz w:val="20"/>
                <w:szCs w:val="20"/>
              </w:rPr>
              <w:t>-8.488***</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5413C4CD" w14:textId="77777777" w:rsidR="00214B02" w:rsidRPr="009C2EA4" w:rsidRDefault="00214B02" w:rsidP="00214B02">
            <w:pPr>
              <w:jc w:val="center"/>
              <w:rPr>
                <w:color w:val="000000"/>
                <w:sz w:val="20"/>
                <w:szCs w:val="20"/>
              </w:rPr>
            </w:pPr>
            <w:r w:rsidRPr="009C2EA4">
              <w:rPr>
                <w:color w:val="000000"/>
                <w:sz w:val="20"/>
                <w:szCs w:val="20"/>
              </w:rPr>
              <w:t>-8.034***</w:t>
            </w:r>
          </w:p>
        </w:tc>
        <w:tc>
          <w:tcPr>
            <w:tcW w:w="1180" w:type="dxa"/>
            <w:tcBorders>
              <w:top w:val="nil"/>
              <w:left w:val="single" w:sz="4" w:space="0" w:color="auto"/>
              <w:bottom w:val="nil"/>
              <w:right w:val="single" w:sz="4" w:space="0" w:color="auto"/>
            </w:tcBorders>
            <w:shd w:val="clear" w:color="auto" w:fill="auto"/>
            <w:noWrap/>
            <w:vAlign w:val="center"/>
            <w:hideMark/>
          </w:tcPr>
          <w:p w14:paraId="1571C976" w14:textId="77777777" w:rsidR="00214B02" w:rsidRPr="009C2EA4" w:rsidRDefault="00214B02" w:rsidP="00214B02">
            <w:pPr>
              <w:jc w:val="center"/>
              <w:rPr>
                <w:color w:val="000000"/>
                <w:sz w:val="20"/>
                <w:szCs w:val="20"/>
              </w:rPr>
            </w:pPr>
            <w:r w:rsidRPr="009C2EA4">
              <w:rPr>
                <w:color w:val="000000"/>
                <w:sz w:val="20"/>
                <w:szCs w:val="20"/>
              </w:rPr>
              <w:t>-7.861***</w:t>
            </w:r>
          </w:p>
        </w:tc>
      </w:tr>
      <w:tr w:rsidR="00214B02" w:rsidRPr="009C2EA4" w14:paraId="27EB35B5" w14:textId="77777777" w:rsidTr="009634C4">
        <w:trPr>
          <w:trHeight w:val="288"/>
        </w:trPr>
        <w:tc>
          <w:tcPr>
            <w:tcW w:w="3595" w:type="dxa"/>
            <w:tcBorders>
              <w:top w:val="nil"/>
              <w:left w:val="single" w:sz="4" w:space="0" w:color="auto"/>
              <w:bottom w:val="nil"/>
              <w:right w:val="single" w:sz="4" w:space="0" w:color="auto"/>
            </w:tcBorders>
            <w:shd w:val="clear" w:color="auto" w:fill="auto"/>
            <w:noWrap/>
            <w:vAlign w:val="bottom"/>
            <w:hideMark/>
          </w:tcPr>
          <w:p w14:paraId="48CFB118" w14:textId="77777777" w:rsidR="00214B02" w:rsidRPr="009C2EA4" w:rsidRDefault="00214B02" w:rsidP="00214B02">
            <w:pPr>
              <w:rPr>
                <w:color w:val="000000"/>
                <w:sz w:val="20"/>
                <w:szCs w:val="20"/>
              </w:rPr>
            </w:pPr>
          </w:p>
        </w:tc>
        <w:tc>
          <w:tcPr>
            <w:tcW w:w="1179" w:type="dxa"/>
            <w:gridSpan w:val="2"/>
            <w:tcBorders>
              <w:top w:val="nil"/>
              <w:left w:val="single" w:sz="4" w:space="0" w:color="auto"/>
              <w:bottom w:val="nil"/>
              <w:right w:val="single" w:sz="4" w:space="0" w:color="auto"/>
            </w:tcBorders>
            <w:shd w:val="clear" w:color="auto" w:fill="auto"/>
            <w:noWrap/>
            <w:vAlign w:val="center"/>
            <w:hideMark/>
          </w:tcPr>
          <w:p w14:paraId="62C9C3AD" w14:textId="77777777" w:rsidR="00214B02" w:rsidRPr="009C2EA4" w:rsidRDefault="00214B02" w:rsidP="00214B02">
            <w:pPr>
              <w:jc w:val="center"/>
              <w:rPr>
                <w:color w:val="000000"/>
                <w:sz w:val="20"/>
                <w:szCs w:val="20"/>
              </w:rPr>
            </w:pPr>
            <w:r>
              <w:rPr>
                <w:color w:val="000000"/>
                <w:sz w:val="20"/>
                <w:szCs w:val="20"/>
              </w:rPr>
              <w:t>(</w:t>
            </w:r>
            <w:r w:rsidRPr="009C2EA4">
              <w:rPr>
                <w:color w:val="000000"/>
                <w:sz w:val="20"/>
                <w:szCs w:val="20"/>
              </w:rPr>
              <w:t>0.959</w:t>
            </w:r>
            <w:r>
              <w:rPr>
                <w:color w:val="000000"/>
                <w:sz w:val="20"/>
                <w:szCs w:val="20"/>
              </w:rPr>
              <w:t>)</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7164BB81" w14:textId="77777777" w:rsidR="00214B02" w:rsidRPr="009C2EA4" w:rsidRDefault="00214B02" w:rsidP="00214B02">
            <w:pPr>
              <w:jc w:val="center"/>
              <w:rPr>
                <w:color w:val="000000"/>
                <w:sz w:val="20"/>
                <w:szCs w:val="20"/>
              </w:rPr>
            </w:pPr>
            <w:r w:rsidRPr="009C2EA4">
              <w:rPr>
                <w:color w:val="000000"/>
                <w:sz w:val="20"/>
                <w:szCs w:val="20"/>
              </w:rPr>
              <w:t>-1.292</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407A4723" w14:textId="77777777" w:rsidR="00214B02" w:rsidRPr="009C2EA4" w:rsidRDefault="00214B02" w:rsidP="00214B02">
            <w:pPr>
              <w:jc w:val="center"/>
              <w:rPr>
                <w:color w:val="000000"/>
                <w:sz w:val="20"/>
                <w:szCs w:val="20"/>
              </w:rPr>
            </w:pPr>
            <w:r w:rsidRPr="009C2EA4">
              <w:rPr>
                <w:color w:val="000000"/>
                <w:sz w:val="20"/>
                <w:szCs w:val="20"/>
              </w:rPr>
              <w:t>-1.207</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2E07EC8C" w14:textId="77777777" w:rsidR="00214B02" w:rsidRPr="009C2EA4" w:rsidRDefault="00214B02" w:rsidP="00214B02">
            <w:pPr>
              <w:jc w:val="center"/>
              <w:rPr>
                <w:color w:val="000000"/>
                <w:sz w:val="20"/>
                <w:szCs w:val="20"/>
              </w:rPr>
            </w:pPr>
            <w:r w:rsidRPr="009C2EA4">
              <w:rPr>
                <w:color w:val="000000"/>
                <w:sz w:val="20"/>
                <w:szCs w:val="20"/>
              </w:rPr>
              <w:t>-1.327</w:t>
            </w:r>
          </w:p>
        </w:tc>
        <w:tc>
          <w:tcPr>
            <w:tcW w:w="1180" w:type="dxa"/>
            <w:gridSpan w:val="2"/>
            <w:tcBorders>
              <w:top w:val="nil"/>
              <w:left w:val="single" w:sz="4" w:space="0" w:color="auto"/>
              <w:bottom w:val="nil"/>
              <w:right w:val="single" w:sz="4" w:space="0" w:color="auto"/>
            </w:tcBorders>
            <w:shd w:val="clear" w:color="auto" w:fill="auto"/>
            <w:noWrap/>
            <w:vAlign w:val="center"/>
            <w:hideMark/>
          </w:tcPr>
          <w:p w14:paraId="010A80BE" w14:textId="77777777" w:rsidR="00214B02" w:rsidRPr="009C2EA4" w:rsidRDefault="00214B02" w:rsidP="00214B02">
            <w:pPr>
              <w:jc w:val="center"/>
              <w:rPr>
                <w:color w:val="000000"/>
                <w:sz w:val="20"/>
                <w:szCs w:val="20"/>
              </w:rPr>
            </w:pPr>
            <w:r w:rsidRPr="009C2EA4">
              <w:rPr>
                <w:color w:val="000000"/>
                <w:sz w:val="20"/>
                <w:szCs w:val="20"/>
              </w:rPr>
              <w:t>-1.278</w:t>
            </w:r>
          </w:p>
        </w:tc>
        <w:tc>
          <w:tcPr>
            <w:tcW w:w="1180" w:type="dxa"/>
            <w:tcBorders>
              <w:top w:val="nil"/>
              <w:left w:val="single" w:sz="4" w:space="0" w:color="auto"/>
              <w:bottom w:val="nil"/>
              <w:right w:val="single" w:sz="4" w:space="0" w:color="auto"/>
            </w:tcBorders>
            <w:shd w:val="clear" w:color="auto" w:fill="auto"/>
            <w:noWrap/>
            <w:vAlign w:val="center"/>
            <w:hideMark/>
          </w:tcPr>
          <w:p w14:paraId="0AF9B040" w14:textId="77777777" w:rsidR="00214B02" w:rsidRPr="009C2EA4" w:rsidRDefault="00214B02" w:rsidP="00214B02">
            <w:pPr>
              <w:jc w:val="center"/>
              <w:rPr>
                <w:color w:val="000000"/>
                <w:sz w:val="20"/>
                <w:szCs w:val="20"/>
              </w:rPr>
            </w:pPr>
            <w:r w:rsidRPr="009C2EA4">
              <w:rPr>
                <w:color w:val="000000"/>
                <w:sz w:val="20"/>
                <w:szCs w:val="20"/>
              </w:rPr>
              <w:t>-1.74</w:t>
            </w:r>
          </w:p>
        </w:tc>
      </w:tr>
      <w:tr w:rsidR="00214B02" w:rsidRPr="009C2EA4" w14:paraId="5EB8F1B2" w14:textId="77777777" w:rsidTr="009634C4">
        <w:trPr>
          <w:trHeight w:val="288"/>
        </w:trPr>
        <w:tc>
          <w:tcPr>
            <w:tcW w:w="3595" w:type="dxa"/>
            <w:tcBorders>
              <w:top w:val="nil"/>
              <w:left w:val="single" w:sz="4" w:space="0" w:color="auto"/>
              <w:bottom w:val="single" w:sz="4" w:space="0" w:color="auto"/>
              <w:right w:val="single" w:sz="4" w:space="0" w:color="auto"/>
            </w:tcBorders>
            <w:shd w:val="clear" w:color="auto" w:fill="auto"/>
            <w:noWrap/>
            <w:vAlign w:val="bottom"/>
            <w:hideMark/>
          </w:tcPr>
          <w:p w14:paraId="0578376A" w14:textId="77777777" w:rsidR="00214B02" w:rsidRPr="009C2EA4" w:rsidRDefault="00214B02" w:rsidP="00214B02">
            <w:pPr>
              <w:jc w:val="right"/>
              <w:rPr>
                <w:color w:val="000000"/>
                <w:sz w:val="20"/>
                <w:szCs w:val="20"/>
              </w:rPr>
            </w:pPr>
          </w:p>
        </w:tc>
        <w:tc>
          <w:tcPr>
            <w:tcW w:w="1178" w:type="dxa"/>
            <w:gridSpan w:val="2"/>
            <w:tcBorders>
              <w:top w:val="nil"/>
              <w:left w:val="single" w:sz="4" w:space="0" w:color="auto"/>
              <w:bottom w:val="single" w:sz="4" w:space="0" w:color="auto"/>
              <w:right w:val="single" w:sz="4" w:space="0" w:color="auto"/>
            </w:tcBorders>
            <w:shd w:val="clear" w:color="auto" w:fill="auto"/>
            <w:noWrap/>
            <w:vAlign w:val="center"/>
            <w:hideMark/>
          </w:tcPr>
          <w:p w14:paraId="6FF28062" w14:textId="77777777" w:rsidR="00214B02" w:rsidRPr="009C2EA4" w:rsidRDefault="00214B02" w:rsidP="00214B02">
            <w:pPr>
              <w:rPr>
                <w:sz w:val="20"/>
                <w:szCs w:val="20"/>
              </w:rPr>
            </w:pPr>
          </w:p>
        </w:tc>
        <w:tc>
          <w:tcPr>
            <w:tcW w:w="1180" w:type="dxa"/>
            <w:gridSpan w:val="2"/>
            <w:tcBorders>
              <w:top w:val="nil"/>
              <w:left w:val="single" w:sz="4" w:space="0" w:color="auto"/>
              <w:bottom w:val="single" w:sz="4" w:space="0" w:color="auto"/>
              <w:right w:val="single" w:sz="4" w:space="0" w:color="auto"/>
            </w:tcBorders>
            <w:shd w:val="clear" w:color="auto" w:fill="auto"/>
            <w:noWrap/>
            <w:vAlign w:val="center"/>
            <w:hideMark/>
          </w:tcPr>
          <w:p w14:paraId="453431DD" w14:textId="77777777" w:rsidR="00214B02" w:rsidRPr="009C2EA4" w:rsidRDefault="00214B02" w:rsidP="00214B02">
            <w:pPr>
              <w:jc w:val="right"/>
              <w:rPr>
                <w:sz w:val="20"/>
                <w:szCs w:val="20"/>
              </w:rPr>
            </w:pPr>
          </w:p>
        </w:tc>
        <w:tc>
          <w:tcPr>
            <w:tcW w:w="1179" w:type="dxa"/>
            <w:gridSpan w:val="2"/>
            <w:tcBorders>
              <w:top w:val="nil"/>
              <w:left w:val="single" w:sz="4" w:space="0" w:color="auto"/>
              <w:bottom w:val="single" w:sz="4" w:space="0" w:color="auto"/>
              <w:right w:val="single" w:sz="4" w:space="0" w:color="auto"/>
            </w:tcBorders>
            <w:shd w:val="clear" w:color="auto" w:fill="auto"/>
            <w:noWrap/>
            <w:vAlign w:val="center"/>
            <w:hideMark/>
          </w:tcPr>
          <w:p w14:paraId="7E69D00F" w14:textId="77777777" w:rsidR="00214B02" w:rsidRPr="009C2EA4" w:rsidRDefault="00214B02" w:rsidP="00214B02">
            <w:pPr>
              <w:jc w:val="right"/>
              <w:rPr>
                <w:sz w:val="20"/>
                <w:szCs w:val="20"/>
              </w:rPr>
            </w:pPr>
          </w:p>
        </w:tc>
        <w:tc>
          <w:tcPr>
            <w:tcW w:w="118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C5FDB6A" w14:textId="77777777" w:rsidR="00214B02" w:rsidRPr="009C2EA4" w:rsidRDefault="00214B02" w:rsidP="00214B02">
            <w:pPr>
              <w:jc w:val="right"/>
              <w:rPr>
                <w:sz w:val="20"/>
                <w:szCs w:val="20"/>
              </w:rPr>
            </w:pPr>
          </w:p>
        </w:tc>
        <w:tc>
          <w:tcPr>
            <w:tcW w:w="1179"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715709" w14:textId="77777777" w:rsidR="00214B02" w:rsidRPr="009C2EA4" w:rsidRDefault="00214B02" w:rsidP="00214B02">
            <w:pPr>
              <w:jc w:val="right"/>
              <w:rPr>
                <w:sz w:val="20"/>
                <w:szCs w:val="20"/>
              </w:rPr>
            </w:pPr>
          </w:p>
        </w:tc>
        <w:tc>
          <w:tcPr>
            <w:tcW w:w="1183" w:type="dxa"/>
            <w:tcBorders>
              <w:top w:val="nil"/>
              <w:left w:val="single" w:sz="4" w:space="0" w:color="auto"/>
              <w:bottom w:val="single" w:sz="4" w:space="0" w:color="auto"/>
              <w:right w:val="single" w:sz="4" w:space="0" w:color="auto"/>
            </w:tcBorders>
            <w:shd w:val="clear" w:color="auto" w:fill="auto"/>
            <w:noWrap/>
            <w:vAlign w:val="center"/>
            <w:hideMark/>
          </w:tcPr>
          <w:p w14:paraId="4B24D2D4" w14:textId="77777777" w:rsidR="00214B02" w:rsidRPr="009C2EA4" w:rsidRDefault="00214B02" w:rsidP="00214B02">
            <w:pPr>
              <w:jc w:val="right"/>
              <w:rPr>
                <w:sz w:val="20"/>
                <w:szCs w:val="20"/>
              </w:rPr>
            </w:pPr>
          </w:p>
        </w:tc>
      </w:tr>
      <w:tr w:rsidR="00214B02" w:rsidRPr="009C2EA4" w14:paraId="6F6F9718" w14:textId="77777777" w:rsidTr="009634C4">
        <w:trPr>
          <w:trHeight w:val="288"/>
        </w:trPr>
        <w:tc>
          <w:tcPr>
            <w:tcW w:w="3595" w:type="dxa"/>
            <w:tcBorders>
              <w:top w:val="single" w:sz="4" w:space="0" w:color="auto"/>
              <w:left w:val="single" w:sz="4" w:space="0" w:color="auto"/>
              <w:bottom w:val="nil"/>
              <w:right w:val="single" w:sz="4" w:space="0" w:color="auto"/>
            </w:tcBorders>
            <w:shd w:val="clear" w:color="auto" w:fill="auto"/>
            <w:noWrap/>
            <w:vAlign w:val="center"/>
            <w:hideMark/>
          </w:tcPr>
          <w:p w14:paraId="781D1BF8" w14:textId="77777777" w:rsidR="00214B02" w:rsidRPr="009C2EA4" w:rsidRDefault="00214B02" w:rsidP="00214B02">
            <w:pPr>
              <w:rPr>
                <w:color w:val="000000"/>
                <w:sz w:val="20"/>
                <w:szCs w:val="20"/>
              </w:rPr>
            </w:pPr>
            <w:r w:rsidRPr="009C2EA4">
              <w:rPr>
                <w:color w:val="000000"/>
                <w:sz w:val="20"/>
                <w:szCs w:val="20"/>
              </w:rPr>
              <w:t>Country-year</w:t>
            </w:r>
          </w:p>
        </w:tc>
        <w:tc>
          <w:tcPr>
            <w:tcW w:w="1178" w:type="dxa"/>
            <w:gridSpan w:val="2"/>
            <w:tcBorders>
              <w:top w:val="single" w:sz="4" w:space="0" w:color="auto"/>
              <w:left w:val="single" w:sz="4" w:space="0" w:color="auto"/>
              <w:bottom w:val="nil"/>
              <w:right w:val="single" w:sz="4" w:space="0" w:color="auto"/>
            </w:tcBorders>
            <w:shd w:val="clear" w:color="auto" w:fill="auto"/>
            <w:noWrap/>
            <w:vAlign w:val="center"/>
            <w:hideMark/>
          </w:tcPr>
          <w:p w14:paraId="0FC6DEED" w14:textId="77777777" w:rsidR="00214B02" w:rsidRPr="009C2EA4" w:rsidRDefault="00214B02" w:rsidP="00214B02">
            <w:pPr>
              <w:jc w:val="right"/>
              <w:rPr>
                <w:color w:val="000000"/>
                <w:sz w:val="20"/>
                <w:szCs w:val="20"/>
              </w:rPr>
            </w:pPr>
            <w:r w:rsidRPr="009C2EA4">
              <w:rPr>
                <w:color w:val="000000"/>
                <w:sz w:val="20"/>
                <w:szCs w:val="20"/>
              </w:rPr>
              <w:t>5</w:t>
            </w:r>
            <w:r>
              <w:rPr>
                <w:color w:val="000000"/>
                <w:sz w:val="20"/>
                <w:szCs w:val="20"/>
              </w:rPr>
              <w:t>,</w:t>
            </w:r>
            <w:r w:rsidRPr="009C2EA4">
              <w:rPr>
                <w:color w:val="000000"/>
                <w:sz w:val="20"/>
                <w:szCs w:val="20"/>
              </w:rPr>
              <w:t>089</w:t>
            </w:r>
          </w:p>
        </w:tc>
        <w:tc>
          <w:tcPr>
            <w:tcW w:w="1180" w:type="dxa"/>
            <w:gridSpan w:val="2"/>
            <w:tcBorders>
              <w:top w:val="single" w:sz="4" w:space="0" w:color="auto"/>
              <w:left w:val="single" w:sz="4" w:space="0" w:color="auto"/>
              <w:bottom w:val="nil"/>
              <w:right w:val="single" w:sz="4" w:space="0" w:color="auto"/>
            </w:tcBorders>
            <w:shd w:val="clear" w:color="auto" w:fill="auto"/>
            <w:noWrap/>
            <w:vAlign w:val="center"/>
            <w:hideMark/>
          </w:tcPr>
          <w:p w14:paraId="5B62D7E1" w14:textId="77777777" w:rsidR="00214B02" w:rsidRPr="009C2EA4" w:rsidRDefault="00214B02" w:rsidP="00214B02">
            <w:pPr>
              <w:jc w:val="right"/>
              <w:rPr>
                <w:color w:val="000000"/>
                <w:sz w:val="20"/>
                <w:szCs w:val="20"/>
              </w:rPr>
            </w:pPr>
            <w:r w:rsidRPr="009C2EA4">
              <w:rPr>
                <w:color w:val="000000"/>
                <w:sz w:val="20"/>
                <w:szCs w:val="20"/>
              </w:rPr>
              <w:t>5</w:t>
            </w:r>
            <w:r>
              <w:rPr>
                <w:color w:val="000000"/>
                <w:sz w:val="20"/>
                <w:szCs w:val="20"/>
              </w:rPr>
              <w:t>,</w:t>
            </w:r>
            <w:r w:rsidRPr="009C2EA4">
              <w:rPr>
                <w:color w:val="000000"/>
                <w:sz w:val="20"/>
                <w:szCs w:val="20"/>
              </w:rPr>
              <w:t>084</w:t>
            </w:r>
          </w:p>
        </w:tc>
        <w:tc>
          <w:tcPr>
            <w:tcW w:w="1179" w:type="dxa"/>
            <w:gridSpan w:val="2"/>
            <w:tcBorders>
              <w:top w:val="single" w:sz="4" w:space="0" w:color="auto"/>
              <w:left w:val="single" w:sz="4" w:space="0" w:color="auto"/>
              <w:bottom w:val="nil"/>
              <w:right w:val="single" w:sz="4" w:space="0" w:color="auto"/>
            </w:tcBorders>
            <w:shd w:val="clear" w:color="auto" w:fill="auto"/>
            <w:noWrap/>
            <w:vAlign w:val="center"/>
            <w:hideMark/>
          </w:tcPr>
          <w:p w14:paraId="7A00ABE6" w14:textId="77777777" w:rsidR="00214B02" w:rsidRPr="009C2EA4" w:rsidRDefault="00214B02" w:rsidP="00214B02">
            <w:pPr>
              <w:jc w:val="right"/>
              <w:rPr>
                <w:color w:val="000000"/>
                <w:sz w:val="20"/>
                <w:szCs w:val="20"/>
              </w:rPr>
            </w:pPr>
            <w:r w:rsidRPr="009C2EA4">
              <w:rPr>
                <w:color w:val="000000"/>
                <w:sz w:val="20"/>
                <w:szCs w:val="20"/>
              </w:rPr>
              <w:t>5</w:t>
            </w:r>
            <w:r>
              <w:rPr>
                <w:color w:val="000000"/>
                <w:sz w:val="20"/>
                <w:szCs w:val="20"/>
              </w:rPr>
              <w:t>,</w:t>
            </w:r>
            <w:r w:rsidRPr="009C2EA4">
              <w:rPr>
                <w:color w:val="000000"/>
                <w:sz w:val="20"/>
                <w:szCs w:val="20"/>
              </w:rPr>
              <w:t>084</w:t>
            </w:r>
          </w:p>
        </w:tc>
        <w:tc>
          <w:tcPr>
            <w:tcW w:w="1180" w:type="dxa"/>
            <w:gridSpan w:val="2"/>
            <w:tcBorders>
              <w:top w:val="single" w:sz="4" w:space="0" w:color="auto"/>
              <w:left w:val="single" w:sz="4" w:space="0" w:color="auto"/>
              <w:bottom w:val="nil"/>
              <w:right w:val="single" w:sz="4" w:space="0" w:color="auto"/>
            </w:tcBorders>
            <w:shd w:val="clear" w:color="auto" w:fill="auto"/>
            <w:noWrap/>
            <w:vAlign w:val="center"/>
            <w:hideMark/>
          </w:tcPr>
          <w:p w14:paraId="06CF9C9B" w14:textId="77777777" w:rsidR="00214B02" w:rsidRPr="009C2EA4" w:rsidRDefault="00214B02" w:rsidP="00214B02">
            <w:pPr>
              <w:jc w:val="right"/>
              <w:rPr>
                <w:color w:val="000000"/>
                <w:sz w:val="20"/>
                <w:szCs w:val="20"/>
              </w:rPr>
            </w:pPr>
            <w:r w:rsidRPr="009C2EA4">
              <w:rPr>
                <w:color w:val="000000"/>
                <w:sz w:val="20"/>
                <w:szCs w:val="20"/>
              </w:rPr>
              <w:t>5</w:t>
            </w:r>
            <w:r>
              <w:rPr>
                <w:color w:val="000000"/>
                <w:sz w:val="20"/>
                <w:szCs w:val="20"/>
              </w:rPr>
              <w:t>,</w:t>
            </w:r>
            <w:r w:rsidRPr="009C2EA4">
              <w:rPr>
                <w:color w:val="000000"/>
                <w:sz w:val="20"/>
                <w:szCs w:val="20"/>
              </w:rPr>
              <w:t>084</w:t>
            </w:r>
          </w:p>
        </w:tc>
        <w:tc>
          <w:tcPr>
            <w:tcW w:w="1179" w:type="dxa"/>
            <w:gridSpan w:val="2"/>
            <w:tcBorders>
              <w:top w:val="single" w:sz="4" w:space="0" w:color="auto"/>
              <w:left w:val="single" w:sz="4" w:space="0" w:color="auto"/>
              <w:bottom w:val="nil"/>
              <w:right w:val="single" w:sz="4" w:space="0" w:color="auto"/>
            </w:tcBorders>
            <w:shd w:val="clear" w:color="auto" w:fill="auto"/>
            <w:noWrap/>
            <w:vAlign w:val="center"/>
            <w:hideMark/>
          </w:tcPr>
          <w:p w14:paraId="65B79822" w14:textId="77777777" w:rsidR="00214B02" w:rsidRPr="009C2EA4" w:rsidRDefault="00214B02" w:rsidP="00214B02">
            <w:pPr>
              <w:jc w:val="right"/>
              <w:rPr>
                <w:color w:val="000000"/>
                <w:sz w:val="20"/>
                <w:szCs w:val="20"/>
              </w:rPr>
            </w:pPr>
            <w:r w:rsidRPr="009C2EA4">
              <w:rPr>
                <w:color w:val="000000"/>
                <w:sz w:val="20"/>
                <w:szCs w:val="20"/>
              </w:rPr>
              <w:t>5</w:t>
            </w:r>
            <w:r>
              <w:rPr>
                <w:color w:val="000000"/>
                <w:sz w:val="20"/>
                <w:szCs w:val="20"/>
              </w:rPr>
              <w:t>,</w:t>
            </w:r>
            <w:r w:rsidRPr="009C2EA4">
              <w:rPr>
                <w:color w:val="000000"/>
                <w:sz w:val="20"/>
                <w:szCs w:val="20"/>
              </w:rPr>
              <w:t>084</w:t>
            </w:r>
          </w:p>
        </w:tc>
        <w:tc>
          <w:tcPr>
            <w:tcW w:w="1183" w:type="dxa"/>
            <w:tcBorders>
              <w:top w:val="single" w:sz="4" w:space="0" w:color="auto"/>
              <w:left w:val="single" w:sz="4" w:space="0" w:color="auto"/>
              <w:bottom w:val="nil"/>
              <w:right w:val="single" w:sz="4" w:space="0" w:color="auto"/>
            </w:tcBorders>
            <w:shd w:val="clear" w:color="auto" w:fill="auto"/>
            <w:noWrap/>
            <w:vAlign w:val="center"/>
            <w:hideMark/>
          </w:tcPr>
          <w:p w14:paraId="4F544889" w14:textId="77777777" w:rsidR="00214B02" w:rsidRPr="009C2EA4" w:rsidRDefault="00214B02" w:rsidP="00214B02">
            <w:pPr>
              <w:jc w:val="right"/>
              <w:rPr>
                <w:color w:val="000000"/>
                <w:sz w:val="20"/>
                <w:szCs w:val="20"/>
              </w:rPr>
            </w:pPr>
            <w:r w:rsidRPr="009C2EA4">
              <w:rPr>
                <w:color w:val="000000"/>
                <w:sz w:val="20"/>
                <w:szCs w:val="20"/>
              </w:rPr>
              <w:t>5</w:t>
            </w:r>
            <w:r>
              <w:rPr>
                <w:color w:val="000000"/>
                <w:sz w:val="20"/>
                <w:szCs w:val="20"/>
              </w:rPr>
              <w:t>,</w:t>
            </w:r>
            <w:r w:rsidRPr="009C2EA4">
              <w:rPr>
                <w:color w:val="000000"/>
                <w:sz w:val="20"/>
                <w:szCs w:val="20"/>
              </w:rPr>
              <w:t>084</w:t>
            </w:r>
          </w:p>
        </w:tc>
      </w:tr>
      <w:tr w:rsidR="00214B02" w:rsidRPr="009C2EA4" w14:paraId="7F44C944" w14:textId="77777777" w:rsidTr="009634C4">
        <w:trPr>
          <w:trHeight w:val="288"/>
        </w:trPr>
        <w:tc>
          <w:tcPr>
            <w:tcW w:w="3595" w:type="dxa"/>
            <w:tcBorders>
              <w:top w:val="nil"/>
              <w:left w:val="single" w:sz="4" w:space="0" w:color="auto"/>
              <w:bottom w:val="single" w:sz="4" w:space="0" w:color="auto"/>
              <w:right w:val="single" w:sz="4" w:space="0" w:color="auto"/>
            </w:tcBorders>
            <w:shd w:val="clear" w:color="auto" w:fill="auto"/>
            <w:noWrap/>
            <w:vAlign w:val="center"/>
            <w:hideMark/>
          </w:tcPr>
          <w:p w14:paraId="27046011" w14:textId="77777777" w:rsidR="00214B02" w:rsidRPr="009C2EA4" w:rsidRDefault="00214B02" w:rsidP="00214B02">
            <w:pPr>
              <w:rPr>
                <w:color w:val="000000"/>
                <w:sz w:val="20"/>
                <w:szCs w:val="20"/>
              </w:rPr>
            </w:pPr>
            <w:r w:rsidRPr="009C2EA4">
              <w:rPr>
                <w:color w:val="000000"/>
                <w:sz w:val="20"/>
                <w:szCs w:val="20"/>
              </w:rPr>
              <w:t>R-</w:t>
            </w:r>
            <w:proofErr w:type="spellStart"/>
            <w:r w:rsidRPr="009C2EA4">
              <w:rPr>
                <w:color w:val="000000"/>
                <w:sz w:val="20"/>
                <w:szCs w:val="20"/>
              </w:rPr>
              <w:t>sq</w:t>
            </w:r>
            <w:proofErr w:type="spellEnd"/>
          </w:p>
        </w:tc>
        <w:tc>
          <w:tcPr>
            <w:tcW w:w="1178" w:type="dxa"/>
            <w:gridSpan w:val="2"/>
            <w:tcBorders>
              <w:top w:val="nil"/>
              <w:left w:val="single" w:sz="4" w:space="0" w:color="auto"/>
              <w:bottom w:val="single" w:sz="4" w:space="0" w:color="auto"/>
              <w:right w:val="single" w:sz="4" w:space="0" w:color="auto"/>
            </w:tcBorders>
            <w:shd w:val="clear" w:color="auto" w:fill="auto"/>
            <w:noWrap/>
            <w:vAlign w:val="center"/>
            <w:hideMark/>
          </w:tcPr>
          <w:p w14:paraId="6DE638D3" w14:textId="77777777" w:rsidR="00214B02" w:rsidRPr="009C2EA4" w:rsidRDefault="00214B02" w:rsidP="00214B02">
            <w:pPr>
              <w:jc w:val="right"/>
              <w:rPr>
                <w:color w:val="000000"/>
                <w:sz w:val="20"/>
                <w:szCs w:val="20"/>
              </w:rPr>
            </w:pPr>
            <w:r w:rsidRPr="009C2EA4">
              <w:rPr>
                <w:color w:val="000000"/>
                <w:sz w:val="20"/>
                <w:szCs w:val="20"/>
              </w:rPr>
              <w:t>0.0696</w:t>
            </w:r>
          </w:p>
        </w:tc>
        <w:tc>
          <w:tcPr>
            <w:tcW w:w="118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41EEFE3" w14:textId="77777777" w:rsidR="00214B02" w:rsidRPr="009C2EA4" w:rsidRDefault="00214B02" w:rsidP="00214B02">
            <w:pPr>
              <w:jc w:val="right"/>
              <w:rPr>
                <w:color w:val="000000"/>
                <w:sz w:val="20"/>
                <w:szCs w:val="20"/>
              </w:rPr>
            </w:pPr>
            <w:r w:rsidRPr="009C2EA4">
              <w:rPr>
                <w:color w:val="000000"/>
                <w:sz w:val="20"/>
                <w:szCs w:val="20"/>
              </w:rPr>
              <w:t>0.0627</w:t>
            </w:r>
          </w:p>
        </w:tc>
        <w:tc>
          <w:tcPr>
            <w:tcW w:w="1179" w:type="dxa"/>
            <w:gridSpan w:val="2"/>
            <w:tcBorders>
              <w:top w:val="nil"/>
              <w:left w:val="single" w:sz="4" w:space="0" w:color="auto"/>
              <w:bottom w:val="single" w:sz="4" w:space="0" w:color="auto"/>
              <w:right w:val="single" w:sz="4" w:space="0" w:color="auto"/>
            </w:tcBorders>
            <w:shd w:val="clear" w:color="auto" w:fill="auto"/>
            <w:noWrap/>
            <w:vAlign w:val="center"/>
            <w:hideMark/>
          </w:tcPr>
          <w:p w14:paraId="21E5AD69" w14:textId="77777777" w:rsidR="00214B02" w:rsidRPr="009C2EA4" w:rsidRDefault="00214B02" w:rsidP="00214B02">
            <w:pPr>
              <w:jc w:val="right"/>
              <w:rPr>
                <w:color w:val="000000"/>
                <w:sz w:val="20"/>
                <w:szCs w:val="20"/>
              </w:rPr>
            </w:pPr>
            <w:r w:rsidRPr="009C2EA4">
              <w:rPr>
                <w:color w:val="000000"/>
                <w:sz w:val="20"/>
                <w:szCs w:val="20"/>
              </w:rPr>
              <w:t>0.0673</w:t>
            </w:r>
          </w:p>
        </w:tc>
        <w:tc>
          <w:tcPr>
            <w:tcW w:w="118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33A55BD" w14:textId="77777777" w:rsidR="00214B02" w:rsidRPr="009C2EA4" w:rsidRDefault="00214B02" w:rsidP="00214B02">
            <w:pPr>
              <w:jc w:val="right"/>
              <w:rPr>
                <w:color w:val="000000"/>
                <w:sz w:val="20"/>
                <w:szCs w:val="20"/>
              </w:rPr>
            </w:pPr>
            <w:r w:rsidRPr="009C2EA4">
              <w:rPr>
                <w:color w:val="000000"/>
                <w:sz w:val="20"/>
                <w:szCs w:val="20"/>
              </w:rPr>
              <w:t>0.0723</w:t>
            </w:r>
          </w:p>
        </w:tc>
        <w:tc>
          <w:tcPr>
            <w:tcW w:w="1179" w:type="dxa"/>
            <w:gridSpan w:val="2"/>
            <w:tcBorders>
              <w:top w:val="nil"/>
              <w:left w:val="single" w:sz="4" w:space="0" w:color="auto"/>
              <w:bottom w:val="single" w:sz="4" w:space="0" w:color="auto"/>
              <w:right w:val="single" w:sz="4" w:space="0" w:color="auto"/>
            </w:tcBorders>
            <w:shd w:val="clear" w:color="auto" w:fill="auto"/>
            <w:noWrap/>
            <w:vAlign w:val="center"/>
            <w:hideMark/>
          </w:tcPr>
          <w:p w14:paraId="6FF7D6CD" w14:textId="77777777" w:rsidR="00214B02" w:rsidRPr="009C2EA4" w:rsidRDefault="00214B02" w:rsidP="00214B02">
            <w:pPr>
              <w:jc w:val="right"/>
              <w:rPr>
                <w:color w:val="000000"/>
                <w:sz w:val="20"/>
                <w:szCs w:val="20"/>
              </w:rPr>
            </w:pPr>
            <w:r w:rsidRPr="009C2EA4">
              <w:rPr>
                <w:color w:val="000000"/>
                <w:sz w:val="20"/>
                <w:szCs w:val="20"/>
              </w:rPr>
              <w:t>0.0666</w:t>
            </w:r>
          </w:p>
        </w:tc>
        <w:tc>
          <w:tcPr>
            <w:tcW w:w="1183" w:type="dxa"/>
            <w:tcBorders>
              <w:top w:val="nil"/>
              <w:left w:val="single" w:sz="4" w:space="0" w:color="auto"/>
              <w:bottom w:val="single" w:sz="4" w:space="0" w:color="auto"/>
              <w:right w:val="single" w:sz="4" w:space="0" w:color="auto"/>
            </w:tcBorders>
            <w:shd w:val="clear" w:color="auto" w:fill="auto"/>
            <w:noWrap/>
            <w:vAlign w:val="center"/>
            <w:hideMark/>
          </w:tcPr>
          <w:p w14:paraId="11F85796" w14:textId="77777777" w:rsidR="00214B02" w:rsidRPr="009C2EA4" w:rsidRDefault="00214B02" w:rsidP="00214B02">
            <w:pPr>
              <w:jc w:val="right"/>
              <w:rPr>
                <w:color w:val="000000"/>
                <w:sz w:val="20"/>
                <w:szCs w:val="20"/>
              </w:rPr>
            </w:pPr>
            <w:r w:rsidRPr="009C2EA4">
              <w:rPr>
                <w:color w:val="000000"/>
                <w:sz w:val="20"/>
                <w:szCs w:val="20"/>
              </w:rPr>
              <w:t>0.0704</w:t>
            </w:r>
          </w:p>
        </w:tc>
      </w:tr>
      <w:tr w:rsidR="00214B02" w:rsidRPr="009C2EA4" w14:paraId="7F40D7D1" w14:textId="77777777" w:rsidTr="009634C4">
        <w:trPr>
          <w:trHeight w:val="288"/>
        </w:trPr>
        <w:tc>
          <w:tcPr>
            <w:tcW w:w="5529" w:type="dxa"/>
            <w:gridSpan w:val="4"/>
            <w:tcBorders>
              <w:top w:val="single" w:sz="4" w:space="0" w:color="auto"/>
              <w:left w:val="single" w:sz="4" w:space="0" w:color="auto"/>
              <w:bottom w:val="nil"/>
              <w:right w:val="nil"/>
            </w:tcBorders>
            <w:shd w:val="clear" w:color="auto" w:fill="auto"/>
            <w:noWrap/>
            <w:vAlign w:val="center"/>
            <w:hideMark/>
          </w:tcPr>
          <w:p w14:paraId="0CEA2340" w14:textId="77777777" w:rsidR="00214B02" w:rsidRPr="009C2EA4" w:rsidRDefault="00214B02" w:rsidP="00214B02">
            <w:pPr>
              <w:rPr>
                <w:color w:val="000000"/>
                <w:sz w:val="20"/>
                <w:szCs w:val="20"/>
              </w:rPr>
            </w:pPr>
            <w:r w:rsidRPr="009C2EA4">
              <w:rPr>
                <w:color w:val="000000"/>
                <w:sz w:val="20"/>
                <w:szCs w:val="20"/>
              </w:rPr>
              <w:t>Standard errors in parentheses</w:t>
            </w:r>
          </w:p>
        </w:tc>
        <w:tc>
          <w:tcPr>
            <w:tcW w:w="966" w:type="dxa"/>
            <w:gridSpan w:val="2"/>
            <w:tcBorders>
              <w:top w:val="single" w:sz="4" w:space="0" w:color="auto"/>
              <w:left w:val="nil"/>
              <w:bottom w:val="nil"/>
              <w:right w:val="nil"/>
            </w:tcBorders>
            <w:shd w:val="clear" w:color="auto" w:fill="auto"/>
            <w:noWrap/>
            <w:vAlign w:val="bottom"/>
            <w:hideMark/>
          </w:tcPr>
          <w:p w14:paraId="0D57174F" w14:textId="77777777" w:rsidR="00214B02" w:rsidRPr="009C2EA4" w:rsidRDefault="00214B02" w:rsidP="00214B02">
            <w:pPr>
              <w:rPr>
                <w:color w:val="000000"/>
                <w:sz w:val="20"/>
                <w:szCs w:val="20"/>
              </w:rPr>
            </w:pPr>
          </w:p>
        </w:tc>
        <w:tc>
          <w:tcPr>
            <w:tcW w:w="966" w:type="dxa"/>
            <w:gridSpan w:val="2"/>
            <w:tcBorders>
              <w:top w:val="single" w:sz="4" w:space="0" w:color="auto"/>
              <w:left w:val="nil"/>
              <w:bottom w:val="nil"/>
              <w:right w:val="single" w:sz="4" w:space="0" w:color="auto"/>
            </w:tcBorders>
            <w:shd w:val="clear" w:color="auto" w:fill="auto"/>
            <w:noWrap/>
            <w:vAlign w:val="bottom"/>
            <w:hideMark/>
          </w:tcPr>
          <w:p w14:paraId="6125E8FF" w14:textId="77777777" w:rsidR="00214B02" w:rsidRPr="009C2EA4" w:rsidRDefault="00214B02" w:rsidP="00214B02">
            <w:pPr>
              <w:rPr>
                <w:sz w:val="20"/>
                <w:szCs w:val="20"/>
              </w:rPr>
            </w:pPr>
          </w:p>
        </w:tc>
        <w:tc>
          <w:tcPr>
            <w:tcW w:w="966" w:type="dxa"/>
            <w:gridSpan w:val="2"/>
            <w:tcBorders>
              <w:top w:val="single" w:sz="4" w:space="0" w:color="auto"/>
              <w:left w:val="single" w:sz="4" w:space="0" w:color="auto"/>
              <w:bottom w:val="nil"/>
              <w:right w:val="nil"/>
            </w:tcBorders>
            <w:shd w:val="clear" w:color="auto" w:fill="auto"/>
            <w:noWrap/>
            <w:vAlign w:val="bottom"/>
            <w:hideMark/>
          </w:tcPr>
          <w:p w14:paraId="06685A6D" w14:textId="77777777" w:rsidR="00214B02" w:rsidRPr="009C2EA4" w:rsidRDefault="00214B02" w:rsidP="00214B02">
            <w:pPr>
              <w:rPr>
                <w:sz w:val="20"/>
                <w:szCs w:val="20"/>
              </w:rPr>
            </w:pPr>
          </w:p>
        </w:tc>
        <w:tc>
          <w:tcPr>
            <w:tcW w:w="2247" w:type="dxa"/>
            <w:gridSpan w:val="2"/>
            <w:tcBorders>
              <w:top w:val="single" w:sz="4" w:space="0" w:color="auto"/>
              <w:left w:val="nil"/>
              <w:bottom w:val="nil"/>
              <w:right w:val="single" w:sz="4" w:space="0" w:color="auto"/>
            </w:tcBorders>
            <w:shd w:val="clear" w:color="auto" w:fill="auto"/>
            <w:noWrap/>
            <w:vAlign w:val="bottom"/>
            <w:hideMark/>
          </w:tcPr>
          <w:p w14:paraId="6C61CEA1" w14:textId="77777777" w:rsidR="00214B02" w:rsidRPr="009C2EA4" w:rsidRDefault="00214B02" w:rsidP="00214B02">
            <w:pPr>
              <w:rPr>
                <w:sz w:val="20"/>
                <w:szCs w:val="20"/>
              </w:rPr>
            </w:pPr>
          </w:p>
        </w:tc>
      </w:tr>
      <w:tr w:rsidR="00214B02" w:rsidRPr="009C2EA4" w14:paraId="04C6970A" w14:textId="77777777" w:rsidTr="009634C4">
        <w:trPr>
          <w:trHeight w:val="288"/>
        </w:trPr>
        <w:tc>
          <w:tcPr>
            <w:tcW w:w="3595" w:type="dxa"/>
            <w:tcBorders>
              <w:top w:val="nil"/>
              <w:left w:val="single" w:sz="4" w:space="0" w:color="auto"/>
              <w:bottom w:val="single" w:sz="4" w:space="0" w:color="auto"/>
              <w:right w:val="nil"/>
            </w:tcBorders>
            <w:shd w:val="clear" w:color="auto" w:fill="auto"/>
            <w:noWrap/>
            <w:vAlign w:val="center"/>
            <w:hideMark/>
          </w:tcPr>
          <w:p w14:paraId="75A46B54" w14:textId="3FF3D9D2" w:rsidR="00214B02" w:rsidRPr="009C2EA4" w:rsidRDefault="00214B02" w:rsidP="00214B02">
            <w:pPr>
              <w:rPr>
                <w:color w:val="000000"/>
                <w:sz w:val="20"/>
                <w:szCs w:val="20"/>
              </w:rPr>
            </w:pPr>
            <w:r w:rsidRPr="009C2EA4">
              <w:rPr>
                <w:color w:val="000000"/>
                <w:sz w:val="20"/>
                <w:szCs w:val="20"/>
              </w:rPr>
              <w:t>* p&lt;0.05</w:t>
            </w:r>
            <w:r w:rsidR="009634C4">
              <w:rPr>
                <w:color w:val="000000"/>
                <w:sz w:val="20"/>
                <w:szCs w:val="20"/>
              </w:rPr>
              <w:t xml:space="preserve">, </w:t>
            </w:r>
            <w:r w:rsidR="009634C4" w:rsidRPr="009C2EA4">
              <w:rPr>
                <w:color w:val="000000"/>
                <w:sz w:val="20"/>
                <w:szCs w:val="20"/>
              </w:rPr>
              <w:t>** p&lt;0.01</w:t>
            </w:r>
            <w:r w:rsidR="009634C4">
              <w:rPr>
                <w:color w:val="000000"/>
                <w:sz w:val="20"/>
                <w:szCs w:val="20"/>
              </w:rPr>
              <w:t xml:space="preserve">, </w:t>
            </w:r>
            <w:r w:rsidR="009634C4" w:rsidRPr="009C2EA4">
              <w:rPr>
                <w:color w:val="000000"/>
                <w:sz w:val="20"/>
                <w:szCs w:val="20"/>
              </w:rPr>
              <w:t>*** p&lt;0.001</w:t>
            </w:r>
          </w:p>
        </w:tc>
        <w:tc>
          <w:tcPr>
            <w:tcW w:w="964" w:type="dxa"/>
            <w:tcBorders>
              <w:top w:val="nil"/>
              <w:left w:val="nil"/>
              <w:bottom w:val="single" w:sz="4" w:space="0" w:color="auto"/>
              <w:right w:val="nil"/>
            </w:tcBorders>
            <w:shd w:val="clear" w:color="auto" w:fill="auto"/>
            <w:noWrap/>
            <w:vAlign w:val="center"/>
            <w:hideMark/>
          </w:tcPr>
          <w:p w14:paraId="3FB65FD7" w14:textId="742F3F43" w:rsidR="00214B02" w:rsidRPr="009C2EA4" w:rsidRDefault="00214B02" w:rsidP="00214B02">
            <w:pPr>
              <w:rPr>
                <w:color w:val="000000"/>
                <w:sz w:val="20"/>
                <w:szCs w:val="20"/>
              </w:rPr>
            </w:pPr>
          </w:p>
        </w:tc>
        <w:tc>
          <w:tcPr>
            <w:tcW w:w="1936" w:type="dxa"/>
            <w:gridSpan w:val="4"/>
            <w:tcBorders>
              <w:top w:val="nil"/>
              <w:left w:val="nil"/>
              <w:bottom w:val="single" w:sz="4" w:space="0" w:color="auto"/>
              <w:right w:val="nil"/>
            </w:tcBorders>
            <w:shd w:val="clear" w:color="auto" w:fill="auto"/>
            <w:noWrap/>
            <w:vAlign w:val="center"/>
            <w:hideMark/>
          </w:tcPr>
          <w:p w14:paraId="52878B5A" w14:textId="08F817B2" w:rsidR="00214B02" w:rsidRPr="009C2EA4" w:rsidRDefault="00214B02" w:rsidP="00214B02">
            <w:pPr>
              <w:rPr>
                <w:color w:val="000000"/>
                <w:sz w:val="20"/>
                <w:szCs w:val="20"/>
              </w:rPr>
            </w:pPr>
            <w:r w:rsidRPr="009C2EA4">
              <w:rPr>
                <w:color w:val="000000"/>
                <w:sz w:val="20"/>
                <w:szCs w:val="20"/>
              </w:rPr>
              <w:t xml:space="preserve"> </w:t>
            </w:r>
          </w:p>
        </w:tc>
        <w:tc>
          <w:tcPr>
            <w:tcW w:w="966" w:type="dxa"/>
            <w:gridSpan w:val="2"/>
            <w:tcBorders>
              <w:top w:val="nil"/>
              <w:left w:val="nil"/>
              <w:bottom w:val="single" w:sz="4" w:space="0" w:color="auto"/>
              <w:right w:val="nil"/>
            </w:tcBorders>
            <w:shd w:val="clear" w:color="auto" w:fill="auto"/>
            <w:noWrap/>
            <w:vAlign w:val="bottom"/>
            <w:hideMark/>
          </w:tcPr>
          <w:p w14:paraId="34F9EA24" w14:textId="77777777" w:rsidR="00214B02" w:rsidRPr="009C2EA4" w:rsidRDefault="00214B02" w:rsidP="00214B02">
            <w:pPr>
              <w:rPr>
                <w:color w:val="000000"/>
                <w:sz w:val="20"/>
                <w:szCs w:val="20"/>
              </w:rPr>
            </w:pPr>
          </w:p>
        </w:tc>
        <w:tc>
          <w:tcPr>
            <w:tcW w:w="966" w:type="dxa"/>
            <w:gridSpan w:val="2"/>
            <w:tcBorders>
              <w:top w:val="nil"/>
              <w:left w:val="nil"/>
              <w:bottom w:val="single" w:sz="4" w:space="0" w:color="auto"/>
              <w:right w:val="nil"/>
            </w:tcBorders>
            <w:shd w:val="clear" w:color="auto" w:fill="auto"/>
            <w:noWrap/>
            <w:vAlign w:val="bottom"/>
            <w:hideMark/>
          </w:tcPr>
          <w:p w14:paraId="729836E0" w14:textId="77777777" w:rsidR="00214B02" w:rsidRPr="009C2EA4" w:rsidRDefault="00214B02" w:rsidP="00214B02">
            <w:pPr>
              <w:rPr>
                <w:sz w:val="20"/>
                <w:szCs w:val="20"/>
              </w:rPr>
            </w:pPr>
          </w:p>
        </w:tc>
        <w:tc>
          <w:tcPr>
            <w:tcW w:w="2247" w:type="dxa"/>
            <w:gridSpan w:val="2"/>
            <w:tcBorders>
              <w:top w:val="nil"/>
              <w:left w:val="nil"/>
              <w:bottom w:val="single" w:sz="4" w:space="0" w:color="auto"/>
              <w:right w:val="single" w:sz="4" w:space="0" w:color="auto"/>
            </w:tcBorders>
            <w:shd w:val="clear" w:color="auto" w:fill="auto"/>
            <w:noWrap/>
            <w:vAlign w:val="bottom"/>
            <w:hideMark/>
          </w:tcPr>
          <w:p w14:paraId="547E1A5F" w14:textId="77777777" w:rsidR="00214B02" w:rsidRPr="009C2EA4" w:rsidRDefault="00214B02" w:rsidP="00214B02">
            <w:pPr>
              <w:rPr>
                <w:sz w:val="20"/>
                <w:szCs w:val="20"/>
              </w:rPr>
            </w:pPr>
          </w:p>
        </w:tc>
      </w:tr>
    </w:tbl>
    <w:p w14:paraId="120269CC" w14:textId="4D4C9ED0" w:rsidR="00214B02" w:rsidRDefault="00214B02" w:rsidP="0035674B"/>
    <w:p w14:paraId="0F7575AC" w14:textId="282FEE60" w:rsidR="00364838" w:rsidRDefault="00364838" w:rsidP="0035674B"/>
    <w:p w14:paraId="51D896C4" w14:textId="7D1CB863" w:rsidR="00364838" w:rsidRDefault="00364838" w:rsidP="0035674B"/>
    <w:p w14:paraId="51DAB057" w14:textId="4DABD58B" w:rsidR="00364838" w:rsidRDefault="00364838" w:rsidP="0035674B"/>
    <w:p w14:paraId="542C0A77" w14:textId="389A5052" w:rsidR="00364838" w:rsidRDefault="00364838" w:rsidP="0035674B"/>
    <w:p w14:paraId="13083282" w14:textId="3C865B1A" w:rsidR="00364838" w:rsidRDefault="00364838" w:rsidP="0035674B"/>
    <w:p w14:paraId="0961BEED" w14:textId="05E652B5" w:rsidR="00364838" w:rsidRDefault="00364838" w:rsidP="0035674B"/>
    <w:p w14:paraId="6FFF9D9A" w14:textId="3C4E1176" w:rsidR="00364838" w:rsidRDefault="00364838" w:rsidP="0035674B"/>
    <w:p w14:paraId="1A00A0BB" w14:textId="2522D6A4" w:rsidR="00364838" w:rsidRDefault="00364838" w:rsidP="0035674B"/>
    <w:p w14:paraId="4491079A" w14:textId="0ADD775D" w:rsidR="00364838" w:rsidRDefault="00364838" w:rsidP="0035674B"/>
    <w:p w14:paraId="6D38EB25" w14:textId="3BA1EBC5" w:rsidR="00364838" w:rsidRDefault="00364838" w:rsidP="0035674B"/>
    <w:p w14:paraId="4DDEABD3" w14:textId="72728D86" w:rsidR="00364838" w:rsidRDefault="00364838" w:rsidP="0035674B"/>
    <w:p w14:paraId="2FAC3FA6" w14:textId="7E12816B" w:rsidR="00364838" w:rsidRDefault="00364838" w:rsidP="0035674B"/>
    <w:p w14:paraId="26FBD5F7" w14:textId="264C3462" w:rsidR="00364838" w:rsidRDefault="00364838" w:rsidP="0035674B"/>
    <w:p w14:paraId="54824A4C" w14:textId="25693661" w:rsidR="00364838" w:rsidRDefault="00364838" w:rsidP="0035674B"/>
    <w:p w14:paraId="5057E8E0" w14:textId="578DB7B5" w:rsidR="00364838" w:rsidRDefault="00364838" w:rsidP="0035674B"/>
    <w:p w14:paraId="72CD8EE4" w14:textId="52EFAF7F" w:rsidR="00364838" w:rsidRDefault="00364838" w:rsidP="0035674B"/>
    <w:p w14:paraId="136F201C" w14:textId="4A7A8A48" w:rsidR="00214B02" w:rsidRDefault="009634C4" w:rsidP="009634C4">
      <w:pPr>
        <w:spacing w:line="480" w:lineRule="auto"/>
        <w:jc w:val="center"/>
      </w:pPr>
      <w:r>
        <w:rPr>
          <w:b/>
          <w:bCs/>
        </w:rPr>
        <w:lastRenderedPageBreak/>
        <w:t xml:space="preserve">Table 8: </w:t>
      </w:r>
      <w:r>
        <w:t xml:space="preserve">Classification of the focused Countries </w:t>
      </w:r>
    </w:p>
    <w:tbl>
      <w:tblPr>
        <w:tblStyle w:val="TableGrid"/>
        <w:tblW w:w="0" w:type="auto"/>
        <w:tblLook w:val="04A0" w:firstRow="1" w:lastRow="0" w:firstColumn="1" w:lastColumn="0" w:noHBand="0" w:noVBand="1"/>
      </w:tblPr>
      <w:tblGrid>
        <w:gridCol w:w="1435"/>
        <w:gridCol w:w="1978"/>
        <w:gridCol w:w="1979"/>
        <w:gridCol w:w="1979"/>
        <w:gridCol w:w="1979"/>
      </w:tblGrid>
      <w:tr w:rsidR="002B208F" w14:paraId="1EA2047C" w14:textId="77777777" w:rsidTr="009634C4">
        <w:tc>
          <w:tcPr>
            <w:tcW w:w="1435" w:type="dxa"/>
          </w:tcPr>
          <w:p w14:paraId="370235F0" w14:textId="77777777" w:rsidR="002B208F" w:rsidRPr="002647C7" w:rsidRDefault="002B208F" w:rsidP="009634C4">
            <w:pPr>
              <w:rPr>
                <w:b/>
                <w:bCs/>
                <w:sz w:val="22"/>
                <w:szCs w:val="22"/>
              </w:rPr>
            </w:pPr>
            <w:r w:rsidRPr="002647C7">
              <w:rPr>
                <w:b/>
                <w:bCs/>
                <w:sz w:val="22"/>
                <w:szCs w:val="22"/>
              </w:rPr>
              <w:t>Country</w:t>
            </w:r>
          </w:p>
        </w:tc>
        <w:tc>
          <w:tcPr>
            <w:tcW w:w="1978" w:type="dxa"/>
          </w:tcPr>
          <w:p w14:paraId="6ADC147F" w14:textId="77777777" w:rsidR="002B208F" w:rsidRPr="002647C7" w:rsidRDefault="002B208F" w:rsidP="009634C4">
            <w:pPr>
              <w:jc w:val="center"/>
              <w:rPr>
                <w:b/>
                <w:bCs/>
                <w:sz w:val="22"/>
                <w:szCs w:val="22"/>
              </w:rPr>
            </w:pPr>
            <w:r w:rsidRPr="002647C7">
              <w:rPr>
                <w:b/>
                <w:bCs/>
                <w:sz w:val="22"/>
                <w:szCs w:val="22"/>
              </w:rPr>
              <w:t>Life Expectancy</w:t>
            </w:r>
          </w:p>
        </w:tc>
        <w:tc>
          <w:tcPr>
            <w:tcW w:w="1979" w:type="dxa"/>
          </w:tcPr>
          <w:p w14:paraId="180B43F3" w14:textId="77777777" w:rsidR="002B208F" w:rsidRPr="002647C7" w:rsidRDefault="002B208F" w:rsidP="009634C4">
            <w:pPr>
              <w:jc w:val="center"/>
              <w:rPr>
                <w:b/>
                <w:bCs/>
                <w:sz w:val="22"/>
                <w:szCs w:val="22"/>
              </w:rPr>
            </w:pPr>
            <w:r w:rsidRPr="002647C7">
              <w:rPr>
                <w:b/>
                <w:bCs/>
                <w:sz w:val="22"/>
                <w:szCs w:val="22"/>
              </w:rPr>
              <w:t>Social Security</w:t>
            </w:r>
          </w:p>
        </w:tc>
        <w:tc>
          <w:tcPr>
            <w:tcW w:w="1979" w:type="dxa"/>
          </w:tcPr>
          <w:p w14:paraId="033A85D7" w14:textId="77777777" w:rsidR="002B208F" w:rsidRPr="002647C7" w:rsidRDefault="002B208F" w:rsidP="009634C4">
            <w:pPr>
              <w:jc w:val="center"/>
              <w:rPr>
                <w:b/>
                <w:bCs/>
                <w:sz w:val="22"/>
                <w:szCs w:val="22"/>
              </w:rPr>
            </w:pPr>
            <w:r w:rsidRPr="002647C7">
              <w:rPr>
                <w:b/>
                <w:bCs/>
                <w:sz w:val="22"/>
                <w:szCs w:val="22"/>
              </w:rPr>
              <w:t>Financial Openness</w:t>
            </w:r>
          </w:p>
        </w:tc>
        <w:tc>
          <w:tcPr>
            <w:tcW w:w="1979" w:type="dxa"/>
          </w:tcPr>
          <w:p w14:paraId="772D444C" w14:textId="77777777" w:rsidR="002B208F" w:rsidRPr="002647C7" w:rsidRDefault="002B208F" w:rsidP="009634C4">
            <w:pPr>
              <w:jc w:val="center"/>
              <w:rPr>
                <w:b/>
                <w:bCs/>
                <w:sz w:val="22"/>
                <w:szCs w:val="22"/>
              </w:rPr>
            </w:pPr>
            <w:r w:rsidRPr="002647C7">
              <w:rPr>
                <w:b/>
                <w:bCs/>
                <w:sz w:val="22"/>
                <w:szCs w:val="22"/>
              </w:rPr>
              <w:t>Financial Deepening</w:t>
            </w:r>
          </w:p>
        </w:tc>
      </w:tr>
      <w:tr w:rsidR="002B208F" w14:paraId="43C8EFFD" w14:textId="77777777" w:rsidTr="009634C4">
        <w:tc>
          <w:tcPr>
            <w:tcW w:w="1435" w:type="dxa"/>
          </w:tcPr>
          <w:p w14:paraId="4892D09A" w14:textId="77777777" w:rsidR="002B208F" w:rsidRPr="002647C7" w:rsidRDefault="002B208F" w:rsidP="009634C4">
            <w:pPr>
              <w:rPr>
                <w:sz w:val="22"/>
                <w:szCs w:val="22"/>
              </w:rPr>
            </w:pPr>
            <w:r w:rsidRPr="002647C7">
              <w:rPr>
                <w:sz w:val="22"/>
                <w:szCs w:val="22"/>
              </w:rPr>
              <w:t>China</w:t>
            </w:r>
          </w:p>
        </w:tc>
        <w:tc>
          <w:tcPr>
            <w:tcW w:w="1978" w:type="dxa"/>
          </w:tcPr>
          <w:p w14:paraId="43598FB1" w14:textId="77777777" w:rsidR="002B208F" w:rsidRPr="002647C7" w:rsidRDefault="002B208F" w:rsidP="009634C4">
            <w:pPr>
              <w:jc w:val="center"/>
              <w:rPr>
                <w:sz w:val="22"/>
                <w:szCs w:val="22"/>
              </w:rPr>
            </w:pPr>
            <w:r w:rsidRPr="002647C7">
              <w:rPr>
                <w:sz w:val="22"/>
                <w:szCs w:val="22"/>
              </w:rPr>
              <w:t>Middle 33%</w:t>
            </w:r>
          </w:p>
        </w:tc>
        <w:tc>
          <w:tcPr>
            <w:tcW w:w="1979" w:type="dxa"/>
          </w:tcPr>
          <w:p w14:paraId="5DEA5AC8" w14:textId="77777777" w:rsidR="002B208F" w:rsidRPr="002647C7" w:rsidRDefault="002B208F" w:rsidP="009634C4">
            <w:pPr>
              <w:jc w:val="center"/>
              <w:rPr>
                <w:sz w:val="22"/>
                <w:szCs w:val="22"/>
              </w:rPr>
            </w:pPr>
            <w:r>
              <w:rPr>
                <w:sz w:val="22"/>
                <w:szCs w:val="22"/>
              </w:rPr>
              <w:t>Top 33%</w:t>
            </w:r>
          </w:p>
        </w:tc>
        <w:tc>
          <w:tcPr>
            <w:tcW w:w="1979" w:type="dxa"/>
          </w:tcPr>
          <w:p w14:paraId="02A99090" w14:textId="77777777" w:rsidR="002B208F" w:rsidRPr="002647C7" w:rsidRDefault="002B208F" w:rsidP="009634C4">
            <w:pPr>
              <w:jc w:val="center"/>
              <w:rPr>
                <w:sz w:val="22"/>
                <w:szCs w:val="22"/>
              </w:rPr>
            </w:pPr>
            <w:r>
              <w:rPr>
                <w:sz w:val="22"/>
                <w:szCs w:val="22"/>
              </w:rPr>
              <w:t>Bottom 33%</w:t>
            </w:r>
          </w:p>
        </w:tc>
        <w:tc>
          <w:tcPr>
            <w:tcW w:w="1979" w:type="dxa"/>
          </w:tcPr>
          <w:p w14:paraId="3E1B98FD" w14:textId="77777777" w:rsidR="002B208F" w:rsidRPr="002647C7" w:rsidRDefault="002B208F" w:rsidP="009634C4">
            <w:pPr>
              <w:jc w:val="center"/>
              <w:rPr>
                <w:sz w:val="22"/>
                <w:szCs w:val="22"/>
              </w:rPr>
            </w:pPr>
            <w:r>
              <w:rPr>
                <w:sz w:val="22"/>
                <w:szCs w:val="22"/>
              </w:rPr>
              <w:t>Middle 33%</w:t>
            </w:r>
          </w:p>
        </w:tc>
      </w:tr>
      <w:tr w:rsidR="002B208F" w14:paraId="38A80206" w14:textId="77777777" w:rsidTr="009634C4">
        <w:tc>
          <w:tcPr>
            <w:tcW w:w="1435" w:type="dxa"/>
          </w:tcPr>
          <w:p w14:paraId="0EAB91BB" w14:textId="77777777" w:rsidR="002B208F" w:rsidRPr="002647C7" w:rsidRDefault="002B208F" w:rsidP="009634C4">
            <w:pPr>
              <w:rPr>
                <w:sz w:val="22"/>
                <w:szCs w:val="22"/>
              </w:rPr>
            </w:pPr>
            <w:r w:rsidRPr="002647C7">
              <w:rPr>
                <w:sz w:val="22"/>
                <w:szCs w:val="22"/>
              </w:rPr>
              <w:t>Thailand</w:t>
            </w:r>
          </w:p>
        </w:tc>
        <w:tc>
          <w:tcPr>
            <w:tcW w:w="1978" w:type="dxa"/>
          </w:tcPr>
          <w:p w14:paraId="67027E16" w14:textId="77777777" w:rsidR="002B208F" w:rsidRPr="002647C7" w:rsidRDefault="002B208F" w:rsidP="009634C4">
            <w:pPr>
              <w:jc w:val="center"/>
              <w:rPr>
                <w:sz w:val="22"/>
                <w:szCs w:val="22"/>
              </w:rPr>
            </w:pPr>
            <w:r>
              <w:rPr>
                <w:sz w:val="22"/>
                <w:szCs w:val="22"/>
              </w:rPr>
              <w:t>Middle 33%</w:t>
            </w:r>
          </w:p>
        </w:tc>
        <w:tc>
          <w:tcPr>
            <w:tcW w:w="1979" w:type="dxa"/>
          </w:tcPr>
          <w:p w14:paraId="65ABF2F3" w14:textId="77777777" w:rsidR="002B208F" w:rsidRPr="002647C7" w:rsidRDefault="002B208F" w:rsidP="009634C4">
            <w:pPr>
              <w:jc w:val="center"/>
              <w:rPr>
                <w:sz w:val="22"/>
                <w:szCs w:val="22"/>
              </w:rPr>
            </w:pPr>
            <w:r>
              <w:rPr>
                <w:sz w:val="22"/>
                <w:szCs w:val="22"/>
              </w:rPr>
              <w:t>Top 33%</w:t>
            </w:r>
          </w:p>
        </w:tc>
        <w:tc>
          <w:tcPr>
            <w:tcW w:w="1979" w:type="dxa"/>
          </w:tcPr>
          <w:p w14:paraId="10942FC5" w14:textId="77777777" w:rsidR="002B208F" w:rsidRPr="002647C7" w:rsidRDefault="002B208F" w:rsidP="009634C4">
            <w:pPr>
              <w:jc w:val="center"/>
              <w:rPr>
                <w:sz w:val="22"/>
                <w:szCs w:val="22"/>
              </w:rPr>
            </w:pPr>
            <w:r>
              <w:rPr>
                <w:sz w:val="22"/>
                <w:szCs w:val="22"/>
              </w:rPr>
              <w:t>Middle 33%</w:t>
            </w:r>
          </w:p>
        </w:tc>
        <w:tc>
          <w:tcPr>
            <w:tcW w:w="1979" w:type="dxa"/>
          </w:tcPr>
          <w:p w14:paraId="1FF943BA" w14:textId="77777777" w:rsidR="002B208F" w:rsidRPr="002647C7" w:rsidRDefault="002B208F" w:rsidP="009634C4">
            <w:pPr>
              <w:jc w:val="center"/>
              <w:rPr>
                <w:sz w:val="22"/>
                <w:szCs w:val="22"/>
              </w:rPr>
            </w:pPr>
            <w:r>
              <w:rPr>
                <w:sz w:val="22"/>
                <w:szCs w:val="22"/>
              </w:rPr>
              <w:t>Middle 33%</w:t>
            </w:r>
          </w:p>
        </w:tc>
      </w:tr>
      <w:tr w:rsidR="002B208F" w14:paraId="248ED4D9" w14:textId="77777777" w:rsidTr="009634C4">
        <w:tc>
          <w:tcPr>
            <w:tcW w:w="1435" w:type="dxa"/>
          </w:tcPr>
          <w:p w14:paraId="206276A6" w14:textId="77777777" w:rsidR="002B208F" w:rsidRPr="002647C7" w:rsidRDefault="002B208F" w:rsidP="009634C4">
            <w:pPr>
              <w:rPr>
                <w:sz w:val="22"/>
                <w:szCs w:val="22"/>
              </w:rPr>
            </w:pPr>
            <w:r w:rsidRPr="002647C7">
              <w:rPr>
                <w:sz w:val="22"/>
                <w:szCs w:val="22"/>
              </w:rPr>
              <w:t>South Korea</w:t>
            </w:r>
          </w:p>
        </w:tc>
        <w:tc>
          <w:tcPr>
            <w:tcW w:w="1978" w:type="dxa"/>
          </w:tcPr>
          <w:p w14:paraId="7C6E894E" w14:textId="77777777" w:rsidR="002B208F" w:rsidRPr="002647C7" w:rsidRDefault="002B208F" w:rsidP="009634C4">
            <w:pPr>
              <w:jc w:val="center"/>
              <w:rPr>
                <w:sz w:val="22"/>
                <w:szCs w:val="22"/>
              </w:rPr>
            </w:pPr>
            <w:r>
              <w:rPr>
                <w:sz w:val="22"/>
                <w:szCs w:val="22"/>
              </w:rPr>
              <w:t>Top 33%</w:t>
            </w:r>
          </w:p>
        </w:tc>
        <w:tc>
          <w:tcPr>
            <w:tcW w:w="1979" w:type="dxa"/>
          </w:tcPr>
          <w:p w14:paraId="37966EB8" w14:textId="77777777" w:rsidR="002B208F" w:rsidRPr="002647C7" w:rsidRDefault="002B208F" w:rsidP="009634C4">
            <w:pPr>
              <w:jc w:val="center"/>
              <w:rPr>
                <w:sz w:val="22"/>
                <w:szCs w:val="22"/>
              </w:rPr>
            </w:pPr>
            <w:r>
              <w:rPr>
                <w:sz w:val="22"/>
                <w:szCs w:val="22"/>
              </w:rPr>
              <w:t>Middle 33%</w:t>
            </w:r>
          </w:p>
        </w:tc>
        <w:tc>
          <w:tcPr>
            <w:tcW w:w="1979" w:type="dxa"/>
          </w:tcPr>
          <w:p w14:paraId="21226C93" w14:textId="77777777" w:rsidR="002B208F" w:rsidRPr="002647C7" w:rsidRDefault="002B208F" w:rsidP="009634C4">
            <w:pPr>
              <w:jc w:val="center"/>
              <w:rPr>
                <w:sz w:val="22"/>
                <w:szCs w:val="22"/>
              </w:rPr>
            </w:pPr>
            <w:r>
              <w:rPr>
                <w:sz w:val="22"/>
                <w:szCs w:val="22"/>
              </w:rPr>
              <w:t>Middle 33%</w:t>
            </w:r>
          </w:p>
        </w:tc>
        <w:tc>
          <w:tcPr>
            <w:tcW w:w="1979" w:type="dxa"/>
          </w:tcPr>
          <w:p w14:paraId="40AC142D" w14:textId="77777777" w:rsidR="002B208F" w:rsidRPr="002647C7" w:rsidRDefault="002B208F" w:rsidP="009634C4">
            <w:pPr>
              <w:jc w:val="center"/>
              <w:rPr>
                <w:sz w:val="22"/>
                <w:szCs w:val="22"/>
              </w:rPr>
            </w:pPr>
            <w:r>
              <w:rPr>
                <w:sz w:val="22"/>
                <w:szCs w:val="22"/>
              </w:rPr>
              <w:t>Middle 33%</w:t>
            </w:r>
          </w:p>
        </w:tc>
      </w:tr>
    </w:tbl>
    <w:p w14:paraId="16883BC9" w14:textId="47B705A0" w:rsidR="002B208F" w:rsidRDefault="002B208F" w:rsidP="002B208F"/>
    <w:p w14:paraId="535FAE2E" w14:textId="18A9F97F" w:rsidR="009634C4" w:rsidRDefault="009634C4" w:rsidP="002B208F"/>
    <w:p w14:paraId="4BD54E5C" w14:textId="512BF55D" w:rsidR="009634C4" w:rsidRDefault="009634C4" w:rsidP="002B208F"/>
    <w:p w14:paraId="1E70D7BD" w14:textId="6A11372A" w:rsidR="009634C4" w:rsidRDefault="009634C4" w:rsidP="002B208F"/>
    <w:p w14:paraId="317E275E" w14:textId="4FB90435" w:rsidR="009634C4" w:rsidRDefault="009634C4" w:rsidP="002B208F"/>
    <w:p w14:paraId="07E354E7" w14:textId="4AE276E6" w:rsidR="009634C4" w:rsidRDefault="009634C4" w:rsidP="009634C4">
      <w:pPr>
        <w:spacing w:line="480" w:lineRule="auto"/>
        <w:jc w:val="center"/>
      </w:pPr>
      <w:r>
        <w:rPr>
          <w:b/>
          <w:bCs/>
        </w:rPr>
        <w:t xml:space="preserve">Table 9: </w:t>
      </w:r>
      <w:r>
        <w:t>Classification of the Countries excluded in the projection for each focused country</w:t>
      </w:r>
    </w:p>
    <w:tbl>
      <w:tblPr>
        <w:tblStyle w:val="TableGrid"/>
        <w:tblW w:w="0" w:type="auto"/>
        <w:tblLook w:val="04A0" w:firstRow="1" w:lastRow="0" w:firstColumn="1" w:lastColumn="0" w:noHBand="0" w:noVBand="1"/>
      </w:tblPr>
      <w:tblGrid>
        <w:gridCol w:w="1435"/>
        <w:gridCol w:w="1978"/>
        <w:gridCol w:w="1979"/>
        <w:gridCol w:w="1979"/>
        <w:gridCol w:w="1979"/>
      </w:tblGrid>
      <w:tr w:rsidR="002B208F" w:rsidRPr="002647C7" w14:paraId="7B9ADAE0" w14:textId="77777777" w:rsidTr="009634C4">
        <w:tc>
          <w:tcPr>
            <w:tcW w:w="1435" w:type="dxa"/>
          </w:tcPr>
          <w:p w14:paraId="036A5548" w14:textId="77777777" w:rsidR="002B208F" w:rsidRPr="002647C7" w:rsidRDefault="002B208F" w:rsidP="009634C4">
            <w:pPr>
              <w:rPr>
                <w:b/>
                <w:bCs/>
                <w:sz w:val="22"/>
                <w:szCs w:val="22"/>
              </w:rPr>
            </w:pPr>
            <w:r w:rsidRPr="002647C7">
              <w:rPr>
                <w:b/>
                <w:bCs/>
                <w:sz w:val="22"/>
                <w:szCs w:val="22"/>
              </w:rPr>
              <w:t>Country</w:t>
            </w:r>
            <w:r>
              <w:rPr>
                <w:b/>
                <w:bCs/>
                <w:sz w:val="22"/>
                <w:szCs w:val="22"/>
              </w:rPr>
              <w:t>/ Excluded Countries</w:t>
            </w:r>
          </w:p>
        </w:tc>
        <w:tc>
          <w:tcPr>
            <w:tcW w:w="1978" w:type="dxa"/>
          </w:tcPr>
          <w:p w14:paraId="215654AB" w14:textId="77777777" w:rsidR="002B208F" w:rsidRPr="002647C7" w:rsidRDefault="002B208F" w:rsidP="009634C4">
            <w:pPr>
              <w:jc w:val="center"/>
              <w:rPr>
                <w:b/>
                <w:bCs/>
                <w:sz w:val="22"/>
                <w:szCs w:val="22"/>
              </w:rPr>
            </w:pPr>
            <w:r w:rsidRPr="002647C7">
              <w:rPr>
                <w:b/>
                <w:bCs/>
                <w:sz w:val="22"/>
                <w:szCs w:val="22"/>
              </w:rPr>
              <w:t>Life Expectancy</w:t>
            </w:r>
          </w:p>
        </w:tc>
        <w:tc>
          <w:tcPr>
            <w:tcW w:w="1979" w:type="dxa"/>
          </w:tcPr>
          <w:p w14:paraId="07FAEFBA" w14:textId="77777777" w:rsidR="002B208F" w:rsidRPr="002647C7" w:rsidRDefault="002B208F" w:rsidP="009634C4">
            <w:pPr>
              <w:jc w:val="center"/>
              <w:rPr>
                <w:b/>
                <w:bCs/>
                <w:sz w:val="22"/>
                <w:szCs w:val="22"/>
              </w:rPr>
            </w:pPr>
            <w:r w:rsidRPr="002647C7">
              <w:rPr>
                <w:b/>
                <w:bCs/>
                <w:sz w:val="22"/>
                <w:szCs w:val="22"/>
              </w:rPr>
              <w:t>Social Security</w:t>
            </w:r>
          </w:p>
        </w:tc>
        <w:tc>
          <w:tcPr>
            <w:tcW w:w="1979" w:type="dxa"/>
          </w:tcPr>
          <w:p w14:paraId="40CB709C" w14:textId="77777777" w:rsidR="002B208F" w:rsidRPr="002647C7" w:rsidRDefault="002B208F" w:rsidP="009634C4">
            <w:pPr>
              <w:jc w:val="center"/>
              <w:rPr>
                <w:b/>
                <w:bCs/>
                <w:sz w:val="22"/>
                <w:szCs w:val="22"/>
              </w:rPr>
            </w:pPr>
            <w:r w:rsidRPr="002647C7">
              <w:rPr>
                <w:b/>
                <w:bCs/>
                <w:sz w:val="22"/>
                <w:szCs w:val="22"/>
              </w:rPr>
              <w:t>Financial Openness</w:t>
            </w:r>
          </w:p>
        </w:tc>
        <w:tc>
          <w:tcPr>
            <w:tcW w:w="1979" w:type="dxa"/>
          </w:tcPr>
          <w:p w14:paraId="57ABF9CC" w14:textId="77777777" w:rsidR="002B208F" w:rsidRPr="002647C7" w:rsidRDefault="002B208F" w:rsidP="009634C4">
            <w:pPr>
              <w:jc w:val="center"/>
              <w:rPr>
                <w:b/>
                <w:bCs/>
                <w:sz w:val="22"/>
                <w:szCs w:val="22"/>
              </w:rPr>
            </w:pPr>
            <w:r w:rsidRPr="002647C7">
              <w:rPr>
                <w:b/>
                <w:bCs/>
                <w:sz w:val="22"/>
                <w:szCs w:val="22"/>
              </w:rPr>
              <w:t>Financial Deepening</w:t>
            </w:r>
          </w:p>
        </w:tc>
      </w:tr>
      <w:tr w:rsidR="002B208F" w:rsidRPr="002647C7" w14:paraId="2F53D68A" w14:textId="77777777" w:rsidTr="009634C4">
        <w:tc>
          <w:tcPr>
            <w:tcW w:w="1435" w:type="dxa"/>
          </w:tcPr>
          <w:p w14:paraId="7ECBC66C" w14:textId="77777777" w:rsidR="002B208F" w:rsidRPr="002647C7" w:rsidRDefault="002B208F" w:rsidP="009634C4">
            <w:pPr>
              <w:rPr>
                <w:sz w:val="22"/>
                <w:szCs w:val="22"/>
              </w:rPr>
            </w:pPr>
            <w:r w:rsidRPr="002647C7">
              <w:rPr>
                <w:sz w:val="22"/>
                <w:szCs w:val="22"/>
              </w:rPr>
              <w:t>China</w:t>
            </w:r>
          </w:p>
        </w:tc>
        <w:tc>
          <w:tcPr>
            <w:tcW w:w="1978" w:type="dxa"/>
          </w:tcPr>
          <w:p w14:paraId="6A881199" w14:textId="77777777" w:rsidR="002B208F" w:rsidRPr="002647C7" w:rsidRDefault="002B208F" w:rsidP="009634C4">
            <w:pPr>
              <w:jc w:val="center"/>
              <w:rPr>
                <w:sz w:val="22"/>
                <w:szCs w:val="22"/>
              </w:rPr>
            </w:pPr>
            <w:r>
              <w:rPr>
                <w:sz w:val="22"/>
                <w:szCs w:val="22"/>
              </w:rPr>
              <w:t>Bottom 33%</w:t>
            </w:r>
          </w:p>
        </w:tc>
        <w:tc>
          <w:tcPr>
            <w:tcW w:w="1979" w:type="dxa"/>
          </w:tcPr>
          <w:p w14:paraId="0117F7DF" w14:textId="77777777" w:rsidR="002B208F" w:rsidRPr="002647C7" w:rsidRDefault="002B208F" w:rsidP="009634C4">
            <w:pPr>
              <w:jc w:val="center"/>
              <w:rPr>
                <w:sz w:val="22"/>
                <w:szCs w:val="22"/>
              </w:rPr>
            </w:pPr>
            <w:r>
              <w:rPr>
                <w:sz w:val="22"/>
                <w:szCs w:val="22"/>
              </w:rPr>
              <w:t>Bottom 66%</w:t>
            </w:r>
          </w:p>
        </w:tc>
        <w:tc>
          <w:tcPr>
            <w:tcW w:w="1979" w:type="dxa"/>
          </w:tcPr>
          <w:p w14:paraId="0F8CDEF6" w14:textId="77777777" w:rsidR="002B208F" w:rsidRPr="002647C7" w:rsidRDefault="002B208F" w:rsidP="009634C4">
            <w:pPr>
              <w:jc w:val="center"/>
              <w:rPr>
                <w:sz w:val="22"/>
                <w:szCs w:val="22"/>
              </w:rPr>
            </w:pPr>
            <w:r>
              <w:rPr>
                <w:sz w:val="22"/>
                <w:szCs w:val="22"/>
              </w:rPr>
              <w:t>None</w:t>
            </w:r>
          </w:p>
        </w:tc>
        <w:tc>
          <w:tcPr>
            <w:tcW w:w="1979" w:type="dxa"/>
          </w:tcPr>
          <w:p w14:paraId="2A5238A5" w14:textId="77777777" w:rsidR="002B208F" w:rsidRPr="002647C7" w:rsidRDefault="002B208F" w:rsidP="009634C4">
            <w:pPr>
              <w:jc w:val="center"/>
              <w:rPr>
                <w:sz w:val="22"/>
                <w:szCs w:val="22"/>
              </w:rPr>
            </w:pPr>
            <w:r>
              <w:rPr>
                <w:sz w:val="22"/>
                <w:szCs w:val="22"/>
              </w:rPr>
              <w:t>Bottom 33%</w:t>
            </w:r>
          </w:p>
        </w:tc>
      </w:tr>
      <w:tr w:rsidR="002B208F" w:rsidRPr="002647C7" w14:paraId="4A5E9AE3" w14:textId="77777777" w:rsidTr="009634C4">
        <w:tc>
          <w:tcPr>
            <w:tcW w:w="1435" w:type="dxa"/>
          </w:tcPr>
          <w:p w14:paraId="3E5A3DFE" w14:textId="77777777" w:rsidR="002B208F" w:rsidRPr="002647C7" w:rsidRDefault="002B208F" w:rsidP="009634C4">
            <w:pPr>
              <w:rPr>
                <w:sz w:val="22"/>
                <w:szCs w:val="22"/>
              </w:rPr>
            </w:pPr>
            <w:r w:rsidRPr="002647C7">
              <w:rPr>
                <w:sz w:val="22"/>
                <w:szCs w:val="22"/>
              </w:rPr>
              <w:t>Thailand</w:t>
            </w:r>
          </w:p>
        </w:tc>
        <w:tc>
          <w:tcPr>
            <w:tcW w:w="1978" w:type="dxa"/>
          </w:tcPr>
          <w:p w14:paraId="270910E7" w14:textId="77777777" w:rsidR="002B208F" w:rsidRPr="002647C7" w:rsidRDefault="002B208F" w:rsidP="009634C4">
            <w:pPr>
              <w:jc w:val="center"/>
              <w:rPr>
                <w:sz w:val="22"/>
                <w:szCs w:val="22"/>
              </w:rPr>
            </w:pPr>
            <w:r>
              <w:rPr>
                <w:sz w:val="22"/>
                <w:szCs w:val="22"/>
              </w:rPr>
              <w:t>Bottom 33%</w:t>
            </w:r>
          </w:p>
        </w:tc>
        <w:tc>
          <w:tcPr>
            <w:tcW w:w="1979" w:type="dxa"/>
          </w:tcPr>
          <w:p w14:paraId="21DA44FD" w14:textId="77777777" w:rsidR="002B208F" w:rsidRPr="002647C7" w:rsidRDefault="002B208F" w:rsidP="009634C4">
            <w:pPr>
              <w:jc w:val="center"/>
              <w:rPr>
                <w:sz w:val="22"/>
                <w:szCs w:val="22"/>
              </w:rPr>
            </w:pPr>
            <w:r>
              <w:rPr>
                <w:sz w:val="22"/>
                <w:szCs w:val="22"/>
              </w:rPr>
              <w:t>Bottom 66%</w:t>
            </w:r>
          </w:p>
        </w:tc>
        <w:tc>
          <w:tcPr>
            <w:tcW w:w="1979" w:type="dxa"/>
          </w:tcPr>
          <w:p w14:paraId="4D9553EF" w14:textId="77777777" w:rsidR="002B208F" w:rsidRPr="002647C7" w:rsidRDefault="002B208F" w:rsidP="009634C4">
            <w:pPr>
              <w:jc w:val="center"/>
              <w:rPr>
                <w:sz w:val="22"/>
                <w:szCs w:val="22"/>
              </w:rPr>
            </w:pPr>
            <w:r>
              <w:rPr>
                <w:sz w:val="22"/>
                <w:szCs w:val="22"/>
              </w:rPr>
              <w:t>None</w:t>
            </w:r>
          </w:p>
        </w:tc>
        <w:tc>
          <w:tcPr>
            <w:tcW w:w="1979" w:type="dxa"/>
          </w:tcPr>
          <w:p w14:paraId="74C1D03D" w14:textId="77777777" w:rsidR="002B208F" w:rsidRPr="002647C7" w:rsidRDefault="002B208F" w:rsidP="009634C4">
            <w:pPr>
              <w:jc w:val="center"/>
              <w:rPr>
                <w:sz w:val="22"/>
                <w:szCs w:val="22"/>
              </w:rPr>
            </w:pPr>
            <w:r>
              <w:rPr>
                <w:sz w:val="22"/>
                <w:szCs w:val="22"/>
              </w:rPr>
              <w:t>Bottom 33%</w:t>
            </w:r>
          </w:p>
        </w:tc>
      </w:tr>
      <w:tr w:rsidR="002B208F" w:rsidRPr="002647C7" w14:paraId="02C643B9" w14:textId="77777777" w:rsidTr="009634C4">
        <w:tc>
          <w:tcPr>
            <w:tcW w:w="1435" w:type="dxa"/>
          </w:tcPr>
          <w:p w14:paraId="2A68D181" w14:textId="77777777" w:rsidR="002B208F" w:rsidRPr="002647C7" w:rsidRDefault="002B208F" w:rsidP="009634C4">
            <w:pPr>
              <w:rPr>
                <w:sz w:val="22"/>
                <w:szCs w:val="22"/>
              </w:rPr>
            </w:pPr>
            <w:r w:rsidRPr="002647C7">
              <w:rPr>
                <w:sz w:val="22"/>
                <w:szCs w:val="22"/>
              </w:rPr>
              <w:t>South Korea</w:t>
            </w:r>
          </w:p>
        </w:tc>
        <w:tc>
          <w:tcPr>
            <w:tcW w:w="1978" w:type="dxa"/>
          </w:tcPr>
          <w:p w14:paraId="123A0FF1" w14:textId="77777777" w:rsidR="002B208F" w:rsidRPr="002647C7" w:rsidRDefault="002B208F" w:rsidP="009634C4">
            <w:pPr>
              <w:jc w:val="center"/>
              <w:rPr>
                <w:sz w:val="22"/>
                <w:szCs w:val="22"/>
              </w:rPr>
            </w:pPr>
            <w:r>
              <w:rPr>
                <w:sz w:val="22"/>
                <w:szCs w:val="22"/>
              </w:rPr>
              <w:t>Bottom 33%</w:t>
            </w:r>
          </w:p>
        </w:tc>
        <w:tc>
          <w:tcPr>
            <w:tcW w:w="1979" w:type="dxa"/>
          </w:tcPr>
          <w:p w14:paraId="58824E5E" w14:textId="77777777" w:rsidR="002B208F" w:rsidRPr="002647C7" w:rsidRDefault="002B208F" w:rsidP="009634C4">
            <w:pPr>
              <w:jc w:val="center"/>
              <w:rPr>
                <w:sz w:val="22"/>
                <w:szCs w:val="22"/>
              </w:rPr>
            </w:pPr>
            <w:r>
              <w:rPr>
                <w:sz w:val="22"/>
                <w:szCs w:val="22"/>
              </w:rPr>
              <w:t>Bottom 33% and Top 33%</w:t>
            </w:r>
          </w:p>
        </w:tc>
        <w:tc>
          <w:tcPr>
            <w:tcW w:w="1979" w:type="dxa"/>
          </w:tcPr>
          <w:p w14:paraId="1A05405F" w14:textId="77777777" w:rsidR="002B208F" w:rsidRPr="002647C7" w:rsidRDefault="002B208F" w:rsidP="009634C4">
            <w:pPr>
              <w:jc w:val="center"/>
              <w:rPr>
                <w:sz w:val="22"/>
                <w:szCs w:val="22"/>
              </w:rPr>
            </w:pPr>
            <w:r>
              <w:rPr>
                <w:sz w:val="22"/>
                <w:szCs w:val="22"/>
              </w:rPr>
              <w:t>None</w:t>
            </w:r>
          </w:p>
        </w:tc>
        <w:tc>
          <w:tcPr>
            <w:tcW w:w="1979" w:type="dxa"/>
          </w:tcPr>
          <w:p w14:paraId="56833648" w14:textId="77777777" w:rsidR="002B208F" w:rsidRPr="002647C7" w:rsidRDefault="002B208F" w:rsidP="009634C4">
            <w:pPr>
              <w:jc w:val="center"/>
              <w:rPr>
                <w:sz w:val="22"/>
                <w:szCs w:val="22"/>
              </w:rPr>
            </w:pPr>
            <w:r>
              <w:rPr>
                <w:sz w:val="22"/>
                <w:szCs w:val="22"/>
              </w:rPr>
              <w:t>Bottom 33%</w:t>
            </w:r>
          </w:p>
        </w:tc>
      </w:tr>
    </w:tbl>
    <w:p w14:paraId="3CA4974F" w14:textId="77777777" w:rsidR="00214B02" w:rsidRDefault="00214B02" w:rsidP="0035674B"/>
    <w:p w14:paraId="6162CC83" w14:textId="264C95DB" w:rsidR="00D06FC0" w:rsidRDefault="00D06FC0" w:rsidP="0035674B"/>
    <w:p w14:paraId="631DCB59" w14:textId="090EF88A" w:rsidR="00D06FC0" w:rsidRDefault="00D06FC0" w:rsidP="0035674B"/>
    <w:p w14:paraId="1E618C7E" w14:textId="3E68A36F" w:rsidR="00D06FC0" w:rsidRDefault="00D06FC0" w:rsidP="0035674B"/>
    <w:p w14:paraId="4F52A021" w14:textId="2FD604C8" w:rsidR="002B208F" w:rsidRDefault="002B208F" w:rsidP="0035674B"/>
    <w:p w14:paraId="40822A9F" w14:textId="5CA9F7EB" w:rsidR="002B208F" w:rsidRDefault="002B208F" w:rsidP="0035674B"/>
    <w:p w14:paraId="7F98CA42" w14:textId="239448A7" w:rsidR="002B208F" w:rsidRDefault="002B208F" w:rsidP="0035674B"/>
    <w:p w14:paraId="0AB4001E" w14:textId="36754362" w:rsidR="002B208F" w:rsidRDefault="002B208F" w:rsidP="0035674B"/>
    <w:p w14:paraId="4BA6E131" w14:textId="5C19DF6E" w:rsidR="002B208F" w:rsidRDefault="002B208F" w:rsidP="0035674B"/>
    <w:p w14:paraId="679D5580" w14:textId="19E607D6" w:rsidR="002B208F" w:rsidRDefault="002B208F" w:rsidP="0035674B"/>
    <w:p w14:paraId="28C76BA5" w14:textId="057956B0" w:rsidR="002B208F" w:rsidRDefault="002B208F" w:rsidP="0035674B"/>
    <w:p w14:paraId="1AFF44D4" w14:textId="4E0036E8" w:rsidR="002B208F" w:rsidRDefault="002B208F" w:rsidP="0035674B"/>
    <w:p w14:paraId="79473D77" w14:textId="3D0E009B" w:rsidR="002B208F" w:rsidRDefault="002B208F" w:rsidP="0035674B"/>
    <w:p w14:paraId="5D3A163F" w14:textId="187443DC" w:rsidR="002B208F" w:rsidRDefault="002B208F" w:rsidP="0035674B"/>
    <w:p w14:paraId="3F5C01A6" w14:textId="47B81605" w:rsidR="002B208F" w:rsidRDefault="002B208F" w:rsidP="0035674B"/>
    <w:p w14:paraId="7C319A0D" w14:textId="15EFD591" w:rsidR="002B208F" w:rsidRDefault="002B208F" w:rsidP="0035674B"/>
    <w:p w14:paraId="2CE0E46F" w14:textId="4AA8381C" w:rsidR="002B208F" w:rsidRDefault="002B208F" w:rsidP="0035674B"/>
    <w:p w14:paraId="327D7672" w14:textId="1235B8F3" w:rsidR="002B208F" w:rsidRDefault="002B208F" w:rsidP="0035674B"/>
    <w:p w14:paraId="32050B55" w14:textId="0690998B" w:rsidR="002B208F" w:rsidRDefault="002B208F" w:rsidP="0035674B"/>
    <w:p w14:paraId="745F1EEB" w14:textId="00320AC5" w:rsidR="002B208F" w:rsidRDefault="002B208F" w:rsidP="0035674B"/>
    <w:p w14:paraId="1AD3E28A" w14:textId="4DA679BC" w:rsidR="002B208F" w:rsidRDefault="002B208F" w:rsidP="0035674B"/>
    <w:p w14:paraId="069912F8" w14:textId="39795643" w:rsidR="002B208F" w:rsidRDefault="002B208F" w:rsidP="0035674B"/>
    <w:p w14:paraId="7EEF1B95" w14:textId="36021BC4" w:rsidR="002B208F" w:rsidRDefault="002B208F" w:rsidP="0035674B"/>
    <w:p w14:paraId="0905816E" w14:textId="77FBB80D" w:rsidR="002B208F" w:rsidRDefault="002B208F" w:rsidP="0035674B"/>
    <w:p w14:paraId="0ED0C3CF" w14:textId="79F4A40D" w:rsidR="00364838" w:rsidRDefault="00364838" w:rsidP="0035674B"/>
    <w:p w14:paraId="4E4A3595" w14:textId="0FF671E5" w:rsidR="009634C4" w:rsidRDefault="009634C4" w:rsidP="0035674B"/>
    <w:p w14:paraId="7C7C0CB8" w14:textId="3E00E754" w:rsidR="009634C4" w:rsidRDefault="009634C4" w:rsidP="0035674B"/>
    <w:p w14:paraId="43B75E5A" w14:textId="77777777" w:rsidR="009634C4" w:rsidRDefault="009634C4" w:rsidP="0035674B"/>
    <w:p w14:paraId="005A3D56" w14:textId="77777777" w:rsidR="002B208F" w:rsidRDefault="002B208F" w:rsidP="002B208F"/>
    <w:p w14:paraId="20EFB754" w14:textId="6CAB7E8E" w:rsidR="002B208F" w:rsidRDefault="002B208F" w:rsidP="002B208F">
      <w:pPr>
        <w:jc w:val="center"/>
      </w:pPr>
      <w:r>
        <w:rPr>
          <w:b/>
          <w:bCs/>
        </w:rPr>
        <w:t xml:space="preserve">Figure 1: </w:t>
      </w:r>
      <w:r>
        <w:t>Current Account Balance to GDP of China and United States</w:t>
      </w:r>
    </w:p>
    <w:p w14:paraId="0A2301F4" w14:textId="77777777" w:rsidR="009634C4" w:rsidRPr="004374B8" w:rsidRDefault="009634C4" w:rsidP="002B208F">
      <w:pPr>
        <w:jc w:val="center"/>
      </w:pPr>
    </w:p>
    <w:p w14:paraId="2758D601" w14:textId="77777777" w:rsidR="002B208F" w:rsidRDefault="002B208F" w:rsidP="002B208F">
      <w:r>
        <w:rPr>
          <w:noProof/>
        </w:rPr>
        <w:drawing>
          <wp:anchor distT="0" distB="0" distL="114300" distR="114300" simplePos="0" relativeHeight="251673600" behindDoc="0" locked="0" layoutInCell="1" allowOverlap="1" wp14:anchorId="70448F2E" wp14:editId="1135DA50">
            <wp:simplePos x="0" y="0"/>
            <wp:positionH relativeFrom="column">
              <wp:posOffset>898525</wp:posOffset>
            </wp:positionH>
            <wp:positionV relativeFrom="paragraph">
              <wp:posOffset>97790</wp:posOffset>
            </wp:positionV>
            <wp:extent cx="4283581" cy="3116580"/>
            <wp:effectExtent l="0" t="0" r="3175" b="7620"/>
            <wp:wrapNone/>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83581" cy="3116580"/>
                    </a:xfrm>
                    <a:prstGeom prst="rect">
                      <a:avLst/>
                    </a:prstGeom>
                  </pic:spPr>
                </pic:pic>
              </a:graphicData>
            </a:graphic>
            <wp14:sizeRelH relativeFrom="margin">
              <wp14:pctWidth>0</wp14:pctWidth>
            </wp14:sizeRelH>
            <wp14:sizeRelV relativeFrom="margin">
              <wp14:pctHeight>0</wp14:pctHeight>
            </wp14:sizeRelV>
          </wp:anchor>
        </w:drawing>
      </w:r>
    </w:p>
    <w:p w14:paraId="1616A6FA" w14:textId="77777777" w:rsidR="002B208F" w:rsidRDefault="002B208F" w:rsidP="002B208F"/>
    <w:p w14:paraId="7E108AA6" w14:textId="77777777" w:rsidR="002B208F" w:rsidRDefault="002B208F" w:rsidP="002B208F"/>
    <w:p w14:paraId="5BA40D98" w14:textId="77777777" w:rsidR="002B208F" w:rsidRDefault="002B208F" w:rsidP="002B208F"/>
    <w:p w14:paraId="3FAA73D5" w14:textId="77777777" w:rsidR="002B208F" w:rsidRDefault="002B208F" w:rsidP="002B208F"/>
    <w:p w14:paraId="092A96A3" w14:textId="77777777" w:rsidR="002B208F" w:rsidRDefault="002B208F" w:rsidP="002B208F"/>
    <w:p w14:paraId="41E1A00A" w14:textId="77777777" w:rsidR="002B208F" w:rsidRDefault="002B208F" w:rsidP="002B208F"/>
    <w:p w14:paraId="07C57BA6" w14:textId="77777777" w:rsidR="002B208F" w:rsidRDefault="002B208F" w:rsidP="002B208F"/>
    <w:p w14:paraId="3E2544E1" w14:textId="77777777" w:rsidR="002B208F" w:rsidRDefault="002B208F" w:rsidP="002B208F"/>
    <w:p w14:paraId="36D040B5" w14:textId="77777777" w:rsidR="002B208F" w:rsidRDefault="002B208F" w:rsidP="002B208F"/>
    <w:p w14:paraId="6E4F38D7" w14:textId="77777777" w:rsidR="002B208F" w:rsidRDefault="002B208F" w:rsidP="002B208F"/>
    <w:p w14:paraId="18C94794" w14:textId="7CCBBB39" w:rsidR="002B208F" w:rsidRDefault="002B208F" w:rsidP="0035674B"/>
    <w:p w14:paraId="2EDA7E55" w14:textId="0F2D49D7" w:rsidR="002B208F" w:rsidRDefault="002B208F" w:rsidP="0035674B"/>
    <w:p w14:paraId="5776711B" w14:textId="75DDF4E4" w:rsidR="002B208F" w:rsidRDefault="002B208F" w:rsidP="0035674B"/>
    <w:p w14:paraId="5F08D818" w14:textId="715707ED" w:rsidR="002B208F" w:rsidRDefault="002B208F" w:rsidP="0035674B"/>
    <w:p w14:paraId="32D80EED" w14:textId="25C16F71" w:rsidR="002B208F" w:rsidRDefault="002B208F" w:rsidP="0035674B"/>
    <w:p w14:paraId="08DD179F" w14:textId="24DFF2E0" w:rsidR="002B208F" w:rsidRDefault="002B208F" w:rsidP="0035674B"/>
    <w:p w14:paraId="3E75331F" w14:textId="31370B7F" w:rsidR="002B208F" w:rsidRDefault="002B208F" w:rsidP="0035674B"/>
    <w:p w14:paraId="27C0DBCF" w14:textId="2CBD516B" w:rsidR="002B208F" w:rsidRDefault="002B208F" w:rsidP="0035674B"/>
    <w:p w14:paraId="75E938B4" w14:textId="0F31527F" w:rsidR="002B208F" w:rsidRDefault="002B208F" w:rsidP="0035674B"/>
    <w:p w14:paraId="036E753B" w14:textId="7EBC4BAB" w:rsidR="009634C4" w:rsidRDefault="009634C4" w:rsidP="0035674B"/>
    <w:p w14:paraId="18AFEC97" w14:textId="77777777" w:rsidR="0015403C" w:rsidRDefault="0015403C" w:rsidP="0035674B"/>
    <w:p w14:paraId="64113CED" w14:textId="4FF5612F" w:rsidR="0087713E" w:rsidRDefault="004374B8" w:rsidP="0015403C">
      <w:pPr>
        <w:jc w:val="center"/>
      </w:pPr>
      <w:r>
        <w:rPr>
          <w:b/>
          <w:bCs/>
        </w:rPr>
        <w:t xml:space="preserve">Figure </w:t>
      </w:r>
      <w:r w:rsidR="002B208F">
        <w:rPr>
          <w:b/>
          <w:bCs/>
        </w:rPr>
        <w:t>2</w:t>
      </w:r>
      <w:r>
        <w:rPr>
          <w:b/>
          <w:bCs/>
        </w:rPr>
        <w:t xml:space="preserve">: </w:t>
      </w:r>
      <w:r>
        <w:t>Population Projections of Eastern and South-Eastern Asia</w:t>
      </w:r>
    </w:p>
    <w:p w14:paraId="139E3A6B" w14:textId="77777777" w:rsidR="009634C4" w:rsidRPr="004374B8" w:rsidRDefault="009634C4" w:rsidP="004374B8">
      <w:pPr>
        <w:jc w:val="center"/>
      </w:pPr>
    </w:p>
    <w:p w14:paraId="39BD9E57" w14:textId="58595165" w:rsidR="0087713E" w:rsidRDefault="00D06FC0" w:rsidP="0035674B">
      <w:r w:rsidRPr="001903A0">
        <w:rPr>
          <w:noProof/>
        </w:rPr>
        <w:drawing>
          <wp:anchor distT="0" distB="0" distL="114300" distR="114300" simplePos="0" relativeHeight="251659264" behindDoc="0" locked="0" layoutInCell="1" allowOverlap="1" wp14:anchorId="18083986" wp14:editId="5C86F6B6">
            <wp:simplePos x="0" y="0"/>
            <wp:positionH relativeFrom="column">
              <wp:posOffset>784860</wp:posOffset>
            </wp:positionH>
            <wp:positionV relativeFrom="paragraph">
              <wp:posOffset>38735</wp:posOffset>
            </wp:positionV>
            <wp:extent cx="4396740" cy="30321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96740" cy="3032125"/>
                    </a:xfrm>
                    <a:prstGeom prst="rect">
                      <a:avLst/>
                    </a:prstGeom>
                  </pic:spPr>
                </pic:pic>
              </a:graphicData>
            </a:graphic>
          </wp:anchor>
        </w:drawing>
      </w:r>
    </w:p>
    <w:p w14:paraId="014E25A0" w14:textId="3EE3F893" w:rsidR="0087713E" w:rsidRDefault="0087713E" w:rsidP="0035674B"/>
    <w:p w14:paraId="399D64F8" w14:textId="5D93D85E" w:rsidR="0087713E" w:rsidRDefault="0087713E" w:rsidP="0035674B"/>
    <w:p w14:paraId="706DF90D" w14:textId="0907AEEC" w:rsidR="0087713E" w:rsidRDefault="0087713E" w:rsidP="0035674B"/>
    <w:p w14:paraId="6145740E" w14:textId="77777777" w:rsidR="0087713E" w:rsidRDefault="0087713E" w:rsidP="0035674B"/>
    <w:p w14:paraId="5DC9C4D3" w14:textId="0829C470" w:rsidR="0087713E" w:rsidRDefault="0087713E" w:rsidP="0035674B"/>
    <w:p w14:paraId="692D8FD5" w14:textId="77777777" w:rsidR="0087713E" w:rsidRDefault="0087713E" w:rsidP="0035674B"/>
    <w:p w14:paraId="09B81975" w14:textId="064D29B9" w:rsidR="0087713E" w:rsidRDefault="0087713E" w:rsidP="0035674B"/>
    <w:p w14:paraId="246964F0" w14:textId="77777777" w:rsidR="0087713E" w:rsidRDefault="0087713E" w:rsidP="0035674B"/>
    <w:p w14:paraId="36DD0ED8" w14:textId="779EADE0" w:rsidR="0087713E" w:rsidRDefault="0087713E" w:rsidP="0035674B"/>
    <w:p w14:paraId="5F3C0B6A" w14:textId="524D1EE7" w:rsidR="004374B8" w:rsidRDefault="004374B8" w:rsidP="0035674B"/>
    <w:p w14:paraId="09B2F71F" w14:textId="525CA5A6" w:rsidR="004374B8" w:rsidRDefault="004374B8" w:rsidP="0035674B"/>
    <w:p w14:paraId="08E3DCAA" w14:textId="51DF6554" w:rsidR="004374B8" w:rsidRDefault="004374B8" w:rsidP="0035674B"/>
    <w:p w14:paraId="023F30CB" w14:textId="4D3F9717" w:rsidR="002B208F" w:rsidRDefault="002B208F" w:rsidP="0035674B"/>
    <w:p w14:paraId="1B9421CE" w14:textId="1CE19B27" w:rsidR="002B208F" w:rsidRDefault="002B208F" w:rsidP="0035674B"/>
    <w:p w14:paraId="1609ED4E" w14:textId="15E17D6A" w:rsidR="002B208F" w:rsidRDefault="002B208F" w:rsidP="0035674B"/>
    <w:p w14:paraId="06950834" w14:textId="1E686B50" w:rsidR="002B208F" w:rsidRDefault="002B208F" w:rsidP="0035674B"/>
    <w:p w14:paraId="2EED53C5" w14:textId="3833D564" w:rsidR="009634C4" w:rsidRDefault="009634C4" w:rsidP="009634C4"/>
    <w:p w14:paraId="1F5758D2" w14:textId="74F739F1" w:rsidR="002B208F" w:rsidRDefault="002B208F" w:rsidP="0035674B"/>
    <w:p w14:paraId="0402A6A6" w14:textId="74BFCF58" w:rsidR="004374B8" w:rsidRDefault="004374B8" w:rsidP="0035674B"/>
    <w:p w14:paraId="426B6AEC" w14:textId="77777777" w:rsidR="0087713E" w:rsidRDefault="0087713E" w:rsidP="0035674B"/>
    <w:p w14:paraId="2D468FA1" w14:textId="77777777" w:rsidR="0087713E" w:rsidRDefault="0087713E" w:rsidP="0035674B"/>
    <w:p w14:paraId="651B2779" w14:textId="77777777" w:rsidR="009634C4" w:rsidRDefault="009634C4" w:rsidP="00650984">
      <w:pPr>
        <w:jc w:val="center"/>
        <w:rPr>
          <w:b/>
          <w:bCs/>
        </w:rPr>
      </w:pPr>
    </w:p>
    <w:p w14:paraId="4E34A85E" w14:textId="77777777" w:rsidR="009634C4" w:rsidRDefault="009634C4" w:rsidP="0015403C">
      <w:pPr>
        <w:rPr>
          <w:b/>
          <w:bCs/>
        </w:rPr>
      </w:pPr>
    </w:p>
    <w:p w14:paraId="15DAB3CC" w14:textId="77777777" w:rsidR="009634C4" w:rsidRDefault="009634C4" w:rsidP="00650984">
      <w:pPr>
        <w:jc w:val="center"/>
        <w:rPr>
          <w:b/>
          <w:bCs/>
        </w:rPr>
      </w:pPr>
    </w:p>
    <w:p w14:paraId="127E0217" w14:textId="77777777" w:rsidR="009634C4" w:rsidRDefault="009634C4" w:rsidP="00650984">
      <w:pPr>
        <w:jc w:val="center"/>
        <w:rPr>
          <w:b/>
          <w:bCs/>
        </w:rPr>
      </w:pPr>
    </w:p>
    <w:p w14:paraId="5F98BB10" w14:textId="77777777" w:rsidR="009634C4" w:rsidRDefault="009634C4" w:rsidP="00650984">
      <w:pPr>
        <w:jc w:val="center"/>
        <w:rPr>
          <w:b/>
          <w:bCs/>
        </w:rPr>
      </w:pPr>
    </w:p>
    <w:p w14:paraId="5E5DB6D6" w14:textId="014D31CD" w:rsidR="00385743" w:rsidRDefault="004374B8" w:rsidP="00650984">
      <w:pPr>
        <w:jc w:val="center"/>
      </w:pPr>
      <w:r>
        <w:rPr>
          <w:b/>
          <w:bCs/>
        </w:rPr>
        <w:t xml:space="preserve">Figure 3: </w:t>
      </w:r>
      <w:r>
        <w:t>Scatter Plot of Current Account Balance and Old Dependency Ratio</w:t>
      </w:r>
    </w:p>
    <w:p w14:paraId="097C48E9" w14:textId="0005D868" w:rsidR="009634C4" w:rsidRDefault="009634C4" w:rsidP="00650984">
      <w:pPr>
        <w:jc w:val="center"/>
      </w:pPr>
    </w:p>
    <w:p w14:paraId="7B4BD0E0" w14:textId="5311F4DC" w:rsidR="009634C4" w:rsidRDefault="009634C4" w:rsidP="00650984">
      <w:pPr>
        <w:jc w:val="center"/>
      </w:pPr>
      <w:r>
        <w:rPr>
          <w:noProof/>
        </w:rPr>
        <w:drawing>
          <wp:anchor distT="0" distB="0" distL="114300" distR="114300" simplePos="0" relativeHeight="251674624" behindDoc="0" locked="0" layoutInCell="1" allowOverlap="1" wp14:anchorId="467C4C3E" wp14:editId="647C59D6">
            <wp:simplePos x="0" y="0"/>
            <wp:positionH relativeFrom="column">
              <wp:posOffset>167640</wp:posOffset>
            </wp:positionH>
            <wp:positionV relativeFrom="paragraph">
              <wp:posOffset>75565</wp:posOffset>
            </wp:positionV>
            <wp:extent cx="5989320" cy="4357614"/>
            <wp:effectExtent l="0" t="0" r="0" b="5080"/>
            <wp:wrapNone/>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89320" cy="4357614"/>
                    </a:xfrm>
                    <a:prstGeom prst="rect">
                      <a:avLst/>
                    </a:prstGeom>
                  </pic:spPr>
                </pic:pic>
              </a:graphicData>
            </a:graphic>
            <wp14:sizeRelH relativeFrom="margin">
              <wp14:pctWidth>0</wp14:pctWidth>
            </wp14:sizeRelH>
            <wp14:sizeRelV relativeFrom="margin">
              <wp14:pctHeight>0</wp14:pctHeight>
            </wp14:sizeRelV>
          </wp:anchor>
        </w:drawing>
      </w:r>
    </w:p>
    <w:p w14:paraId="1CCCCCDF" w14:textId="122AA6DD" w:rsidR="009634C4" w:rsidRDefault="009634C4" w:rsidP="00650984">
      <w:pPr>
        <w:jc w:val="center"/>
      </w:pPr>
    </w:p>
    <w:p w14:paraId="7A563E06" w14:textId="56C077CB" w:rsidR="009634C4" w:rsidRDefault="009634C4" w:rsidP="00650984">
      <w:pPr>
        <w:jc w:val="center"/>
      </w:pPr>
    </w:p>
    <w:p w14:paraId="786478F7" w14:textId="77385665" w:rsidR="009634C4" w:rsidRDefault="009634C4" w:rsidP="00650984">
      <w:pPr>
        <w:jc w:val="center"/>
      </w:pPr>
    </w:p>
    <w:p w14:paraId="259E0242" w14:textId="62F15356" w:rsidR="009634C4" w:rsidRDefault="009634C4" w:rsidP="00650984">
      <w:pPr>
        <w:jc w:val="center"/>
      </w:pPr>
    </w:p>
    <w:p w14:paraId="7E8B1B2D" w14:textId="36CAF9F9" w:rsidR="009634C4" w:rsidRDefault="009634C4" w:rsidP="00650984">
      <w:pPr>
        <w:jc w:val="center"/>
      </w:pPr>
    </w:p>
    <w:p w14:paraId="11199DE0" w14:textId="5C625279" w:rsidR="009634C4" w:rsidRDefault="009634C4" w:rsidP="00650984">
      <w:pPr>
        <w:jc w:val="center"/>
      </w:pPr>
    </w:p>
    <w:p w14:paraId="51A39B2B" w14:textId="0C84A986" w:rsidR="009634C4" w:rsidRDefault="009634C4" w:rsidP="00650984">
      <w:pPr>
        <w:jc w:val="center"/>
      </w:pPr>
    </w:p>
    <w:p w14:paraId="5868388B" w14:textId="314E158C" w:rsidR="009634C4" w:rsidRDefault="009634C4" w:rsidP="00650984">
      <w:pPr>
        <w:jc w:val="center"/>
      </w:pPr>
    </w:p>
    <w:p w14:paraId="1B9D68AA" w14:textId="02BDDEB7" w:rsidR="009634C4" w:rsidRDefault="009634C4" w:rsidP="00650984">
      <w:pPr>
        <w:jc w:val="center"/>
      </w:pPr>
    </w:p>
    <w:p w14:paraId="200C2472" w14:textId="0CDEDCD2" w:rsidR="009634C4" w:rsidRDefault="009634C4" w:rsidP="00650984">
      <w:pPr>
        <w:jc w:val="center"/>
      </w:pPr>
    </w:p>
    <w:p w14:paraId="5CCA1421" w14:textId="79273AF0" w:rsidR="009634C4" w:rsidRDefault="009634C4" w:rsidP="00650984">
      <w:pPr>
        <w:jc w:val="center"/>
      </w:pPr>
    </w:p>
    <w:p w14:paraId="0EF1DA08" w14:textId="6F4630A8" w:rsidR="009634C4" w:rsidRDefault="009634C4" w:rsidP="00650984">
      <w:pPr>
        <w:jc w:val="center"/>
      </w:pPr>
    </w:p>
    <w:p w14:paraId="72C58F5E" w14:textId="201A108C" w:rsidR="009634C4" w:rsidRDefault="009634C4" w:rsidP="00650984">
      <w:pPr>
        <w:jc w:val="center"/>
      </w:pPr>
    </w:p>
    <w:p w14:paraId="22F98707" w14:textId="0BB24416" w:rsidR="009634C4" w:rsidRDefault="009634C4" w:rsidP="00650984">
      <w:pPr>
        <w:jc w:val="center"/>
      </w:pPr>
    </w:p>
    <w:p w14:paraId="661037B6" w14:textId="72EB8A70" w:rsidR="009634C4" w:rsidRDefault="009634C4" w:rsidP="00650984">
      <w:pPr>
        <w:jc w:val="center"/>
      </w:pPr>
    </w:p>
    <w:p w14:paraId="512AE7D1" w14:textId="4E3BB0DB" w:rsidR="009634C4" w:rsidRDefault="009634C4" w:rsidP="00650984">
      <w:pPr>
        <w:jc w:val="center"/>
      </w:pPr>
    </w:p>
    <w:p w14:paraId="62FCA570" w14:textId="11639866" w:rsidR="009634C4" w:rsidRDefault="009634C4" w:rsidP="00650984">
      <w:pPr>
        <w:jc w:val="center"/>
      </w:pPr>
    </w:p>
    <w:p w14:paraId="34DA4B4F" w14:textId="3587EFC4" w:rsidR="009634C4" w:rsidRDefault="009634C4" w:rsidP="00650984">
      <w:pPr>
        <w:jc w:val="center"/>
      </w:pPr>
    </w:p>
    <w:p w14:paraId="3B05F26B" w14:textId="6E31BFE5" w:rsidR="009634C4" w:rsidRDefault="009634C4" w:rsidP="00650984">
      <w:pPr>
        <w:jc w:val="center"/>
      </w:pPr>
    </w:p>
    <w:p w14:paraId="059BA9E8" w14:textId="3FD1EA8B" w:rsidR="009634C4" w:rsidRDefault="009634C4" w:rsidP="00650984">
      <w:pPr>
        <w:jc w:val="center"/>
      </w:pPr>
    </w:p>
    <w:p w14:paraId="731FB85A" w14:textId="22F03714" w:rsidR="009634C4" w:rsidRDefault="009634C4" w:rsidP="00650984">
      <w:pPr>
        <w:jc w:val="center"/>
      </w:pPr>
    </w:p>
    <w:p w14:paraId="747DC0C5" w14:textId="175942D9" w:rsidR="009634C4" w:rsidRDefault="009634C4" w:rsidP="00650984">
      <w:pPr>
        <w:jc w:val="center"/>
      </w:pPr>
    </w:p>
    <w:p w14:paraId="56664D48" w14:textId="2DAFA3D1" w:rsidR="009634C4" w:rsidRDefault="009634C4" w:rsidP="00650984">
      <w:pPr>
        <w:jc w:val="center"/>
      </w:pPr>
    </w:p>
    <w:p w14:paraId="462C488A" w14:textId="2BE7B824" w:rsidR="009634C4" w:rsidRDefault="009634C4" w:rsidP="00650984">
      <w:pPr>
        <w:jc w:val="center"/>
      </w:pPr>
    </w:p>
    <w:p w14:paraId="73900708" w14:textId="776AA275" w:rsidR="009634C4" w:rsidRDefault="009634C4" w:rsidP="00650984">
      <w:pPr>
        <w:jc w:val="center"/>
      </w:pPr>
    </w:p>
    <w:p w14:paraId="50E759B7" w14:textId="56699B05" w:rsidR="009634C4" w:rsidRDefault="009634C4" w:rsidP="00650984">
      <w:pPr>
        <w:jc w:val="center"/>
      </w:pPr>
    </w:p>
    <w:p w14:paraId="2C6CEAFB" w14:textId="697F62B1" w:rsidR="009634C4" w:rsidRDefault="009634C4" w:rsidP="00650984">
      <w:pPr>
        <w:jc w:val="center"/>
      </w:pPr>
    </w:p>
    <w:p w14:paraId="56FA1364" w14:textId="52C6BD2B" w:rsidR="009634C4" w:rsidRDefault="009634C4" w:rsidP="00650984">
      <w:pPr>
        <w:jc w:val="center"/>
      </w:pPr>
    </w:p>
    <w:p w14:paraId="2D53EC4B" w14:textId="079CD2A4" w:rsidR="009634C4" w:rsidRDefault="009634C4" w:rsidP="00650984">
      <w:pPr>
        <w:jc w:val="center"/>
      </w:pPr>
    </w:p>
    <w:p w14:paraId="26498571" w14:textId="6D910BCD" w:rsidR="009634C4" w:rsidRDefault="009634C4" w:rsidP="00650984">
      <w:pPr>
        <w:jc w:val="center"/>
      </w:pPr>
    </w:p>
    <w:p w14:paraId="707EA9D0" w14:textId="46457198" w:rsidR="009634C4" w:rsidRDefault="009634C4" w:rsidP="00650984">
      <w:pPr>
        <w:jc w:val="center"/>
      </w:pPr>
    </w:p>
    <w:p w14:paraId="7123B6BF" w14:textId="0226B820" w:rsidR="009634C4" w:rsidRDefault="009634C4" w:rsidP="00650984">
      <w:pPr>
        <w:jc w:val="center"/>
      </w:pPr>
    </w:p>
    <w:p w14:paraId="2272451F" w14:textId="14D27129" w:rsidR="009634C4" w:rsidRDefault="009634C4" w:rsidP="00650984">
      <w:pPr>
        <w:jc w:val="center"/>
      </w:pPr>
    </w:p>
    <w:p w14:paraId="684BF388" w14:textId="44CA86BE" w:rsidR="009634C4" w:rsidRDefault="009634C4" w:rsidP="00650984">
      <w:pPr>
        <w:jc w:val="center"/>
      </w:pPr>
    </w:p>
    <w:p w14:paraId="289FF4CD" w14:textId="1B7F24C8" w:rsidR="009634C4" w:rsidRDefault="009634C4" w:rsidP="00650984">
      <w:pPr>
        <w:jc w:val="center"/>
      </w:pPr>
    </w:p>
    <w:p w14:paraId="77B2CAFE" w14:textId="21227746" w:rsidR="009634C4" w:rsidRDefault="009634C4" w:rsidP="00650984">
      <w:pPr>
        <w:jc w:val="center"/>
      </w:pPr>
    </w:p>
    <w:p w14:paraId="42467BCA" w14:textId="77777777" w:rsidR="009634C4" w:rsidRDefault="009634C4" w:rsidP="00650984">
      <w:pPr>
        <w:jc w:val="center"/>
      </w:pPr>
    </w:p>
    <w:p w14:paraId="167AA3B7" w14:textId="79E763C4" w:rsidR="009634C4" w:rsidRDefault="009634C4" w:rsidP="00650984">
      <w:pPr>
        <w:jc w:val="center"/>
      </w:pPr>
    </w:p>
    <w:p w14:paraId="3CEB5090" w14:textId="2C2A3BE0" w:rsidR="009634C4" w:rsidRDefault="009634C4" w:rsidP="00650984">
      <w:pPr>
        <w:jc w:val="center"/>
      </w:pPr>
    </w:p>
    <w:p w14:paraId="4F8CC8EE" w14:textId="77777777" w:rsidR="009634C4" w:rsidRDefault="009634C4" w:rsidP="00650984">
      <w:pPr>
        <w:jc w:val="center"/>
      </w:pPr>
    </w:p>
    <w:p w14:paraId="5C944FCC" w14:textId="45AE8430" w:rsidR="009634C4" w:rsidRDefault="009634C4" w:rsidP="00650984">
      <w:pPr>
        <w:jc w:val="center"/>
      </w:pPr>
    </w:p>
    <w:p w14:paraId="58C6A93B" w14:textId="2A5D8165" w:rsidR="007E42F8" w:rsidRDefault="007E42F8" w:rsidP="00650984">
      <w:pPr>
        <w:jc w:val="center"/>
      </w:pPr>
    </w:p>
    <w:p w14:paraId="491A3FBC" w14:textId="77777777" w:rsidR="00650984" w:rsidRDefault="00650984" w:rsidP="00650984">
      <w:pPr>
        <w:jc w:val="center"/>
        <w:rPr>
          <w:b/>
          <w:bCs/>
        </w:rPr>
      </w:pPr>
    </w:p>
    <w:p w14:paraId="4764D562" w14:textId="391732A6" w:rsidR="007E42F8" w:rsidRDefault="004374B8" w:rsidP="00650984">
      <w:pPr>
        <w:jc w:val="center"/>
      </w:pPr>
      <w:r>
        <w:rPr>
          <w:b/>
          <w:bCs/>
        </w:rPr>
        <w:t xml:space="preserve">Figure </w:t>
      </w:r>
      <w:r w:rsidR="009634C4">
        <w:rPr>
          <w:b/>
          <w:bCs/>
        </w:rPr>
        <w:t>4</w:t>
      </w:r>
      <w:r>
        <w:rPr>
          <w:b/>
          <w:bCs/>
        </w:rPr>
        <w:t xml:space="preserve">: </w:t>
      </w:r>
      <w:r>
        <w:t>Scatter Plot of Current Account Balance and Prime Age Savers</w:t>
      </w:r>
    </w:p>
    <w:p w14:paraId="39313EDA" w14:textId="77777777" w:rsidR="009634C4" w:rsidRDefault="009634C4" w:rsidP="00650984">
      <w:pPr>
        <w:jc w:val="center"/>
      </w:pPr>
    </w:p>
    <w:p w14:paraId="76FA4A89" w14:textId="79477795" w:rsidR="007E42F8" w:rsidRDefault="007E42F8" w:rsidP="00650984">
      <w:pPr>
        <w:jc w:val="center"/>
        <w:rPr>
          <w:noProof/>
        </w:rPr>
      </w:pPr>
    </w:p>
    <w:p w14:paraId="45C379E7" w14:textId="59C2AA52" w:rsidR="009634C4" w:rsidRDefault="009634C4" w:rsidP="00650984">
      <w:pPr>
        <w:jc w:val="center"/>
        <w:rPr>
          <w:noProof/>
        </w:rPr>
      </w:pPr>
      <w:r>
        <w:rPr>
          <w:noProof/>
        </w:rPr>
        <w:drawing>
          <wp:anchor distT="0" distB="0" distL="114300" distR="114300" simplePos="0" relativeHeight="251675648" behindDoc="0" locked="0" layoutInCell="1" allowOverlap="1" wp14:anchorId="66C85010" wp14:editId="7F2DD33F">
            <wp:simplePos x="0" y="0"/>
            <wp:positionH relativeFrom="column">
              <wp:posOffset>53340</wp:posOffset>
            </wp:positionH>
            <wp:positionV relativeFrom="paragraph">
              <wp:posOffset>99060</wp:posOffset>
            </wp:positionV>
            <wp:extent cx="6050280" cy="4401968"/>
            <wp:effectExtent l="0" t="0" r="7620" b="0"/>
            <wp:wrapNone/>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50280" cy="4401968"/>
                    </a:xfrm>
                    <a:prstGeom prst="rect">
                      <a:avLst/>
                    </a:prstGeom>
                  </pic:spPr>
                </pic:pic>
              </a:graphicData>
            </a:graphic>
            <wp14:sizeRelH relativeFrom="margin">
              <wp14:pctWidth>0</wp14:pctWidth>
            </wp14:sizeRelH>
            <wp14:sizeRelV relativeFrom="margin">
              <wp14:pctHeight>0</wp14:pctHeight>
            </wp14:sizeRelV>
          </wp:anchor>
        </w:drawing>
      </w:r>
    </w:p>
    <w:p w14:paraId="63F56AC0" w14:textId="617010ED" w:rsidR="009634C4" w:rsidRDefault="009634C4" w:rsidP="00650984">
      <w:pPr>
        <w:jc w:val="center"/>
        <w:rPr>
          <w:noProof/>
        </w:rPr>
      </w:pPr>
    </w:p>
    <w:p w14:paraId="6C633AC3" w14:textId="427942B7" w:rsidR="009634C4" w:rsidRDefault="009634C4" w:rsidP="00650984">
      <w:pPr>
        <w:jc w:val="center"/>
        <w:rPr>
          <w:noProof/>
        </w:rPr>
      </w:pPr>
    </w:p>
    <w:p w14:paraId="5AC1AE5A" w14:textId="66A7D68D" w:rsidR="009634C4" w:rsidRDefault="009634C4" w:rsidP="00650984">
      <w:pPr>
        <w:jc w:val="center"/>
        <w:rPr>
          <w:noProof/>
        </w:rPr>
      </w:pPr>
    </w:p>
    <w:p w14:paraId="7011FD83" w14:textId="7D378F36" w:rsidR="009634C4" w:rsidRDefault="009634C4" w:rsidP="00650984">
      <w:pPr>
        <w:jc w:val="center"/>
        <w:rPr>
          <w:noProof/>
        </w:rPr>
      </w:pPr>
    </w:p>
    <w:p w14:paraId="577DF7F0" w14:textId="169D8CA1" w:rsidR="009634C4" w:rsidRDefault="009634C4" w:rsidP="00650984">
      <w:pPr>
        <w:jc w:val="center"/>
        <w:rPr>
          <w:noProof/>
        </w:rPr>
      </w:pPr>
    </w:p>
    <w:p w14:paraId="3528B92E" w14:textId="7654F87E" w:rsidR="009634C4" w:rsidRDefault="009634C4" w:rsidP="00650984">
      <w:pPr>
        <w:jc w:val="center"/>
        <w:rPr>
          <w:noProof/>
        </w:rPr>
      </w:pPr>
    </w:p>
    <w:p w14:paraId="34CDF15C" w14:textId="7F93C7B2" w:rsidR="009634C4" w:rsidRDefault="009634C4" w:rsidP="00650984">
      <w:pPr>
        <w:jc w:val="center"/>
        <w:rPr>
          <w:noProof/>
        </w:rPr>
      </w:pPr>
    </w:p>
    <w:p w14:paraId="36FFD2BD" w14:textId="0F44662B" w:rsidR="009634C4" w:rsidRDefault="009634C4" w:rsidP="00650984">
      <w:pPr>
        <w:jc w:val="center"/>
        <w:rPr>
          <w:noProof/>
        </w:rPr>
      </w:pPr>
    </w:p>
    <w:p w14:paraId="4E103A5D" w14:textId="5F9BEB35" w:rsidR="009634C4" w:rsidRDefault="009634C4" w:rsidP="00650984">
      <w:pPr>
        <w:jc w:val="center"/>
        <w:rPr>
          <w:noProof/>
        </w:rPr>
      </w:pPr>
    </w:p>
    <w:p w14:paraId="7B9B3FE5" w14:textId="1C0CF417" w:rsidR="009634C4" w:rsidRDefault="009634C4" w:rsidP="00650984">
      <w:pPr>
        <w:jc w:val="center"/>
        <w:rPr>
          <w:noProof/>
        </w:rPr>
      </w:pPr>
    </w:p>
    <w:p w14:paraId="37FCEA33" w14:textId="577817DE" w:rsidR="009634C4" w:rsidRDefault="009634C4" w:rsidP="00650984">
      <w:pPr>
        <w:jc w:val="center"/>
        <w:rPr>
          <w:noProof/>
        </w:rPr>
      </w:pPr>
    </w:p>
    <w:p w14:paraId="35388CAC" w14:textId="557960F9" w:rsidR="009634C4" w:rsidRDefault="009634C4" w:rsidP="00650984">
      <w:pPr>
        <w:jc w:val="center"/>
        <w:rPr>
          <w:noProof/>
        </w:rPr>
      </w:pPr>
    </w:p>
    <w:p w14:paraId="2C8A1D08" w14:textId="498876F3" w:rsidR="009634C4" w:rsidRDefault="009634C4" w:rsidP="00650984">
      <w:pPr>
        <w:jc w:val="center"/>
        <w:rPr>
          <w:noProof/>
        </w:rPr>
      </w:pPr>
    </w:p>
    <w:p w14:paraId="13482737" w14:textId="521521C6" w:rsidR="009634C4" w:rsidRDefault="009634C4" w:rsidP="00650984">
      <w:pPr>
        <w:jc w:val="center"/>
        <w:rPr>
          <w:noProof/>
        </w:rPr>
      </w:pPr>
    </w:p>
    <w:p w14:paraId="0FBD9CFF" w14:textId="783CA3F9" w:rsidR="009634C4" w:rsidRDefault="009634C4" w:rsidP="00650984">
      <w:pPr>
        <w:jc w:val="center"/>
        <w:rPr>
          <w:noProof/>
        </w:rPr>
      </w:pPr>
    </w:p>
    <w:p w14:paraId="496B7048" w14:textId="39BF587E" w:rsidR="009634C4" w:rsidRDefault="009634C4" w:rsidP="00650984">
      <w:pPr>
        <w:jc w:val="center"/>
        <w:rPr>
          <w:noProof/>
        </w:rPr>
      </w:pPr>
    </w:p>
    <w:p w14:paraId="7CB2A78C" w14:textId="6CD29487" w:rsidR="009634C4" w:rsidRDefault="009634C4" w:rsidP="00650984">
      <w:pPr>
        <w:jc w:val="center"/>
        <w:rPr>
          <w:noProof/>
        </w:rPr>
      </w:pPr>
    </w:p>
    <w:p w14:paraId="6598E3D2" w14:textId="3568D4F8" w:rsidR="009634C4" w:rsidRDefault="009634C4" w:rsidP="00650984">
      <w:pPr>
        <w:jc w:val="center"/>
        <w:rPr>
          <w:noProof/>
        </w:rPr>
      </w:pPr>
    </w:p>
    <w:p w14:paraId="11BEF43B" w14:textId="65AC2F82" w:rsidR="009634C4" w:rsidRDefault="009634C4" w:rsidP="00650984">
      <w:pPr>
        <w:jc w:val="center"/>
        <w:rPr>
          <w:noProof/>
        </w:rPr>
      </w:pPr>
    </w:p>
    <w:p w14:paraId="19A77149" w14:textId="47B1B5F1" w:rsidR="009634C4" w:rsidRDefault="009634C4" w:rsidP="00650984">
      <w:pPr>
        <w:jc w:val="center"/>
        <w:rPr>
          <w:noProof/>
        </w:rPr>
      </w:pPr>
    </w:p>
    <w:p w14:paraId="079DAFC7" w14:textId="476D14DF" w:rsidR="009634C4" w:rsidRDefault="009634C4" w:rsidP="00650984">
      <w:pPr>
        <w:jc w:val="center"/>
        <w:rPr>
          <w:noProof/>
        </w:rPr>
      </w:pPr>
    </w:p>
    <w:p w14:paraId="3EC695F7" w14:textId="6373EE3C" w:rsidR="009634C4" w:rsidRDefault="009634C4" w:rsidP="00650984">
      <w:pPr>
        <w:jc w:val="center"/>
        <w:rPr>
          <w:noProof/>
        </w:rPr>
      </w:pPr>
    </w:p>
    <w:p w14:paraId="718754E7" w14:textId="6FD10B57" w:rsidR="009634C4" w:rsidRDefault="009634C4" w:rsidP="00650984">
      <w:pPr>
        <w:jc w:val="center"/>
        <w:rPr>
          <w:noProof/>
        </w:rPr>
      </w:pPr>
    </w:p>
    <w:p w14:paraId="41ACF853" w14:textId="23BF5B66" w:rsidR="009634C4" w:rsidRDefault="009634C4" w:rsidP="00650984">
      <w:pPr>
        <w:jc w:val="center"/>
        <w:rPr>
          <w:noProof/>
        </w:rPr>
      </w:pPr>
    </w:p>
    <w:p w14:paraId="7F222A53" w14:textId="5CBE9CEC" w:rsidR="009634C4" w:rsidRDefault="009634C4" w:rsidP="00650984">
      <w:pPr>
        <w:jc w:val="center"/>
        <w:rPr>
          <w:noProof/>
        </w:rPr>
      </w:pPr>
    </w:p>
    <w:p w14:paraId="179703CC" w14:textId="17795878" w:rsidR="009634C4" w:rsidRDefault="009634C4" w:rsidP="00650984">
      <w:pPr>
        <w:jc w:val="center"/>
        <w:rPr>
          <w:noProof/>
        </w:rPr>
      </w:pPr>
    </w:p>
    <w:p w14:paraId="25439F47" w14:textId="2E423CAA" w:rsidR="009634C4" w:rsidRDefault="009634C4" w:rsidP="00650984">
      <w:pPr>
        <w:jc w:val="center"/>
        <w:rPr>
          <w:noProof/>
        </w:rPr>
      </w:pPr>
    </w:p>
    <w:p w14:paraId="3E1DFF61" w14:textId="1FDAF9DE" w:rsidR="009634C4" w:rsidRDefault="009634C4" w:rsidP="00650984">
      <w:pPr>
        <w:jc w:val="center"/>
        <w:rPr>
          <w:noProof/>
        </w:rPr>
      </w:pPr>
    </w:p>
    <w:p w14:paraId="2EB07405" w14:textId="425FAA66" w:rsidR="009634C4" w:rsidRDefault="009634C4" w:rsidP="00650984">
      <w:pPr>
        <w:jc w:val="center"/>
        <w:rPr>
          <w:noProof/>
        </w:rPr>
      </w:pPr>
    </w:p>
    <w:p w14:paraId="6B18E8F0" w14:textId="35AD2FE1" w:rsidR="009634C4" w:rsidRDefault="009634C4" w:rsidP="00650984">
      <w:pPr>
        <w:jc w:val="center"/>
        <w:rPr>
          <w:noProof/>
        </w:rPr>
      </w:pPr>
    </w:p>
    <w:p w14:paraId="5012ABC5" w14:textId="77548705" w:rsidR="009634C4" w:rsidRDefault="009634C4" w:rsidP="00650984">
      <w:pPr>
        <w:jc w:val="center"/>
        <w:rPr>
          <w:noProof/>
        </w:rPr>
      </w:pPr>
    </w:p>
    <w:p w14:paraId="00CCBE96" w14:textId="49B82608" w:rsidR="009634C4" w:rsidRDefault="009634C4" w:rsidP="00650984">
      <w:pPr>
        <w:jc w:val="center"/>
        <w:rPr>
          <w:noProof/>
        </w:rPr>
      </w:pPr>
    </w:p>
    <w:p w14:paraId="3897DAD2" w14:textId="34B28E65" w:rsidR="009634C4" w:rsidRDefault="009634C4" w:rsidP="00650984">
      <w:pPr>
        <w:jc w:val="center"/>
        <w:rPr>
          <w:noProof/>
        </w:rPr>
      </w:pPr>
    </w:p>
    <w:p w14:paraId="2AAEAFFA" w14:textId="77777777" w:rsidR="009634C4" w:rsidRDefault="009634C4" w:rsidP="0015403C">
      <w:pPr>
        <w:rPr>
          <w:noProof/>
        </w:rPr>
      </w:pPr>
    </w:p>
    <w:p w14:paraId="50E528DF" w14:textId="118FEEA3" w:rsidR="00364838" w:rsidRDefault="00364838" w:rsidP="007476CF">
      <w:pPr>
        <w:tabs>
          <w:tab w:val="left" w:pos="7416"/>
        </w:tabs>
      </w:pPr>
    </w:p>
    <w:p w14:paraId="661DBB1F" w14:textId="77777777" w:rsidR="00364838" w:rsidRDefault="00364838" w:rsidP="007476CF">
      <w:pPr>
        <w:tabs>
          <w:tab w:val="left" w:pos="7416"/>
        </w:tabs>
      </w:pPr>
    </w:p>
    <w:p w14:paraId="304AB180" w14:textId="77777777" w:rsidR="00364838" w:rsidRDefault="00364838" w:rsidP="007476CF">
      <w:pPr>
        <w:tabs>
          <w:tab w:val="left" w:pos="7416"/>
        </w:tabs>
      </w:pPr>
    </w:p>
    <w:p w14:paraId="511FCBBD" w14:textId="77777777" w:rsidR="00364838" w:rsidRDefault="00364838" w:rsidP="007476CF">
      <w:pPr>
        <w:tabs>
          <w:tab w:val="left" w:pos="7416"/>
        </w:tabs>
      </w:pPr>
    </w:p>
    <w:p w14:paraId="37D0E3E3" w14:textId="77777777" w:rsidR="00364838" w:rsidRDefault="00364838" w:rsidP="007476CF">
      <w:pPr>
        <w:tabs>
          <w:tab w:val="left" w:pos="7416"/>
        </w:tabs>
      </w:pPr>
    </w:p>
    <w:p w14:paraId="205E995C" w14:textId="4BD7FB4F" w:rsidR="007476CF" w:rsidRDefault="007476CF" w:rsidP="007476CF">
      <w:pPr>
        <w:tabs>
          <w:tab w:val="left" w:pos="7416"/>
        </w:tabs>
      </w:pPr>
      <w:r>
        <w:tab/>
      </w:r>
    </w:p>
    <w:p w14:paraId="1171E2A3" w14:textId="2A06A5B8" w:rsidR="007476CF" w:rsidRPr="009634C4" w:rsidRDefault="00214B02" w:rsidP="009634C4">
      <w:pPr>
        <w:tabs>
          <w:tab w:val="left" w:pos="7416"/>
        </w:tabs>
        <w:jc w:val="center"/>
      </w:pPr>
      <w:r>
        <w:rPr>
          <w:b/>
          <w:bCs/>
        </w:rPr>
        <w:t>Figure 5:</w:t>
      </w:r>
      <w:r w:rsidR="009634C4">
        <w:t xml:space="preserve"> The Impulse-response Diagram for the Baseline PVAR Model</w:t>
      </w:r>
    </w:p>
    <w:p w14:paraId="396401C5" w14:textId="28E52D8A" w:rsidR="00675BE1" w:rsidRDefault="00675BE1" w:rsidP="007476CF">
      <w:pPr>
        <w:tabs>
          <w:tab w:val="left" w:pos="7416"/>
        </w:tabs>
      </w:pPr>
    </w:p>
    <w:p w14:paraId="67ABAA24" w14:textId="5353295D" w:rsidR="00675BE1" w:rsidRDefault="00DC4971" w:rsidP="007476CF">
      <w:pPr>
        <w:tabs>
          <w:tab w:val="left" w:pos="7416"/>
        </w:tabs>
      </w:pPr>
      <w:r>
        <w:rPr>
          <w:i/>
          <w:iCs/>
          <w:noProof/>
          <w:szCs w:val="22"/>
        </w:rPr>
        <w:drawing>
          <wp:anchor distT="0" distB="0" distL="114300" distR="114300" simplePos="0" relativeHeight="251671552" behindDoc="0" locked="0" layoutInCell="1" allowOverlap="1" wp14:anchorId="1C11F1F8" wp14:editId="22C53460">
            <wp:simplePos x="0" y="0"/>
            <wp:positionH relativeFrom="column">
              <wp:posOffset>-152400</wp:posOffset>
            </wp:positionH>
            <wp:positionV relativeFrom="paragraph">
              <wp:posOffset>144145</wp:posOffset>
            </wp:positionV>
            <wp:extent cx="6438900" cy="4689105"/>
            <wp:effectExtent l="0" t="0" r="0" b="0"/>
            <wp:wrapNone/>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e_model.png"/>
                    <pic:cNvPicPr/>
                  </pic:nvPicPr>
                  <pic:blipFill rotWithShape="1">
                    <a:blip r:embed="rId20">
                      <a:extLst>
                        <a:ext uri="{28A0092B-C50C-407E-A947-70E740481C1C}">
                          <a14:useLocalDpi xmlns:a14="http://schemas.microsoft.com/office/drawing/2010/main" val="0"/>
                        </a:ext>
                      </a:extLst>
                    </a:blip>
                    <a:srcRect l="2052" t="4619" r="2180" b="2337"/>
                    <a:stretch/>
                  </pic:blipFill>
                  <pic:spPr bwMode="auto">
                    <a:xfrm>
                      <a:off x="0" y="0"/>
                      <a:ext cx="6438900" cy="4689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C4B83C" w14:textId="07B20414" w:rsidR="00675BE1" w:rsidRDefault="00675BE1" w:rsidP="007476CF">
      <w:pPr>
        <w:tabs>
          <w:tab w:val="left" w:pos="7416"/>
        </w:tabs>
      </w:pPr>
    </w:p>
    <w:p w14:paraId="4547DE11" w14:textId="711F12E8" w:rsidR="00675BE1" w:rsidRDefault="00675BE1" w:rsidP="007476CF">
      <w:pPr>
        <w:tabs>
          <w:tab w:val="left" w:pos="7416"/>
        </w:tabs>
      </w:pPr>
    </w:p>
    <w:p w14:paraId="50253B3A" w14:textId="3F5DFE1B" w:rsidR="00675BE1" w:rsidRDefault="00675BE1" w:rsidP="007476CF">
      <w:pPr>
        <w:tabs>
          <w:tab w:val="left" w:pos="7416"/>
        </w:tabs>
      </w:pPr>
    </w:p>
    <w:p w14:paraId="13EA2A14" w14:textId="195CF3B2" w:rsidR="00675BE1" w:rsidRDefault="00675BE1" w:rsidP="007476CF">
      <w:pPr>
        <w:tabs>
          <w:tab w:val="left" w:pos="7416"/>
        </w:tabs>
      </w:pPr>
    </w:p>
    <w:p w14:paraId="1DFDB082" w14:textId="28693196" w:rsidR="00675BE1" w:rsidRDefault="00675BE1" w:rsidP="007476CF">
      <w:pPr>
        <w:tabs>
          <w:tab w:val="left" w:pos="7416"/>
        </w:tabs>
      </w:pPr>
    </w:p>
    <w:p w14:paraId="66A01078" w14:textId="29903CC5" w:rsidR="00675BE1" w:rsidRDefault="00675BE1" w:rsidP="007476CF">
      <w:pPr>
        <w:tabs>
          <w:tab w:val="left" w:pos="7416"/>
        </w:tabs>
      </w:pPr>
    </w:p>
    <w:p w14:paraId="1D782CAF" w14:textId="2656E442" w:rsidR="00013BF7" w:rsidRDefault="00013BF7" w:rsidP="007476CF">
      <w:pPr>
        <w:tabs>
          <w:tab w:val="left" w:pos="7416"/>
        </w:tabs>
      </w:pPr>
    </w:p>
    <w:p w14:paraId="6E7F71AB" w14:textId="2A38A815" w:rsidR="00013BF7" w:rsidRDefault="00013BF7" w:rsidP="007476CF">
      <w:pPr>
        <w:tabs>
          <w:tab w:val="left" w:pos="7416"/>
        </w:tabs>
      </w:pPr>
    </w:p>
    <w:p w14:paraId="5A94E3F3" w14:textId="1CF9D592" w:rsidR="00013BF7" w:rsidRDefault="00013BF7" w:rsidP="007476CF">
      <w:pPr>
        <w:tabs>
          <w:tab w:val="left" w:pos="7416"/>
        </w:tabs>
      </w:pPr>
    </w:p>
    <w:p w14:paraId="3782F1EB" w14:textId="3587A0D5" w:rsidR="00013BF7" w:rsidRDefault="00013BF7" w:rsidP="007476CF">
      <w:pPr>
        <w:tabs>
          <w:tab w:val="left" w:pos="7416"/>
        </w:tabs>
      </w:pPr>
    </w:p>
    <w:p w14:paraId="2F31EAC4" w14:textId="29081D72" w:rsidR="00013BF7" w:rsidRDefault="00013BF7" w:rsidP="007476CF">
      <w:pPr>
        <w:tabs>
          <w:tab w:val="left" w:pos="7416"/>
        </w:tabs>
      </w:pPr>
    </w:p>
    <w:p w14:paraId="375E79C1" w14:textId="3E71A4B3" w:rsidR="00013BF7" w:rsidRDefault="00013BF7" w:rsidP="007476CF">
      <w:pPr>
        <w:tabs>
          <w:tab w:val="left" w:pos="7416"/>
        </w:tabs>
      </w:pPr>
    </w:p>
    <w:p w14:paraId="28C83AB9" w14:textId="2481A0ED" w:rsidR="00013BF7" w:rsidRDefault="00013BF7" w:rsidP="007476CF">
      <w:pPr>
        <w:tabs>
          <w:tab w:val="left" w:pos="7416"/>
        </w:tabs>
      </w:pPr>
    </w:p>
    <w:p w14:paraId="1C077626" w14:textId="654C3F4F" w:rsidR="00013BF7" w:rsidRDefault="00013BF7" w:rsidP="007476CF">
      <w:pPr>
        <w:tabs>
          <w:tab w:val="left" w:pos="7416"/>
        </w:tabs>
      </w:pPr>
    </w:p>
    <w:p w14:paraId="0AC63143" w14:textId="78D1C244" w:rsidR="00013BF7" w:rsidRDefault="00013BF7" w:rsidP="007476CF">
      <w:pPr>
        <w:tabs>
          <w:tab w:val="left" w:pos="7416"/>
        </w:tabs>
      </w:pPr>
    </w:p>
    <w:p w14:paraId="221698ED" w14:textId="66E069EF" w:rsidR="009C2EA4" w:rsidRDefault="009C2EA4" w:rsidP="007476CF">
      <w:pPr>
        <w:tabs>
          <w:tab w:val="left" w:pos="7416"/>
        </w:tabs>
      </w:pPr>
    </w:p>
    <w:p w14:paraId="4A4CD4FC" w14:textId="77777777" w:rsidR="005F32F4" w:rsidRDefault="005F32F4" w:rsidP="007476CF">
      <w:pPr>
        <w:tabs>
          <w:tab w:val="left" w:pos="7416"/>
        </w:tabs>
      </w:pPr>
    </w:p>
    <w:p w14:paraId="2C26247E" w14:textId="4E52BC21" w:rsidR="00013BF7" w:rsidRPr="00DF4619" w:rsidRDefault="00013BF7" w:rsidP="007476CF">
      <w:pPr>
        <w:tabs>
          <w:tab w:val="left" w:pos="7416"/>
        </w:tabs>
        <w:rPr>
          <w:rFonts w:cstheme="minorBidi"/>
        </w:rPr>
      </w:pPr>
    </w:p>
    <w:p w14:paraId="57082D55" w14:textId="040FF0AD" w:rsidR="00013BF7" w:rsidRDefault="00013BF7" w:rsidP="007476CF">
      <w:pPr>
        <w:tabs>
          <w:tab w:val="left" w:pos="7416"/>
        </w:tabs>
      </w:pPr>
    </w:p>
    <w:p w14:paraId="7290BCC4" w14:textId="35A69394" w:rsidR="003C69F7" w:rsidRDefault="003C69F7" w:rsidP="007476CF">
      <w:pPr>
        <w:tabs>
          <w:tab w:val="left" w:pos="7416"/>
        </w:tabs>
      </w:pPr>
    </w:p>
    <w:p w14:paraId="52786FA7" w14:textId="7160402B" w:rsidR="003C69F7" w:rsidRDefault="003C69F7" w:rsidP="007476CF">
      <w:pPr>
        <w:tabs>
          <w:tab w:val="left" w:pos="7416"/>
        </w:tabs>
      </w:pPr>
    </w:p>
    <w:p w14:paraId="148A9E0C" w14:textId="24DDDF8B" w:rsidR="003C69F7" w:rsidRDefault="003C69F7" w:rsidP="007476CF">
      <w:pPr>
        <w:tabs>
          <w:tab w:val="left" w:pos="7416"/>
        </w:tabs>
      </w:pPr>
    </w:p>
    <w:p w14:paraId="6ED59F46" w14:textId="144C4116" w:rsidR="003C69F7" w:rsidRDefault="003C69F7" w:rsidP="007476CF">
      <w:pPr>
        <w:tabs>
          <w:tab w:val="left" w:pos="7416"/>
        </w:tabs>
      </w:pPr>
    </w:p>
    <w:p w14:paraId="4C6997D2" w14:textId="09F2414A" w:rsidR="003C69F7" w:rsidRDefault="003C69F7" w:rsidP="007476CF">
      <w:pPr>
        <w:tabs>
          <w:tab w:val="left" w:pos="7416"/>
        </w:tabs>
      </w:pPr>
    </w:p>
    <w:p w14:paraId="2DBF59DF" w14:textId="20E79D60" w:rsidR="003C69F7" w:rsidRDefault="003C69F7" w:rsidP="007476CF">
      <w:pPr>
        <w:tabs>
          <w:tab w:val="left" w:pos="7416"/>
        </w:tabs>
      </w:pPr>
    </w:p>
    <w:p w14:paraId="708D2BC9" w14:textId="72D5BBE5" w:rsidR="003C69F7" w:rsidRDefault="003C69F7" w:rsidP="007476CF">
      <w:pPr>
        <w:tabs>
          <w:tab w:val="left" w:pos="7416"/>
        </w:tabs>
      </w:pPr>
    </w:p>
    <w:p w14:paraId="0C964664" w14:textId="2A8313F4" w:rsidR="003C69F7" w:rsidRDefault="003C69F7" w:rsidP="007476CF">
      <w:pPr>
        <w:tabs>
          <w:tab w:val="left" w:pos="7416"/>
        </w:tabs>
      </w:pPr>
    </w:p>
    <w:p w14:paraId="01A1450C" w14:textId="7BA2144B" w:rsidR="00DC4971" w:rsidRDefault="00DC4971" w:rsidP="007476CF">
      <w:pPr>
        <w:tabs>
          <w:tab w:val="left" w:pos="7416"/>
        </w:tabs>
      </w:pPr>
    </w:p>
    <w:p w14:paraId="13F189D8" w14:textId="3441DC0A" w:rsidR="00DC4971" w:rsidRDefault="00DC4971" w:rsidP="007476CF">
      <w:pPr>
        <w:tabs>
          <w:tab w:val="left" w:pos="7416"/>
        </w:tabs>
      </w:pPr>
    </w:p>
    <w:p w14:paraId="5DA34ACA" w14:textId="5C791B72" w:rsidR="00DC4971" w:rsidRDefault="00DC4971" w:rsidP="007476CF">
      <w:pPr>
        <w:tabs>
          <w:tab w:val="left" w:pos="7416"/>
        </w:tabs>
      </w:pPr>
    </w:p>
    <w:p w14:paraId="2D1ECC1E" w14:textId="11895D5D" w:rsidR="00DC4971" w:rsidRDefault="00DC4971" w:rsidP="007476CF">
      <w:pPr>
        <w:tabs>
          <w:tab w:val="left" w:pos="7416"/>
        </w:tabs>
      </w:pPr>
    </w:p>
    <w:p w14:paraId="5DCF70AE" w14:textId="7A22B061" w:rsidR="00DC4971" w:rsidRDefault="00DC4971" w:rsidP="007476CF">
      <w:pPr>
        <w:tabs>
          <w:tab w:val="left" w:pos="7416"/>
        </w:tabs>
      </w:pPr>
    </w:p>
    <w:p w14:paraId="1FD56C08" w14:textId="599E2CDF" w:rsidR="00DC4971" w:rsidRDefault="00DC4971" w:rsidP="007476CF">
      <w:pPr>
        <w:tabs>
          <w:tab w:val="left" w:pos="7416"/>
        </w:tabs>
      </w:pPr>
    </w:p>
    <w:p w14:paraId="242C492B" w14:textId="51FFCE83" w:rsidR="00DC4971" w:rsidRDefault="00DC4971" w:rsidP="007476CF">
      <w:pPr>
        <w:tabs>
          <w:tab w:val="left" w:pos="7416"/>
        </w:tabs>
      </w:pPr>
    </w:p>
    <w:p w14:paraId="5DA253E6" w14:textId="3779965E" w:rsidR="00DC4971" w:rsidRDefault="00DC4971" w:rsidP="007476CF">
      <w:pPr>
        <w:tabs>
          <w:tab w:val="left" w:pos="7416"/>
        </w:tabs>
      </w:pPr>
    </w:p>
    <w:p w14:paraId="4E8A58A2" w14:textId="2C771971" w:rsidR="00DC4971" w:rsidRDefault="00DC4971" w:rsidP="007476CF">
      <w:pPr>
        <w:tabs>
          <w:tab w:val="left" w:pos="7416"/>
        </w:tabs>
      </w:pPr>
    </w:p>
    <w:p w14:paraId="7017CEAD" w14:textId="5C60BFC0" w:rsidR="00DC4971" w:rsidRDefault="00DC4971" w:rsidP="007476CF">
      <w:pPr>
        <w:tabs>
          <w:tab w:val="left" w:pos="7416"/>
        </w:tabs>
      </w:pPr>
    </w:p>
    <w:p w14:paraId="06A9212A" w14:textId="2169F7C4" w:rsidR="00DC4971" w:rsidRDefault="00DC4971" w:rsidP="007476CF">
      <w:pPr>
        <w:tabs>
          <w:tab w:val="left" w:pos="7416"/>
        </w:tabs>
      </w:pPr>
    </w:p>
    <w:p w14:paraId="7952D3D2" w14:textId="79951346" w:rsidR="00DC4971" w:rsidRDefault="00DC4971" w:rsidP="007476CF">
      <w:pPr>
        <w:tabs>
          <w:tab w:val="left" w:pos="7416"/>
        </w:tabs>
      </w:pPr>
    </w:p>
    <w:p w14:paraId="67116B86" w14:textId="2256E0B4" w:rsidR="00DC4971" w:rsidRDefault="00DC4971" w:rsidP="007476CF">
      <w:pPr>
        <w:tabs>
          <w:tab w:val="left" w:pos="7416"/>
        </w:tabs>
      </w:pPr>
    </w:p>
    <w:p w14:paraId="79F717E1" w14:textId="175BFF50" w:rsidR="00DC4971" w:rsidRDefault="00DC4971" w:rsidP="007476CF">
      <w:pPr>
        <w:tabs>
          <w:tab w:val="left" w:pos="7416"/>
        </w:tabs>
      </w:pPr>
    </w:p>
    <w:p w14:paraId="3F5E5B2E" w14:textId="21DCD99E" w:rsidR="00DC4971" w:rsidRDefault="00DC4971" w:rsidP="007476CF">
      <w:pPr>
        <w:tabs>
          <w:tab w:val="left" w:pos="7416"/>
        </w:tabs>
      </w:pPr>
    </w:p>
    <w:p w14:paraId="30953713" w14:textId="676EA1FA" w:rsidR="00DC4971" w:rsidRDefault="00DC4971" w:rsidP="007476CF">
      <w:pPr>
        <w:tabs>
          <w:tab w:val="left" w:pos="7416"/>
        </w:tabs>
      </w:pPr>
    </w:p>
    <w:p w14:paraId="77934C37" w14:textId="59520DE2" w:rsidR="00DC4971" w:rsidRDefault="00DC4971" w:rsidP="00DC4971">
      <w:pPr>
        <w:tabs>
          <w:tab w:val="left" w:pos="7416"/>
        </w:tabs>
        <w:jc w:val="center"/>
      </w:pPr>
      <w:r>
        <w:rPr>
          <w:b/>
          <w:bCs/>
        </w:rPr>
        <w:t xml:space="preserve">Figure </w:t>
      </w:r>
      <w:r>
        <w:rPr>
          <w:b/>
          <w:bCs/>
        </w:rPr>
        <w:t>6</w:t>
      </w:r>
      <w:r>
        <w:rPr>
          <w:b/>
          <w:bCs/>
        </w:rPr>
        <w:t>:</w:t>
      </w:r>
      <w:r>
        <w:t xml:space="preserve"> The </w:t>
      </w:r>
      <w:r>
        <w:t>Projection Results</w:t>
      </w:r>
    </w:p>
    <w:p w14:paraId="3BEB8ACB" w14:textId="77777777" w:rsidR="00DC4971" w:rsidRPr="009634C4" w:rsidRDefault="00DC4971" w:rsidP="00DC4971">
      <w:pPr>
        <w:tabs>
          <w:tab w:val="left" w:pos="7416"/>
        </w:tabs>
        <w:jc w:val="center"/>
      </w:pPr>
    </w:p>
    <w:p w14:paraId="1A48D801" w14:textId="746AE5C5" w:rsidR="00DC4971" w:rsidRDefault="00DC4971" w:rsidP="007476CF">
      <w:pPr>
        <w:tabs>
          <w:tab w:val="left" w:pos="7416"/>
        </w:tabs>
      </w:pPr>
      <w:r>
        <w:rPr>
          <w:noProof/>
        </w:rPr>
        <w:drawing>
          <wp:anchor distT="0" distB="0" distL="114300" distR="114300" simplePos="0" relativeHeight="251676672" behindDoc="0" locked="0" layoutInCell="1" allowOverlap="1" wp14:anchorId="03BEF144" wp14:editId="1EE570C8">
            <wp:simplePos x="0" y="0"/>
            <wp:positionH relativeFrom="column">
              <wp:posOffset>670560</wp:posOffset>
            </wp:positionH>
            <wp:positionV relativeFrom="paragraph">
              <wp:posOffset>91440</wp:posOffset>
            </wp:positionV>
            <wp:extent cx="4953000" cy="3055620"/>
            <wp:effectExtent l="0" t="0" r="0" b="11430"/>
            <wp:wrapNone/>
            <wp:docPr id="8" name="Chart 8">
              <a:extLst xmlns:a="http://schemas.openxmlformats.org/drawingml/2006/main">
                <a:ext uri="{FF2B5EF4-FFF2-40B4-BE49-F238E27FC236}">
                  <a16:creationId xmlns:a16="http://schemas.microsoft.com/office/drawing/2014/main" id="{48771907-31BC-421B-B64E-2799E037F4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1FB6A44D" w14:textId="29AC9119" w:rsidR="003C69F7" w:rsidRDefault="003C69F7" w:rsidP="007476CF">
      <w:pPr>
        <w:tabs>
          <w:tab w:val="left" w:pos="7416"/>
        </w:tabs>
      </w:pPr>
    </w:p>
    <w:p w14:paraId="279CE19F" w14:textId="32FECF7E" w:rsidR="003C69F7" w:rsidRDefault="003C69F7" w:rsidP="007476CF">
      <w:pPr>
        <w:tabs>
          <w:tab w:val="left" w:pos="7416"/>
        </w:tabs>
      </w:pPr>
    </w:p>
    <w:p w14:paraId="30C551C7" w14:textId="5421C8DC" w:rsidR="003C69F7" w:rsidRDefault="003C69F7" w:rsidP="007476CF">
      <w:pPr>
        <w:tabs>
          <w:tab w:val="left" w:pos="7416"/>
        </w:tabs>
      </w:pPr>
    </w:p>
    <w:p w14:paraId="35DF7E82" w14:textId="5A050A21" w:rsidR="003C69F7" w:rsidRDefault="003C69F7" w:rsidP="007476CF">
      <w:pPr>
        <w:tabs>
          <w:tab w:val="left" w:pos="7416"/>
        </w:tabs>
      </w:pPr>
    </w:p>
    <w:p w14:paraId="0E628A14" w14:textId="7557DEEE" w:rsidR="003C69F7" w:rsidRDefault="003C69F7" w:rsidP="007476CF">
      <w:pPr>
        <w:tabs>
          <w:tab w:val="left" w:pos="7416"/>
        </w:tabs>
      </w:pPr>
    </w:p>
    <w:p w14:paraId="47103D1B" w14:textId="55051D55" w:rsidR="003C69F7" w:rsidRDefault="003C69F7" w:rsidP="007476CF">
      <w:pPr>
        <w:tabs>
          <w:tab w:val="left" w:pos="7416"/>
        </w:tabs>
      </w:pPr>
    </w:p>
    <w:p w14:paraId="40432EA1" w14:textId="6C60ADC7" w:rsidR="003C69F7" w:rsidRDefault="003C69F7" w:rsidP="007476CF">
      <w:pPr>
        <w:tabs>
          <w:tab w:val="left" w:pos="7416"/>
        </w:tabs>
      </w:pPr>
    </w:p>
    <w:p w14:paraId="53F79C95" w14:textId="5D3EF28B" w:rsidR="003C69F7" w:rsidRDefault="003C69F7" w:rsidP="007476CF">
      <w:pPr>
        <w:tabs>
          <w:tab w:val="left" w:pos="7416"/>
        </w:tabs>
      </w:pPr>
    </w:p>
    <w:p w14:paraId="52EBA659" w14:textId="355974BB" w:rsidR="003C69F7" w:rsidRDefault="003C69F7" w:rsidP="007476CF">
      <w:pPr>
        <w:tabs>
          <w:tab w:val="left" w:pos="7416"/>
        </w:tabs>
      </w:pPr>
    </w:p>
    <w:p w14:paraId="43DFFFF4" w14:textId="036AFB33" w:rsidR="003C69F7" w:rsidRDefault="003C69F7" w:rsidP="007476CF">
      <w:pPr>
        <w:tabs>
          <w:tab w:val="left" w:pos="7416"/>
        </w:tabs>
      </w:pPr>
    </w:p>
    <w:p w14:paraId="3A3398E9" w14:textId="77777777" w:rsidR="003C69F7" w:rsidRPr="007476CF" w:rsidRDefault="003C69F7" w:rsidP="007476CF">
      <w:pPr>
        <w:tabs>
          <w:tab w:val="left" w:pos="7416"/>
        </w:tabs>
      </w:pPr>
    </w:p>
    <w:sectPr w:rsidR="003C69F7" w:rsidRPr="007476C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FDF19" w14:textId="77777777" w:rsidR="002C3F27" w:rsidRDefault="002C3F27" w:rsidP="006B0FE9">
      <w:r>
        <w:separator/>
      </w:r>
    </w:p>
  </w:endnote>
  <w:endnote w:type="continuationSeparator" w:id="0">
    <w:p w14:paraId="36FF85A6" w14:textId="77777777" w:rsidR="002C3F27" w:rsidRDefault="002C3F27" w:rsidP="006B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72206117"/>
      <w:docPartObj>
        <w:docPartGallery w:val="Page Numbers (Bottom of Page)"/>
        <w:docPartUnique/>
      </w:docPartObj>
    </w:sdtPr>
    <w:sdtEndPr>
      <w:rPr>
        <w:noProof/>
      </w:rPr>
    </w:sdtEndPr>
    <w:sdtContent>
      <w:p w14:paraId="6A51AEE4" w14:textId="152D2174" w:rsidR="009634C4" w:rsidRPr="006B0FE9" w:rsidRDefault="009634C4">
        <w:pPr>
          <w:pStyle w:val="Footer"/>
          <w:jc w:val="center"/>
          <w:rPr>
            <w:rFonts w:ascii="Times New Roman" w:hAnsi="Times New Roman" w:cs="Times New Roman"/>
          </w:rPr>
        </w:pPr>
        <w:r w:rsidRPr="006B0FE9">
          <w:rPr>
            <w:rFonts w:ascii="Times New Roman" w:hAnsi="Times New Roman" w:cs="Times New Roman"/>
          </w:rPr>
          <w:fldChar w:fldCharType="begin"/>
        </w:r>
        <w:r w:rsidRPr="006B0FE9">
          <w:rPr>
            <w:rFonts w:ascii="Times New Roman" w:hAnsi="Times New Roman" w:cs="Times New Roman"/>
          </w:rPr>
          <w:instrText xml:space="preserve"> PAGE   \* MERGEFORMAT </w:instrText>
        </w:r>
        <w:r w:rsidRPr="006B0FE9">
          <w:rPr>
            <w:rFonts w:ascii="Times New Roman" w:hAnsi="Times New Roman" w:cs="Times New Roman"/>
          </w:rPr>
          <w:fldChar w:fldCharType="separate"/>
        </w:r>
        <w:r w:rsidRPr="006B0FE9">
          <w:rPr>
            <w:rFonts w:ascii="Times New Roman" w:hAnsi="Times New Roman" w:cs="Times New Roman"/>
            <w:noProof/>
          </w:rPr>
          <w:t>2</w:t>
        </w:r>
        <w:r w:rsidRPr="006B0FE9">
          <w:rPr>
            <w:rFonts w:ascii="Times New Roman" w:hAnsi="Times New Roman" w:cs="Times New Roman"/>
            <w:noProof/>
          </w:rPr>
          <w:fldChar w:fldCharType="end"/>
        </w:r>
      </w:p>
    </w:sdtContent>
  </w:sdt>
  <w:p w14:paraId="554967DE" w14:textId="77777777" w:rsidR="009634C4" w:rsidRDefault="00963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D7C0E" w14:textId="77777777" w:rsidR="002C3F27" w:rsidRDefault="002C3F27" w:rsidP="006B0FE9">
      <w:r>
        <w:separator/>
      </w:r>
    </w:p>
  </w:footnote>
  <w:footnote w:type="continuationSeparator" w:id="0">
    <w:p w14:paraId="7E28AE55" w14:textId="77777777" w:rsidR="002C3F27" w:rsidRDefault="002C3F27" w:rsidP="006B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90C47"/>
    <w:multiLevelType w:val="hybridMultilevel"/>
    <w:tmpl w:val="3156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371F4"/>
    <w:multiLevelType w:val="hybridMultilevel"/>
    <w:tmpl w:val="4F6E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0122E"/>
    <w:multiLevelType w:val="hybridMultilevel"/>
    <w:tmpl w:val="57DE4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8E124B"/>
    <w:multiLevelType w:val="hybridMultilevel"/>
    <w:tmpl w:val="7EFC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42"/>
    <w:rsid w:val="00002634"/>
    <w:rsid w:val="00006BF8"/>
    <w:rsid w:val="00013BF7"/>
    <w:rsid w:val="0001694C"/>
    <w:rsid w:val="000239D1"/>
    <w:rsid w:val="0003085A"/>
    <w:rsid w:val="00033F83"/>
    <w:rsid w:val="000343F3"/>
    <w:rsid w:val="00036611"/>
    <w:rsid w:val="000378F7"/>
    <w:rsid w:val="00043967"/>
    <w:rsid w:val="00054FFE"/>
    <w:rsid w:val="00084AD8"/>
    <w:rsid w:val="0009431D"/>
    <w:rsid w:val="00094742"/>
    <w:rsid w:val="000A2073"/>
    <w:rsid w:val="000A33BA"/>
    <w:rsid w:val="000C2A6E"/>
    <w:rsid w:val="000C4182"/>
    <w:rsid w:val="000C535E"/>
    <w:rsid w:val="000D440C"/>
    <w:rsid w:val="001225A7"/>
    <w:rsid w:val="00122E55"/>
    <w:rsid w:val="00123372"/>
    <w:rsid w:val="00136215"/>
    <w:rsid w:val="0014598C"/>
    <w:rsid w:val="00150259"/>
    <w:rsid w:val="0015403C"/>
    <w:rsid w:val="00154733"/>
    <w:rsid w:val="00163920"/>
    <w:rsid w:val="0017207A"/>
    <w:rsid w:val="00174895"/>
    <w:rsid w:val="001A2C94"/>
    <w:rsid w:val="001D0333"/>
    <w:rsid w:val="001D2C5C"/>
    <w:rsid w:val="00210DCB"/>
    <w:rsid w:val="00214B02"/>
    <w:rsid w:val="0024375A"/>
    <w:rsid w:val="00250922"/>
    <w:rsid w:val="00255183"/>
    <w:rsid w:val="00255C61"/>
    <w:rsid w:val="00262D2E"/>
    <w:rsid w:val="002647C7"/>
    <w:rsid w:val="00264905"/>
    <w:rsid w:val="00266EB1"/>
    <w:rsid w:val="002871F0"/>
    <w:rsid w:val="00292350"/>
    <w:rsid w:val="002B208F"/>
    <w:rsid w:val="002B3CEC"/>
    <w:rsid w:val="002B776F"/>
    <w:rsid w:val="002C2F32"/>
    <w:rsid w:val="002C3F27"/>
    <w:rsid w:val="002C4F8A"/>
    <w:rsid w:val="002C662A"/>
    <w:rsid w:val="002D468A"/>
    <w:rsid w:val="002F645F"/>
    <w:rsid w:val="00303FCE"/>
    <w:rsid w:val="0032298E"/>
    <w:rsid w:val="003253EA"/>
    <w:rsid w:val="00345AB5"/>
    <w:rsid w:val="0034621B"/>
    <w:rsid w:val="0035674B"/>
    <w:rsid w:val="00364838"/>
    <w:rsid w:val="00372E7B"/>
    <w:rsid w:val="00385743"/>
    <w:rsid w:val="00390089"/>
    <w:rsid w:val="00393174"/>
    <w:rsid w:val="00394DB8"/>
    <w:rsid w:val="0039552A"/>
    <w:rsid w:val="003A77B6"/>
    <w:rsid w:val="003B218F"/>
    <w:rsid w:val="003C2D23"/>
    <w:rsid w:val="003C4BF5"/>
    <w:rsid w:val="003C69F7"/>
    <w:rsid w:val="003D3214"/>
    <w:rsid w:val="003D58B7"/>
    <w:rsid w:val="00401E3C"/>
    <w:rsid w:val="00416222"/>
    <w:rsid w:val="004374B8"/>
    <w:rsid w:val="00446851"/>
    <w:rsid w:val="00460506"/>
    <w:rsid w:val="00466AC0"/>
    <w:rsid w:val="00472342"/>
    <w:rsid w:val="00475561"/>
    <w:rsid w:val="00492888"/>
    <w:rsid w:val="004A17D4"/>
    <w:rsid w:val="004A5705"/>
    <w:rsid w:val="004F78B3"/>
    <w:rsid w:val="00504DBD"/>
    <w:rsid w:val="005252FE"/>
    <w:rsid w:val="00531D14"/>
    <w:rsid w:val="00546A7A"/>
    <w:rsid w:val="00551B3D"/>
    <w:rsid w:val="005717F3"/>
    <w:rsid w:val="00573328"/>
    <w:rsid w:val="005C403F"/>
    <w:rsid w:val="005D538C"/>
    <w:rsid w:val="005E6521"/>
    <w:rsid w:val="005F32F4"/>
    <w:rsid w:val="00623537"/>
    <w:rsid w:val="006468B1"/>
    <w:rsid w:val="00650984"/>
    <w:rsid w:val="0067109E"/>
    <w:rsid w:val="00674B52"/>
    <w:rsid w:val="00675BE1"/>
    <w:rsid w:val="00680C48"/>
    <w:rsid w:val="006946FD"/>
    <w:rsid w:val="006955D9"/>
    <w:rsid w:val="0069765F"/>
    <w:rsid w:val="006B0FE9"/>
    <w:rsid w:val="006B2E4E"/>
    <w:rsid w:val="006C22C3"/>
    <w:rsid w:val="006C5385"/>
    <w:rsid w:val="006C6DCB"/>
    <w:rsid w:val="006D150D"/>
    <w:rsid w:val="006D2A42"/>
    <w:rsid w:val="006D7B42"/>
    <w:rsid w:val="006E2DCF"/>
    <w:rsid w:val="006E511D"/>
    <w:rsid w:val="006F4BAA"/>
    <w:rsid w:val="007007A3"/>
    <w:rsid w:val="00700E4F"/>
    <w:rsid w:val="00717731"/>
    <w:rsid w:val="00726CCD"/>
    <w:rsid w:val="00744C0F"/>
    <w:rsid w:val="007476CF"/>
    <w:rsid w:val="00763695"/>
    <w:rsid w:val="00777029"/>
    <w:rsid w:val="00781CF6"/>
    <w:rsid w:val="0079373E"/>
    <w:rsid w:val="00796A13"/>
    <w:rsid w:val="007D02C4"/>
    <w:rsid w:val="007D1F29"/>
    <w:rsid w:val="007D7AC7"/>
    <w:rsid w:val="007E42F8"/>
    <w:rsid w:val="007E5F70"/>
    <w:rsid w:val="007E7412"/>
    <w:rsid w:val="007F36D9"/>
    <w:rsid w:val="00820812"/>
    <w:rsid w:val="00825621"/>
    <w:rsid w:val="00833EA3"/>
    <w:rsid w:val="00861CCE"/>
    <w:rsid w:val="008634AB"/>
    <w:rsid w:val="00863BCF"/>
    <w:rsid w:val="0087308C"/>
    <w:rsid w:val="0087713E"/>
    <w:rsid w:val="00894557"/>
    <w:rsid w:val="008A5954"/>
    <w:rsid w:val="008C253B"/>
    <w:rsid w:val="008D43CB"/>
    <w:rsid w:val="008E4980"/>
    <w:rsid w:val="008E5AA8"/>
    <w:rsid w:val="008F5354"/>
    <w:rsid w:val="0090634E"/>
    <w:rsid w:val="009072BB"/>
    <w:rsid w:val="00925B2C"/>
    <w:rsid w:val="00935574"/>
    <w:rsid w:val="009634C4"/>
    <w:rsid w:val="009677EA"/>
    <w:rsid w:val="00976464"/>
    <w:rsid w:val="009863C7"/>
    <w:rsid w:val="00994A2E"/>
    <w:rsid w:val="009A2123"/>
    <w:rsid w:val="009A380E"/>
    <w:rsid w:val="009B1762"/>
    <w:rsid w:val="009B1D4D"/>
    <w:rsid w:val="009B65CD"/>
    <w:rsid w:val="009C17AD"/>
    <w:rsid w:val="009C2EA4"/>
    <w:rsid w:val="009C5C54"/>
    <w:rsid w:val="009C6466"/>
    <w:rsid w:val="009F03AB"/>
    <w:rsid w:val="009F3DFE"/>
    <w:rsid w:val="00A044E4"/>
    <w:rsid w:val="00A04B6F"/>
    <w:rsid w:val="00A11BEE"/>
    <w:rsid w:val="00A15BB7"/>
    <w:rsid w:val="00A30754"/>
    <w:rsid w:val="00A556D5"/>
    <w:rsid w:val="00A55F57"/>
    <w:rsid w:val="00A57424"/>
    <w:rsid w:val="00A86F38"/>
    <w:rsid w:val="00A92017"/>
    <w:rsid w:val="00AC1606"/>
    <w:rsid w:val="00AC3FA4"/>
    <w:rsid w:val="00AD04A6"/>
    <w:rsid w:val="00AD09D8"/>
    <w:rsid w:val="00B21CD6"/>
    <w:rsid w:val="00B5346D"/>
    <w:rsid w:val="00B552E3"/>
    <w:rsid w:val="00B80296"/>
    <w:rsid w:val="00B83DAF"/>
    <w:rsid w:val="00B9242A"/>
    <w:rsid w:val="00B95637"/>
    <w:rsid w:val="00BB21FE"/>
    <w:rsid w:val="00BB66FF"/>
    <w:rsid w:val="00BB6E7C"/>
    <w:rsid w:val="00BE429E"/>
    <w:rsid w:val="00BF0C60"/>
    <w:rsid w:val="00C0027A"/>
    <w:rsid w:val="00C20AD7"/>
    <w:rsid w:val="00C31A09"/>
    <w:rsid w:val="00C31F02"/>
    <w:rsid w:val="00C32D54"/>
    <w:rsid w:val="00C34D04"/>
    <w:rsid w:val="00C365E0"/>
    <w:rsid w:val="00C3765C"/>
    <w:rsid w:val="00C447C9"/>
    <w:rsid w:val="00C5102B"/>
    <w:rsid w:val="00C6211D"/>
    <w:rsid w:val="00C66A0C"/>
    <w:rsid w:val="00C85BB7"/>
    <w:rsid w:val="00C94B23"/>
    <w:rsid w:val="00C9799F"/>
    <w:rsid w:val="00CB1E81"/>
    <w:rsid w:val="00CC18D0"/>
    <w:rsid w:val="00CF52F9"/>
    <w:rsid w:val="00CF550C"/>
    <w:rsid w:val="00D0595F"/>
    <w:rsid w:val="00D06FC0"/>
    <w:rsid w:val="00D34667"/>
    <w:rsid w:val="00D379D2"/>
    <w:rsid w:val="00D63ACD"/>
    <w:rsid w:val="00D67C76"/>
    <w:rsid w:val="00DA523D"/>
    <w:rsid w:val="00DB537C"/>
    <w:rsid w:val="00DB594B"/>
    <w:rsid w:val="00DC4971"/>
    <w:rsid w:val="00DD67BD"/>
    <w:rsid w:val="00DE3A35"/>
    <w:rsid w:val="00DF261C"/>
    <w:rsid w:val="00DF4619"/>
    <w:rsid w:val="00E03A0A"/>
    <w:rsid w:val="00E042E6"/>
    <w:rsid w:val="00E20873"/>
    <w:rsid w:val="00E21A47"/>
    <w:rsid w:val="00E30975"/>
    <w:rsid w:val="00E31255"/>
    <w:rsid w:val="00E36E01"/>
    <w:rsid w:val="00E47223"/>
    <w:rsid w:val="00E50FA4"/>
    <w:rsid w:val="00E52899"/>
    <w:rsid w:val="00E65224"/>
    <w:rsid w:val="00E706A0"/>
    <w:rsid w:val="00E770D4"/>
    <w:rsid w:val="00E922F4"/>
    <w:rsid w:val="00E93C37"/>
    <w:rsid w:val="00EA111D"/>
    <w:rsid w:val="00EA2479"/>
    <w:rsid w:val="00EA28F2"/>
    <w:rsid w:val="00EA3E2A"/>
    <w:rsid w:val="00EC3505"/>
    <w:rsid w:val="00EC7B34"/>
    <w:rsid w:val="00ED2DED"/>
    <w:rsid w:val="00ED2E19"/>
    <w:rsid w:val="00ED3DA6"/>
    <w:rsid w:val="00EE700D"/>
    <w:rsid w:val="00EF092A"/>
    <w:rsid w:val="00F0025B"/>
    <w:rsid w:val="00F4208C"/>
    <w:rsid w:val="00F44F2C"/>
    <w:rsid w:val="00F55682"/>
    <w:rsid w:val="00F55BD0"/>
    <w:rsid w:val="00F56766"/>
    <w:rsid w:val="00F90330"/>
    <w:rsid w:val="00F93AC7"/>
    <w:rsid w:val="00FB0215"/>
    <w:rsid w:val="00FB4567"/>
    <w:rsid w:val="00FB7287"/>
    <w:rsid w:val="00FC7727"/>
    <w:rsid w:val="00FD5B82"/>
    <w:rsid w:val="00FE469B"/>
    <w:rsid w:val="00FE6EB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D22F"/>
  <w15:chartTrackingRefBased/>
  <w15:docId w15:val="{182148E9-A1D8-4D7C-817F-B9AF1611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F3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4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92350"/>
    <w:rPr>
      <w:color w:val="0000FF"/>
      <w:u w:val="single"/>
    </w:rPr>
  </w:style>
  <w:style w:type="character" w:customStyle="1" w:styleId="author">
    <w:name w:val="author"/>
    <w:basedOn w:val="DefaultParagraphFont"/>
    <w:rsid w:val="00292350"/>
  </w:style>
  <w:style w:type="character" w:customStyle="1" w:styleId="pubyear">
    <w:name w:val="pubyear"/>
    <w:basedOn w:val="DefaultParagraphFont"/>
    <w:rsid w:val="00292350"/>
  </w:style>
  <w:style w:type="character" w:customStyle="1" w:styleId="articletitle">
    <w:name w:val="articletitle"/>
    <w:basedOn w:val="DefaultParagraphFont"/>
    <w:rsid w:val="00292350"/>
  </w:style>
  <w:style w:type="character" w:customStyle="1" w:styleId="vol">
    <w:name w:val="vol"/>
    <w:basedOn w:val="DefaultParagraphFont"/>
    <w:rsid w:val="00292350"/>
  </w:style>
  <w:style w:type="character" w:customStyle="1" w:styleId="pagefirst">
    <w:name w:val="pagefirst"/>
    <w:basedOn w:val="DefaultParagraphFont"/>
    <w:rsid w:val="00292350"/>
  </w:style>
  <w:style w:type="character" w:customStyle="1" w:styleId="pagelast">
    <w:name w:val="pagelast"/>
    <w:basedOn w:val="DefaultParagraphFont"/>
    <w:rsid w:val="00292350"/>
  </w:style>
  <w:style w:type="character" w:customStyle="1" w:styleId="citedissue">
    <w:name w:val="citedissue"/>
    <w:basedOn w:val="DefaultParagraphFont"/>
    <w:rsid w:val="00292350"/>
  </w:style>
  <w:style w:type="paragraph" w:styleId="ListParagraph">
    <w:name w:val="List Paragraph"/>
    <w:basedOn w:val="Normal"/>
    <w:uiPriority w:val="34"/>
    <w:qFormat/>
    <w:rsid w:val="00D34667"/>
    <w:pPr>
      <w:spacing w:after="160" w:line="259" w:lineRule="auto"/>
      <w:ind w:left="720"/>
      <w:contextualSpacing/>
    </w:pPr>
    <w:rPr>
      <w:rFonts w:asciiTheme="minorHAnsi" w:eastAsiaTheme="minorHAnsi" w:hAnsiTheme="minorHAnsi" w:cstheme="minorBidi"/>
      <w:sz w:val="22"/>
      <w:szCs w:val="28"/>
    </w:rPr>
  </w:style>
  <w:style w:type="paragraph" w:styleId="NormalWeb">
    <w:name w:val="Normal (Web)"/>
    <w:basedOn w:val="Normal"/>
    <w:uiPriority w:val="99"/>
    <w:unhideWhenUsed/>
    <w:rsid w:val="00551B3D"/>
    <w:pPr>
      <w:spacing w:before="100" w:beforeAutospacing="1" w:after="100" w:afterAutospacing="1"/>
    </w:pPr>
  </w:style>
  <w:style w:type="paragraph" w:styleId="Header">
    <w:name w:val="header"/>
    <w:basedOn w:val="Normal"/>
    <w:link w:val="HeaderChar"/>
    <w:uiPriority w:val="99"/>
    <w:unhideWhenUsed/>
    <w:rsid w:val="006B0FE9"/>
    <w:pPr>
      <w:tabs>
        <w:tab w:val="center" w:pos="4680"/>
        <w:tab w:val="right" w:pos="9360"/>
      </w:tabs>
    </w:pPr>
    <w:rPr>
      <w:rFonts w:asciiTheme="minorHAnsi" w:eastAsiaTheme="minorHAnsi" w:hAnsiTheme="minorHAnsi" w:cstheme="minorBidi"/>
      <w:sz w:val="22"/>
      <w:szCs w:val="28"/>
    </w:rPr>
  </w:style>
  <w:style w:type="character" w:customStyle="1" w:styleId="HeaderChar">
    <w:name w:val="Header Char"/>
    <w:basedOn w:val="DefaultParagraphFont"/>
    <w:link w:val="Header"/>
    <w:uiPriority w:val="99"/>
    <w:rsid w:val="006B0FE9"/>
  </w:style>
  <w:style w:type="paragraph" w:styleId="Footer">
    <w:name w:val="footer"/>
    <w:basedOn w:val="Normal"/>
    <w:link w:val="FooterChar"/>
    <w:uiPriority w:val="99"/>
    <w:unhideWhenUsed/>
    <w:rsid w:val="006B0FE9"/>
    <w:pPr>
      <w:tabs>
        <w:tab w:val="center" w:pos="4680"/>
        <w:tab w:val="right" w:pos="9360"/>
      </w:tabs>
    </w:pPr>
    <w:rPr>
      <w:rFonts w:asciiTheme="minorHAnsi" w:eastAsiaTheme="minorHAnsi" w:hAnsiTheme="minorHAnsi" w:cstheme="minorBidi"/>
      <w:sz w:val="22"/>
      <w:szCs w:val="28"/>
    </w:rPr>
  </w:style>
  <w:style w:type="character" w:customStyle="1" w:styleId="FooterChar">
    <w:name w:val="Footer Char"/>
    <w:basedOn w:val="DefaultParagraphFont"/>
    <w:link w:val="Footer"/>
    <w:uiPriority w:val="99"/>
    <w:rsid w:val="006B0FE9"/>
  </w:style>
  <w:style w:type="character" w:customStyle="1" w:styleId="a">
    <w:name w:val="_"/>
    <w:basedOn w:val="DefaultParagraphFont"/>
    <w:rsid w:val="006E511D"/>
  </w:style>
  <w:style w:type="character" w:customStyle="1" w:styleId="nlmstring-name">
    <w:name w:val="nlm_string-name"/>
    <w:basedOn w:val="DefaultParagraphFont"/>
    <w:rsid w:val="00E65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44985">
      <w:bodyDiv w:val="1"/>
      <w:marLeft w:val="0"/>
      <w:marRight w:val="0"/>
      <w:marTop w:val="0"/>
      <w:marBottom w:val="0"/>
      <w:divBdr>
        <w:top w:val="none" w:sz="0" w:space="0" w:color="auto"/>
        <w:left w:val="none" w:sz="0" w:space="0" w:color="auto"/>
        <w:bottom w:val="none" w:sz="0" w:space="0" w:color="auto"/>
        <w:right w:val="none" w:sz="0" w:space="0" w:color="auto"/>
      </w:divBdr>
    </w:div>
    <w:div w:id="163588966">
      <w:bodyDiv w:val="1"/>
      <w:marLeft w:val="0"/>
      <w:marRight w:val="0"/>
      <w:marTop w:val="0"/>
      <w:marBottom w:val="0"/>
      <w:divBdr>
        <w:top w:val="none" w:sz="0" w:space="0" w:color="auto"/>
        <w:left w:val="none" w:sz="0" w:space="0" w:color="auto"/>
        <w:bottom w:val="none" w:sz="0" w:space="0" w:color="auto"/>
        <w:right w:val="none" w:sz="0" w:space="0" w:color="auto"/>
      </w:divBdr>
      <w:divsChild>
        <w:div w:id="627511157">
          <w:marLeft w:val="0"/>
          <w:marRight w:val="0"/>
          <w:marTop w:val="0"/>
          <w:marBottom w:val="0"/>
          <w:divBdr>
            <w:top w:val="none" w:sz="0" w:space="0" w:color="auto"/>
            <w:left w:val="none" w:sz="0" w:space="0" w:color="auto"/>
            <w:bottom w:val="none" w:sz="0" w:space="0" w:color="auto"/>
            <w:right w:val="none" w:sz="0" w:space="0" w:color="auto"/>
          </w:divBdr>
          <w:divsChild>
            <w:div w:id="1217083443">
              <w:marLeft w:val="0"/>
              <w:marRight w:val="0"/>
              <w:marTop w:val="0"/>
              <w:marBottom w:val="0"/>
              <w:divBdr>
                <w:top w:val="none" w:sz="0" w:space="0" w:color="auto"/>
                <w:left w:val="none" w:sz="0" w:space="0" w:color="auto"/>
                <w:bottom w:val="none" w:sz="0" w:space="0" w:color="auto"/>
                <w:right w:val="none" w:sz="0" w:space="0" w:color="auto"/>
              </w:divBdr>
              <w:divsChild>
                <w:div w:id="194827556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309751709">
      <w:bodyDiv w:val="1"/>
      <w:marLeft w:val="0"/>
      <w:marRight w:val="0"/>
      <w:marTop w:val="0"/>
      <w:marBottom w:val="0"/>
      <w:divBdr>
        <w:top w:val="none" w:sz="0" w:space="0" w:color="auto"/>
        <w:left w:val="none" w:sz="0" w:space="0" w:color="auto"/>
        <w:bottom w:val="none" w:sz="0" w:space="0" w:color="auto"/>
        <w:right w:val="none" w:sz="0" w:space="0" w:color="auto"/>
      </w:divBdr>
    </w:div>
    <w:div w:id="582564821">
      <w:bodyDiv w:val="1"/>
      <w:marLeft w:val="0"/>
      <w:marRight w:val="0"/>
      <w:marTop w:val="0"/>
      <w:marBottom w:val="0"/>
      <w:divBdr>
        <w:top w:val="none" w:sz="0" w:space="0" w:color="auto"/>
        <w:left w:val="none" w:sz="0" w:space="0" w:color="auto"/>
        <w:bottom w:val="none" w:sz="0" w:space="0" w:color="auto"/>
        <w:right w:val="none" w:sz="0" w:space="0" w:color="auto"/>
      </w:divBdr>
    </w:div>
    <w:div w:id="767189638">
      <w:bodyDiv w:val="1"/>
      <w:marLeft w:val="0"/>
      <w:marRight w:val="0"/>
      <w:marTop w:val="0"/>
      <w:marBottom w:val="0"/>
      <w:divBdr>
        <w:top w:val="none" w:sz="0" w:space="0" w:color="auto"/>
        <w:left w:val="none" w:sz="0" w:space="0" w:color="auto"/>
        <w:bottom w:val="none" w:sz="0" w:space="0" w:color="auto"/>
        <w:right w:val="none" w:sz="0" w:space="0" w:color="auto"/>
      </w:divBdr>
    </w:div>
    <w:div w:id="961111266">
      <w:bodyDiv w:val="1"/>
      <w:marLeft w:val="0"/>
      <w:marRight w:val="0"/>
      <w:marTop w:val="0"/>
      <w:marBottom w:val="0"/>
      <w:divBdr>
        <w:top w:val="none" w:sz="0" w:space="0" w:color="auto"/>
        <w:left w:val="none" w:sz="0" w:space="0" w:color="auto"/>
        <w:bottom w:val="none" w:sz="0" w:space="0" w:color="auto"/>
        <w:right w:val="none" w:sz="0" w:space="0" w:color="auto"/>
      </w:divBdr>
      <w:divsChild>
        <w:div w:id="155271557">
          <w:marLeft w:val="300"/>
          <w:marRight w:val="0"/>
          <w:marTop w:val="90"/>
          <w:marBottom w:val="300"/>
          <w:divBdr>
            <w:top w:val="none" w:sz="0" w:space="0" w:color="auto"/>
            <w:left w:val="none" w:sz="0" w:space="0" w:color="auto"/>
            <w:bottom w:val="none" w:sz="0" w:space="0" w:color="auto"/>
            <w:right w:val="none" w:sz="0" w:space="0" w:color="auto"/>
          </w:divBdr>
        </w:div>
        <w:div w:id="391269983">
          <w:marLeft w:val="300"/>
          <w:marRight w:val="0"/>
          <w:marTop w:val="90"/>
          <w:marBottom w:val="300"/>
          <w:divBdr>
            <w:top w:val="none" w:sz="0" w:space="0" w:color="auto"/>
            <w:left w:val="none" w:sz="0" w:space="0" w:color="auto"/>
            <w:bottom w:val="none" w:sz="0" w:space="0" w:color="auto"/>
            <w:right w:val="none" w:sz="0" w:space="0" w:color="auto"/>
          </w:divBdr>
        </w:div>
        <w:div w:id="840386796">
          <w:marLeft w:val="300"/>
          <w:marRight w:val="0"/>
          <w:marTop w:val="90"/>
          <w:marBottom w:val="300"/>
          <w:divBdr>
            <w:top w:val="none" w:sz="0" w:space="0" w:color="auto"/>
            <w:left w:val="none" w:sz="0" w:space="0" w:color="auto"/>
            <w:bottom w:val="none" w:sz="0" w:space="0" w:color="auto"/>
            <w:right w:val="none" w:sz="0" w:space="0" w:color="auto"/>
          </w:divBdr>
        </w:div>
        <w:div w:id="402803632">
          <w:marLeft w:val="300"/>
          <w:marRight w:val="0"/>
          <w:marTop w:val="90"/>
          <w:marBottom w:val="300"/>
          <w:divBdr>
            <w:top w:val="none" w:sz="0" w:space="0" w:color="auto"/>
            <w:left w:val="none" w:sz="0" w:space="0" w:color="auto"/>
            <w:bottom w:val="none" w:sz="0" w:space="0" w:color="auto"/>
            <w:right w:val="none" w:sz="0" w:space="0" w:color="auto"/>
          </w:divBdr>
        </w:div>
        <w:div w:id="1020352644">
          <w:marLeft w:val="300"/>
          <w:marRight w:val="0"/>
          <w:marTop w:val="90"/>
          <w:marBottom w:val="300"/>
          <w:divBdr>
            <w:top w:val="none" w:sz="0" w:space="0" w:color="auto"/>
            <w:left w:val="none" w:sz="0" w:space="0" w:color="auto"/>
            <w:bottom w:val="none" w:sz="0" w:space="0" w:color="auto"/>
            <w:right w:val="none" w:sz="0" w:space="0" w:color="auto"/>
          </w:divBdr>
        </w:div>
        <w:div w:id="1815216500">
          <w:marLeft w:val="300"/>
          <w:marRight w:val="0"/>
          <w:marTop w:val="90"/>
          <w:marBottom w:val="300"/>
          <w:divBdr>
            <w:top w:val="none" w:sz="0" w:space="0" w:color="auto"/>
            <w:left w:val="none" w:sz="0" w:space="0" w:color="auto"/>
            <w:bottom w:val="none" w:sz="0" w:space="0" w:color="auto"/>
            <w:right w:val="none" w:sz="0" w:space="0" w:color="auto"/>
          </w:divBdr>
        </w:div>
      </w:divsChild>
    </w:div>
    <w:div w:id="1070810473">
      <w:bodyDiv w:val="1"/>
      <w:marLeft w:val="0"/>
      <w:marRight w:val="0"/>
      <w:marTop w:val="0"/>
      <w:marBottom w:val="0"/>
      <w:divBdr>
        <w:top w:val="none" w:sz="0" w:space="0" w:color="auto"/>
        <w:left w:val="none" w:sz="0" w:space="0" w:color="auto"/>
        <w:bottom w:val="none" w:sz="0" w:space="0" w:color="auto"/>
        <w:right w:val="none" w:sz="0" w:space="0" w:color="auto"/>
      </w:divBdr>
    </w:div>
    <w:div w:id="1080637434">
      <w:bodyDiv w:val="1"/>
      <w:marLeft w:val="0"/>
      <w:marRight w:val="0"/>
      <w:marTop w:val="0"/>
      <w:marBottom w:val="0"/>
      <w:divBdr>
        <w:top w:val="none" w:sz="0" w:space="0" w:color="auto"/>
        <w:left w:val="none" w:sz="0" w:space="0" w:color="auto"/>
        <w:bottom w:val="none" w:sz="0" w:space="0" w:color="auto"/>
        <w:right w:val="none" w:sz="0" w:space="0" w:color="auto"/>
      </w:divBdr>
    </w:div>
    <w:div w:id="1291478191">
      <w:bodyDiv w:val="1"/>
      <w:marLeft w:val="0"/>
      <w:marRight w:val="0"/>
      <w:marTop w:val="0"/>
      <w:marBottom w:val="0"/>
      <w:divBdr>
        <w:top w:val="none" w:sz="0" w:space="0" w:color="auto"/>
        <w:left w:val="none" w:sz="0" w:space="0" w:color="auto"/>
        <w:bottom w:val="none" w:sz="0" w:space="0" w:color="auto"/>
        <w:right w:val="none" w:sz="0" w:space="0" w:color="auto"/>
      </w:divBdr>
    </w:div>
    <w:div w:id="1314262057">
      <w:bodyDiv w:val="1"/>
      <w:marLeft w:val="0"/>
      <w:marRight w:val="0"/>
      <w:marTop w:val="0"/>
      <w:marBottom w:val="0"/>
      <w:divBdr>
        <w:top w:val="none" w:sz="0" w:space="0" w:color="auto"/>
        <w:left w:val="none" w:sz="0" w:space="0" w:color="auto"/>
        <w:bottom w:val="none" w:sz="0" w:space="0" w:color="auto"/>
        <w:right w:val="none" w:sz="0" w:space="0" w:color="auto"/>
      </w:divBdr>
    </w:div>
    <w:div w:id="1319655234">
      <w:bodyDiv w:val="1"/>
      <w:marLeft w:val="0"/>
      <w:marRight w:val="0"/>
      <w:marTop w:val="0"/>
      <w:marBottom w:val="0"/>
      <w:divBdr>
        <w:top w:val="none" w:sz="0" w:space="0" w:color="auto"/>
        <w:left w:val="none" w:sz="0" w:space="0" w:color="auto"/>
        <w:bottom w:val="none" w:sz="0" w:space="0" w:color="auto"/>
        <w:right w:val="none" w:sz="0" w:space="0" w:color="auto"/>
      </w:divBdr>
    </w:div>
    <w:div w:id="1367826097">
      <w:bodyDiv w:val="1"/>
      <w:marLeft w:val="0"/>
      <w:marRight w:val="0"/>
      <w:marTop w:val="0"/>
      <w:marBottom w:val="0"/>
      <w:divBdr>
        <w:top w:val="none" w:sz="0" w:space="0" w:color="auto"/>
        <w:left w:val="none" w:sz="0" w:space="0" w:color="auto"/>
        <w:bottom w:val="none" w:sz="0" w:space="0" w:color="auto"/>
        <w:right w:val="none" w:sz="0" w:space="0" w:color="auto"/>
      </w:divBdr>
    </w:div>
    <w:div w:id="1375884500">
      <w:bodyDiv w:val="1"/>
      <w:marLeft w:val="0"/>
      <w:marRight w:val="0"/>
      <w:marTop w:val="0"/>
      <w:marBottom w:val="0"/>
      <w:divBdr>
        <w:top w:val="none" w:sz="0" w:space="0" w:color="auto"/>
        <w:left w:val="none" w:sz="0" w:space="0" w:color="auto"/>
        <w:bottom w:val="none" w:sz="0" w:space="0" w:color="auto"/>
        <w:right w:val="none" w:sz="0" w:space="0" w:color="auto"/>
      </w:divBdr>
    </w:div>
    <w:div w:id="1476987749">
      <w:bodyDiv w:val="1"/>
      <w:marLeft w:val="0"/>
      <w:marRight w:val="0"/>
      <w:marTop w:val="0"/>
      <w:marBottom w:val="0"/>
      <w:divBdr>
        <w:top w:val="none" w:sz="0" w:space="0" w:color="auto"/>
        <w:left w:val="none" w:sz="0" w:space="0" w:color="auto"/>
        <w:bottom w:val="none" w:sz="0" w:space="0" w:color="auto"/>
        <w:right w:val="none" w:sz="0" w:space="0" w:color="auto"/>
      </w:divBdr>
    </w:div>
    <w:div w:id="1532956194">
      <w:bodyDiv w:val="1"/>
      <w:marLeft w:val="0"/>
      <w:marRight w:val="0"/>
      <w:marTop w:val="0"/>
      <w:marBottom w:val="0"/>
      <w:divBdr>
        <w:top w:val="none" w:sz="0" w:space="0" w:color="auto"/>
        <w:left w:val="none" w:sz="0" w:space="0" w:color="auto"/>
        <w:bottom w:val="none" w:sz="0" w:space="0" w:color="auto"/>
        <w:right w:val="none" w:sz="0" w:space="0" w:color="auto"/>
      </w:divBdr>
    </w:div>
    <w:div w:id="1694957640">
      <w:bodyDiv w:val="1"/>
      <w:marLeft w:val="0"/>
      <w:marRight w:val="0"/>
      <w:marTop w:val="0"/>
      <w:marBottom w:val="0"/>
      <w:divBdr>
        <w:top w:val="none" w:sz="0" w:space="0" w:color="auto"/>
        <w:left w:val="none" w:sz="0" w:space="0" w:color="auto"/>
        <w:bottom w:val="none" w:sz="0" w:space="0" w:color="auto"/>
        <w:right w:val="none" w:sz="0" w:space="0" w:color="auto"/>
      </w:divBdr>
    </w:div>
    <w:div w:id="1743527907">
      <w:bodyDiv w:val="1"/>
      <w:marLeft w:val="0"/>
      <w:marRight w:val="0"/>
      <w:marTop w:val="0"/>
      <w:marBottom w:val="0"/>
      <w:divBdr>
        <w:top w:val="none" w:sz="0" w:space="0" w:color="auto"/>
        <w:left w:val="none" w:sz="0" w:space="0" w:color="auto"/>
        <w:bottom w:val="none" w:sz="0" w:space="0" w:color="auto"/>
        <w:right w:val="none" w:sz="0" w:space="0" w:color="auto"/>
      </w:divBdr>
    </w:div>
    <w:div w:id="1934238263">
      <w:bodyDiv w:val="1"/>
      <w:marLeft w:val="0"/>
      <w:marRight w:val="0"/>
      <w:marTop w:val="0"/>
      <w:marBottom w:val="0"/>
      <w:divBdr>
        <w:top w:val="none" w:sz="0" w:space="0" w:color="auto"/>
        <w:left w:val="none" w:sz="0" w:space="0" w:color="auto"/>
        <w:bottom w:val="none" w:sz="0" w:space="0" w:color="auto"/>
        <w:right w:val="none" w:sz="0" w:space="0" w:color="auto"/>
      </w:divBdr>
      <w:divsChild>
        <w:div w:id="1258976694">
          <w:marLeft w:val="0"/>
          <w:marRight w:val="0"/>
          <w:marTop w:val="0"/>
          <w:marBottom w:val="0"/>
          <w:divBdr>
            <w:top w:val="none" w:sz="0" w:space="0" w:color="auto"/>
            <w:left w:val="none" w:sz="0" w:space="0" w:color="auto"/>
            <w:bottom w:val="none" w:sz="0" w:space="0" w:color="auto"/>
            <w:right w:val="none" w:sz="0" w:space="0" w:color="auto"/>
          </w:divBdr>
          <w:divsChild>
            <w:div w:id="481504891">
              <w:marLeft w:val="0"/>
              <w:marRight w:val="0"/>
              <w:marTop w:val="0"/>
              <w:marBottom w:val="0"/>
              <w:divBdr>
                <w:top w:val="none" w:sz="0" w:space="0" w:color="auto"/>
                <w:left w:val="none" w:sz="0" w:space="0" w:color="auto"/>
                <w:bottom w:val="none" w:sz="0" w:space="0" w:color="auto"/>
                <w:right w:val="none" w:sz="0" w:space="0" w:color="auto"/>
              </w:divBdr>
              <w:divsChild>
                <w:div w:id="2083941819">
                  <w:marLeft w:val="0"/>
                  <w:marRight w:val="150"/>
                  <w:marTop w:val="150"/>
                  <w:marBottom w:val="135"/>
                  <w:divBdr>
                    <w:top w:val="none" w:sz="0" w:space="0" w:color="auto"/>
                    <w:left w:val="none" w:sz="0" w:space="0" w:color="auto"/>
                    <w:bottom w:val="none" w:sz="0" w:space="0" w:color="auto"/>
                    <w:right w:val="none" w:sz="0" w:space="0" w:color="auto"/>
                  </w:divBdr>
                </w:div>
                <w:div w:id="96314776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0126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prue\Desktop\econ656\foreca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50"/>
              <a:t>The projections of changes in current account balance due to demogphic shocks</a:t>
            </a: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v>China</c:v>
          </c:tx>
          <c:spPr>
            <a:ln w="28575" cap="rnd">
              <a:solidFill>
                <a:sysClr val="windowText" lastClr="000000"/>
              </a:solidFill>
              <a:round/>
            </a:ln>
            <a:effectLst/>
          </c:spPr>
          <c:marker>
            <c:symbol val="none"/>
          </c:marker>
          <c:cat>
            <c:numRef>
              <c:f>Sheet1!$A$11:$A$61</c:f>
              <c:numCache>
                <c:formatCode>General</c:formatCode>
                <c:ptCount val="51"/>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pt idx="14">
                  <c:v>2054</c:v>
                </c:pt>
                <c:pt idx="15">
                  <c:v>2055</c:v>
                </c:pt>
                <c:pt idx="16">
                  <c:v>2056</c:v>
                </c:pt>
                <c:pt idx="17">
                  <c:v>2057</c:v>
                </c:pt>
                <c:pt idx="18">
                  <c:v>2058</c:v>
                </c:pt>
                <c:pt idx="19">
                  <c:v>2059</c:v>
                </c:pt>
                <c:pt idx="20">
                  <c:v>2060</c:v>
                </c:pt>
                <c:pt idx="21">
                  <c:v>2061</c:v>
                </c:pt>
                <c:pt idx="22">
                  <c:v>2062</c:v>
                </c:pt>
                <c:pt idx="23">
                  <c:v>2063</c:v>
                </c:pt>
                <c:pt idx="24">
                  <c:v>2064</c:v>
                </c:pt>
                <c:pt idx="25">
                  <c:v>2065</c:v>
                </c:pt>
                <c:pt idx="26">
                  <c:v>2066</c:v>
                </c:pt>
                <c:pt idx="27">
                  <c:v>2067</c:v>
                </c:pt>
                <c:pt idx="28">
                  <c:v>2068</c:v>
                </c:pt>
                <c:pt idx="29">
                  <c:v>2069</c:v>
                </c:pt>
                <c:pt idx="30">
                  <c:v>2070</c:v>
                </c:pt>
                <c:pt idx="31">
                  <c:v>2071</c:v>
                </c:pt>
                <c:pt idx="32">
                  <c:v>2072</c:v>
                </c:pt>
                <c:pt idx="33">
                  <c:v>2073</c:v>
                </c:pt>
                <c:pt idx="34">
                  <c:v>2074</c:v>
                </c:pt>
                <c:pt idx="35">
                  <c:v>2075</c:v>
                </c:pt>
                <c:pt idx="36">
                  <c:v>2076</c:v>
                </c:pt>
                <c:pt idx="37">
                  <c:v>2077</c:v>
                </c:pt>
                <c:pt idx="38">
                  <c:v>2078</c:v>
                </c:pt>
                <c:pt idx="39">
                  <c:v>2079</c:v>
                </c:pt>
                <c:pt idx="40">
                  <c:v>2080</c:v>
                </c:pt>
                <c:pt idx="41">
                  <c:v>2081</c:v>
                </c:pt>
                <c:pt idx="42">
                  <c:v>2082</c:v>
                </c:pt>
                <c:pt idx="43">
                  <c:v>2083</c:v>
                </c:pt>
                <c:pt idx="44">
                  <c:v>2084</c:v>
                </c:pt>
                <c:pt idx="45">
                  <c:v>2085</c:v>
                </c:pt>
                <c:pt idx="46">
                  <c:v>2086</c:v>
                </c:pt>
                <c:pt idx="47">
                  <c:v>2087</c:v>
                </c:pt>
                <c:pt idx="48">
                  <c:v>2088</c:v>
                </c:pt>
                <c:pt idx="49">
                  <c:v>2089</c:v>
                </c:pt>
                <c:pt idx="50">
                  <c:v>2090</c:v>
                </c:pt>
              </c:numCache>
            </c:numRef>
          </c:cat>
          <c:val>
            <c:numRef>
              <c:f>Sheet1!$F$12:$F$61</c:f>
              <c:numCache>
                <c:formatCode>General</c:formatCode>
                <c:ptCount val="50"/>
                <c:pt idx="0">
                  <c:v>-3.5942598572142874E-2</c:v>
                </c:pt>
                <c:pt idx="1">
                  <c:v>-6.0809771589725503E-2</c:v>
                </c:pt>
                <c:pt idx="2">
                  <c:v>-7.7505795170790856E-2</c:v>
                </c:pt>
                <c:pt idx="3">
                  <c:v>-8.8195435120686005E-2</c:v>
                </c:pt>
                <c:pt idx="4">
                  <c:v>-9.449151756162337E-2</c:v>
                </c:pt>
                <c:pt idx="5">
                  <c:v>-9.7594615989801126E-2</c:v>
                </c:pt>
                <c:pt idx="6">
                  <c:v>-9.8397640760734609E-2</c:v>
                </c:pt>
                <c:pt idx="7">
                  <c:v>-9.7563673868223871E-2</c:v>
                </c:pt>
                <c:pt idx="8">
                  <c:v>-9.5584337037328895E-2</c:v>
                </c:pt>
                <c:pt idx="9">
                  <c:v>-9.2823168231580697E-2</c:v>
                </c:pt>
                <c:pt idx="10">
                  <c:v>-8.9548162024640096E-2</c:v>
                </c:pt>
                <c:pt idx="11">
                  <c:v>-8.5956094966537583E-2</c:v>
                </c:pt>
                <c:pt idx="12">
                  <c:v>-8.2190553844592368E-2</c:v>
                </c:pt>
                <c:pt idx="13">
                  <c:v>-7.8355648669111405E-2</c:v>
                </c:pt>
                <c:pt idx="14">
                  <c:v>-7.4525953788896024E-2</c:v>
                </c:pt>
                <c:pt idx="15">
                  <c:v>-7.0754211456634714E-2</c:v>
                </c:pt>
                <c:pt idx="16">
                  <c:v>-6.7076925704188259E-2</c:v>
                </c:pt>
                <c:pt idx="17">
                  <c:v>-6.3518677617809646E-2</c:v>
                </c:pt>
                <c:pt idx="18">
                  <c:v>-6.0095130048297266E-2</c:v>
                </c:pt>
                <c:pt idx="19">
                  <c:v>-5.6815584811125273E-2</c:v>
                </c:pt>
                <c:pt idx="20">
                  <c:v>-5.3684485041520187E-2</c:v>
                </c:pt>
                <c:pt idx="21">
                  <c:v>-5.0702981479540617E-2</c:v>
                </c:pt>
                <c:pt idx="22">
                  <c:v>-4.7869731595118155E-2</c:v>
                </c:pt>
                <c:pt idx="23">
                  <c:v>-4.518176264310126E-2</c:v>
                </c:pt>
                <c:pt idx="24">
                  <c:v>-4.2634823278273233E-2</c:v>
                </c:pt>
                <c:pt idx="25">
                  <c:v>-4.0223990890383136E-2</c:v>
                </c:pt>
                <c:pt idx="26">
                  <c:v>-3.794383142915398E-2</c:v>
                </c:pt>
                <c:pt idx="27">
                  <c:v>-3.5788623159294104E-2</c:v>
                </c:pt>
                <c:pt idx="28">
                  <c:v>-3.375258041550859E-2</c:v>
                </c:pt>
                <c:pt idx="29">
                  <c:v>-3.1829885567500882E-2</c:v>
                </c:pt>
                <c:pt idx="30">
                  <c:v>-3.0014848844980953E-2</c:v>
                </c:pt>
                <c:pt idx="31">
                  <c:v>-2.8301876372663664E-2</c:v>
                </c:pt>
                <c:pt idx="32">
                  <c:v>-2.6685566065273642E-2</c:v>
                </c:pt>
                <c:pt idx="33">
                  <c:v>-2.5160739592546933E-2</c:v>
                </c:pt>
                <c:pt idx="34">
                  <c:v>-2.372237844922772E-2</c:v>
                </c:pt>
                <c:pt idx="35">
                  <c:v>-2.2365783780076483E-2</c:v>
                </c:pt>
                <c:pt idx="36">
                  <c:v>-2.1086384589860212E-2</c:v>
                </c:pt>
                <c:pt idx="37">
                  <c:v>-1.9879897568360581E-2</c:v>
                </c:pt>
                <c:pt idx="38">
                  <c:v>-1.8742231195369021E-2</c:v>
                </c:pt>
                <c:pt idx="39">
                  <c:v>-1.766948574068675E-2</c:v>
                </c:pt>
                <c:pt idx="40">
                  <c:v>-1.6658017194128016E-2</c:v>
                </c:pt>
                <c:pt idx="41">
                  <c:v>-1.5704341370515216E-2</c:v>
                </c:pt>
                <c:pt idx="42">
                  <c:v>-1.4805197839682153E-2</c:v>
                </c:pt>
                <c:pt idx="43">
                  <c:v>-1.3957454031469144E-2</c:v>
                </c:pt>
                <c:pt idx="44">
                  <c:v>-1.3158233095729549E-2</c:v>
                </c:pt>
                <c:pt idx="45">
                  <c:v>-1.2404722112319978E-2</c:v>
                </c:pt>
                <c:pt idx="46">
                  <c:v>-1.1694331916108454E-2</c:v>
                </c:pt>
                <c:pt idx="47">
                  <c:v>-1.1024633166971137E-2</c:v>
                </c:pt>
                <c:pt idx="48">
                  <c:v>-1.0393228489785831E-2</c:v>
                </c:pt>
                <c:pt idx="49">
                  <c:v>-9.7980081944449918E-3</c:v>
                </c:pt>
              </c:numCache>
            </c:numRef>
          </c:val>
          <c:smooth val="0"/>
          <c:extLst>
            <c:ext xmlns:c16="http://schemas.microsoft.com/office/drawing/2014/chart" uri="{C3380CC4-5D6E-409C-BE32-E72D297353CC}">
              <c16:uniqueId val="{00000000-AD01-4A31-ADC7-5563316AA526}"/>
            </c:ext>
          </c:extLst>
        </c:ser>
        <c:ser>
          <c:idx val="1"/>
          <c:order val="1"/>
          <c:tx>
            <c:v>Thailand</c:v>
          </c:tx>
          <c:spPr>
            <a:ln w="28575" cap="rnd">
              <a:solidFill>
                <a:schemeClr val="bg1">
                  <a:lumMod val="50000"/>
                </a:schemeClr>
              </a:solidFill>
              <a:prstDash val="sysDash"/>
              <a:round/>
            </a:ln>
            <a:effectLst/>
          </c:spPr>
          <c:marker>
            <c:symbol val="none"/>
          </c:marker>
          <c:cat>
            <c:numRef>
              <c:f>Sheet1!$A$11:$A$61</c:f>
              <c:numCache>
                <c:formatCode>General</c:formatCode>
                <c:ptCount val="51"/>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pt idx="14">
                  <c:v>2054</c:v>
                </c:pt>
                <c:pt idx="15">
                  <c:v>2055</c:v>
                </c:pt>
                <c:pt idx="16">
                  <c:v>2056</c:v>
                </c:pt>
                <c:pt idx="17">
                  <c:v>2057</c:v>
                </c:pt>
                <c:pt idx="18">
                  <c:v>2058</c:v>
                </c:pt>
                <c:pt idx="19">
                  <c:v>2059</c:v>
                </c:pt>
                <c:pt idx="20">
                  <c:v>2060</c:v>
                </c:pt>
                <c:pt idx="21">
                  <c:v>2061</c:v>
                </c:pt>
                <c:pt idx="22">
                  <c:v>2062</c:v>
                </c:pt>
                <c:pt idx="23">
                  <c:v>2063</c:v>
                </c:pt>
                <c:pt idx="24">
                  <c:v>2064</c:v>
                </c:pt>
                <c:pt idx="25">
                  <c:v>2065</c:v>
                </c:pt>
                <c:pt idx="26">
                  <c:v>2066</c:v>
                </c:pt>
                <c:pt idx="27">
                  <c:v>2067</c:v>
                </c:pt>
                <c:pt idx="28">
                  <c:v>2068</c:v>
                </c:pt>
                <c:pt idx="29">
                  <c:v>2069</c:v>
                </c:pt>
                <c:pt idx="30">
                  <c:v>2070</c:v>
                </c:pt>
                <c:pt idx="31">
                  <c:v>2071</c:v>
                </c:pt>
                <c:pt idx="32">
                  <c:v>2072</c:v>
                </c:pt>
                <c:pt idx="33">
                  <c:v>2073</c:v>
                </c:pt>
                <c:pt idx="34">
                  <c:v>2074</c:v>
                </c:pt>
                <c:pt idx="35">
                  <c:v>2075</c:v>
                </c:pt>
                <c:pt idx="36">
                  <c:v>2076</c:v>
                </c:pt>
                <c:pt idx="37">
                  <c:v>2077</c:v>
                </c:pt>
                <c:pt idx="38">
                  <c:v>2078</c:v>
                </c:pt>
                <c:pt idx="39">
                  <c:v>2079</c:v>
                </c:pt>
                <c:pt idx="40">
                  <c:v>2080</c:v>
                </c:pt>
                <c:pt idx="41">
                  <c:v>2081</c:v>
                </c:pt>
                <c:pt idx="42">
                  <c:v>2082</c:v>
                </c:pt>
                <c:pt idx="43">
                  <c:v>2083</c:v>
                </c:pt>
                <c:pt idx="44">
                  <c:v>2084</c:v>
                </c:pt>
                <c:pt idx="45">
                  <c:v>2085</c:v>
                </c:pt>
                <c:pt idx="46">
                  <c:v>2086</c:v>
                </c:pt>
                <c:pt idx="47">
                  <c:v>2087</c:v>
                </c:pt>
                <c:pt idx="48">
                  <c:v>2088</c:v>
                </c:pt>
                <c:pt idx="49">
                  <c:v>2089</c:v>
                </c:pt>
                <c:pt idx="50">
                  <c:v>2090</c:v>
                </c:pt>
              </c:numCache>
            </c:numRef>
          </c:cat>
          <c:val>
            <c:numRef>
              <c:f>Sheet1!$G$12:$G$61</c:f>
              <c:numCache>
                <c:formatCode>General</c:formatCode>
                <c:ptCount val="50"/>
                <c:pt idx="0">
                  <c:v>-0.25796078948208329</c:v>
                </c:pt>
                <c:pt idx="1">
                  <c:v>-0.43643301571602339</c:v>
                </c:pt>
                <c:pt idx="2">
                  <c:v>-0.55626072977343588</c:v>
                </c:pt>
                <c:pt idx="3">
                  <c:v>-0.63298050158457486</c:v>
                </c:pt>
                <c:pt idx="4">
                  <c:v>-0.67816761831038852</c:v>
                </c:pt>
                <c:pt idx="5">
                  <c:v>-0.70043862130330381</c:v>
                </c:pt>
                <c:pt idx="6">
                  <c:v>-0.70620194705360773</c:v>
                </c:pt>
                <c:pt idx="7">
                  <c:v>-0.70021654904288277</c:v>
                </c:pt>
                <c:pt idx="8">
                  <c:v>-0.68601080678070914</c:v>
                </c:pt>
                <c:pt idx="9">
                  <c:v>-0.6661938399135402</c:v>
                </c:pt>
                <c:pt idx="10">
                  <c:v>-0.64268905115973274</c:v>
                </c:pt>
                <c:pt idx="11">
                  <c:v>-0.61690870997708736</c:v>
                </c:pt>
                <c:pt idx="12">
                  <c:v>-0.58988334177243318</c:v>
                </c:pt>
                <c:pt idx="13">
                  <c:v>-0.56236014628976949</c:v>
                </c:pt>
                <c:pt idx="14">
                  <c:v>-0.53487434520632959</c:v>
                </c:pt>
                <c:pt idx="15">
                  <c:v>-0.50780447078419444</c:v>
                </c:pt>
                <c:pt idx="16">
                  <c:v>-0.48141251323142276</c:v>
                </c:pt>
                <c:pt idx="17">
                  <c:v>-0.45587489152349359</c:v>
                </c:pt>
                <c:pt idx="18">
                  <c:v>-0.43130401827157039</c:v>
                </c:pt>
                <c:pt idx="19">
                  <c:v>-0.40776665280187457</c:v>
                </c:pt>
                <c:pt idx="20">
                  <c:v>-0.38529468358981817</c:v>
                </c:pt>
                <c:pt idx="21">
                  <c:v>-0.36389636952111892</c:v>
                </c:pt>
                <c:pt idx="22">
                  <c:v>-0.34356207522910592</c:v>
                </c:pt>
                <c:pt idx="23">
                  <c:v>-0.32427046525900727</c:v>
                </c:pt>
                <c:pt idx="24">
                  <c:v>-0.30599102761636426</c:v>
                </c:pt>
                <c:pt idx="25">
                  <c:v>-0.28868843262338273</c:v>
                </c:pt>
                <c:pt idx="26">
                  <c:v>-0.27232367998639367</c:v>
                </c:pt>
                <c:pt idx="27">
                  <c:v>-0.25685570469029856</c:v>
                </c:pt>
                <c:pt idx="28">
                  <c:v>-0.24224298289301463</c:v>
                </c:pt>
                <c:pt idx="29">
                  <c:v>-0.22844376133896679</c:v>
                </c:pt>
                <c:pt idx="30">
                  <c:v>-0.2154172044265488</c:v>
                </c:pt>
                <c:pt idx="31">
                  <c:v>-0.2031231647946308</c:v>
                </c:pt>
                <c:pt idx="32">
                  <c:v>-0.19152287156303596</c:v>
                </c:pt>
                <c:pt idx="33">
                  <c:v>-0.18057915974603278</c:v>
                </c:pt>
                <c:pt idx="34">
                  <c:v>-0.17025601142535043</c:v>
                </c:pt>
                <c:pt idx="35">
                  <c:v>-0.16051970281763991</c:v>
                </c:pt>
                <c:pt idx="36">
                  <c:v>-0.1513374277935208</c:v>
                </c:pt>
                <c:pt idx="37">
                  <c:v>-0.14267844494504231</c:v>
                </c:pt>
                <c:pt idx="38">
                  <c:v>-0.13451338934520662</c:v>
                </c:pt>
                <c:pt idx="39">
                  <c:v>-0.12681427254796898</c:v>
                </c:pt>
                <c:pt idx="40">
                  <c:v>-0.11955494141522194</c:v>
                </c:pt>
                <c:pt idx="41">
                  <c:v>-0.11271038987631891</c:v>
                </c:pt>
                <c:pt idx="42">
                  <c:v>-0.10625721775505856</c:v>
                </c:pt>
                <c:pt idx="43">
                  <c:v>-0.10017294252920814</c:v>
                </c:pt>
                <c:pt idx="44">
                  <c:v>-9.443691698447236E-2</c:v>
                </c:pt>
                <c:pt idx="45">
                  <c:v>-8.9028952733540195E-2</c:v>
                </c:pt>
                <c:pt idx="46">
                  <c:v>-8.3930467283545876E-2</c:v>
                </c:pt>
                <c:pt idx="47">
                  <c:v>-7.9124025209084431E-2</c:v>
                </c:pt>
                <c:pt idx="48">
                  <c:v>-7.4592420498243092E-2</c:v>
                </c:pt>
                <c:pt idx="49">
                  <c:v>-7.0320511860538629E-2</c:v>
                </c:pt>
              </c:numCache>
            </c:numRef>
          </c:val>
          <c:smooth val="0"/>
          <c:extLst>
            <c:ext xmlns:c16="http://schemas.microsoft.com/office/drawing/2014/chart" uri="{C3380CC4-5D6E-409C-BE32-E72D297353CC}">
              <c16:uniqueId val="{00000001-AD01-4A31-ADC7-5563316AA526}"/>
            </c:ext>
          </c:extLst>
        </c:ser>
        <c:ser>
          <c:idx val="2"/>
          <c:order val="2"/>
          <c:tx>
            <c:v>South Korea</c:v>
          </c:tx>
          <c:spPr>
            <a:ln w="28575" cap="rnd">
              <a:solidFill>
                <a:schemeClr val="accent3"/>
              </a:solidFill>
              <a:round/>
            </a:ln>
            <a:effectLst/>
          </c:spPr>
          <c:marker>
            <c:symbol val="none"/>
          </c:marker>
          <c:cat>
            <c:numRef>
              <c:f>Sheet1!$A$11:$A$61</c:f>
              <c:numCache>
                <c:formatCode>General</c:formatCode>
                <c:ptCount val="51"/>
                <c:pt idx="0">
                  <c:v>2040</c:v>
                </c:pt>
                <c:pt idx="1">
                  <c:v>2041</c:v>
                </c:pt>
                <c:pt idx="2">
                  <c:v>2042</c:v>
                </c:pt>
                <c:pt idx="3">
                  <c:v>2043</c:v>
                </c:pt>
                <c:pt idx="4">
                  <c:v>2044</c:v>
                </c:pt>
                <c:pt idx="5">
                  <c:v>2045</c:v>
                </c:pt>
                <c:pt idx="6">
                  <c:v>2046</c:v>
                </c:pt>
                <c:pt idx="7">
                  <c:v>2047</c:v>
                </c:pt>
                <c:pt idx="8">
                  <c:v>2048</c:v>
                </c:pt>
                <c:pt idx="9">
                  <c:v>2049</c:v>
                </c:pt>
                <c:pt idx="10">
                  <c:v>2050</c:v>
                </c:pt>
                <c:pt idx="11">
                  <c:v>2051</c:v>
                </c:pt>
                <c:pt idx="12">
                  <c:v>2052</c:v>
                </c:pt>
                <c:pt idx="13">
                  <c:v>2053</c:v>
                </c:pt>
                <c:pt idx="14">
                  <c:v>2054</c:v>
                </c:pt>
                <c:pt idx="15">
                  <c:v>2055</c:v>
                </c:pt>
                <c:pt idx="16">
                  <c:v>2056</c:v>
                </c:pt>
                <c:pt idx="17">
                  <c:v>2057</c:v>
                </c:pt>
                <c:pt idx="18">
                  <c:v>2058</c:v>
                </c:pt>
                <c:pt idx="19">
                  <c:v>2059</c:v>
                </c:pt>
                <c:pt idx="20">
                  <c:v>2060</c:v>
                </c:pt>
                <c:pt idx="21">
                  <c:v>2061</c:v>
                </c:pt>
                <c:pt idx="22">
                  <c:v>2062</c:v>
                </c:pt>
                <c:pt idx="23">
                  <c:v>2063</c:v>
                </c:pt>
                <c:pt idx="24">
                  <c:v>2064</c:v>
                </c:pt>
                <c:pt idx="25">
                  <c:v>2065</c:v>
                </c:pt>
                <c:pt idx="26">
                  <c:v>2066</c:v>
                </c:pt>
                <c:pt idx="27">
                  <c:v>2067</c:v>
                </c:pt>
                <c:pt idx="28">
                  <c:v>2068</c:v>
                </c:pt>
                <c:pt idx="29">
                  <c:v>2069</c:v>
                </c:pt>
                <c:pt idx="30">
                  <c:v>2070</c:v>
                </c:pt>
                <c:pt idx="31">
                  <c:v>2071</c:v>
                </c:pt>
                <c:pt idx="32">
                  <c:v>2072</c:v>
                </c:pt>
                <c:pt idx="33">
                  <c:v>2073</c:v>
                </c:pt>
                <c:pt idx="34">
                  <c:v>2074</c:v>
                </c:pt>
                <c:pt idx="35">
                  <c:v>2075</c:v>
                </c:pt>
                <c:pt idx="36">
                  <c:v>2076</c:v>
                </c:pt>
                <c:pt idx="37">
                  <c:v>2077</c:v>
                </c:pt>
                <c:pt idx="38">
                  <c:v>2078</c:v>
                </c:pt>
                <c:pt idx="39">
                  <c:v>2079</c:v>
                </c:pt>
                <c:pt idx="40">
                  <c:v>2080</c:v>
                </c:pt>
                <c:pt idx="41">
                  <c:v>2081</c:v>
                </c:pt>
                <c:pt idx="42">
                  <c:v>2082</c:v>
                </c:pt>
                <c:pt idx="43">
                  <c:v>2083</c:v>
                </c:pt>
                <c:pt idx="44">
                  <c:v>2084</c:v>
                </c:pt>
                <c:pt idx="45">
                  <c:v>2085</c:v>
                </c:pt>
                <c:pt idx="46">
                  <c:v>2086</c:v>
                </c:pt>
                <c:pt idx="47">
                  <c:v>2087</c:v>
                </c:pt>
                <c:pt idx="48">
                  <c:v>2088</c:v>
                </c:pt>
                <c:pt idx="49">
                  <c:v>2089</c:v>
                </c:pt>
                <c:pt idx="50">
                  <c:v>2090</c:v>
                </c:pt>
              </c:numCache>
            </c:numRef>
          </c:cat>
          <c:val>
            <c:numRef>
              <c:f>Sheet1!$H$12:$H$61</c:f>
              <c:numCache>
                <c:formatCode>General</c:formatCode>
                <c:ptCount val="50"/>
                <c:pt idx="0">
                  <c:v>-0.4787603926873894</c:v>
                </c:pt>
                <c:pt idx="1">
                  <c:v>-0.74894823110025144</c:v>
                </c:pt>
                <c:pt idx="2">
                  <c:v>-0.89669488697969546</c:v>
                </c:pt>
                <c:pt idx="3">
                  <c:v>-0.97213655623657602</c:v>
                </c:pt>
                <c:pt idx="4">
                  <c:v>-1.0045937168677204</c:v>
                </c:pt>
                <c:pt idx="5">
                  <c:v>-1.0113214304887386</c:v>
                </c:pt>
                <c:pt idx="6">
                  <c:v>-1.0025595794513376</c:v>
                </c:pt>
                <c:pt idx="7">
                  <c:v>-0.98444873516080078</c:v>
                </c:pt>
                <c:pt idx="8">
                  <c:v>-0.96071933672091003</c:v>
                </c:pt>
                <c:pt idx="9">
                  <c:v>-0.93367467079598931</c:v>
                </c:pt>
                <c:pt idx="10">
                  <c:v>-0.90476071500918975</c:v>
                </c:pt>
                <c:pt idx="11">
                  <c:v>-0.87490600882646941</c:v>
                </c:pt>
                <c:pt idx="12">
                  <c:v>-0.84471601085850712</c:v>
                </c:pt>
                <c:pt idx="13">
                  <c:v>-0.81459469937158846</c:v>
                </c:pt>
                <c:pt idx="14">
                  <c:v>-0.78481427634614442</c:v>
                </c:pt>
                <c:pt idx="15">
                  <c:v>-0.75556146725286399</c:v>
                </c:pt>
                <c:pt idx="16">
                  <c:v>-0.72696296049011588</c:v>
                </c:pt>
                <c:pt idx="17">
                  <c:v>-0.69910525014514002</c:v>
                </c:pt>
                <c:pt idx="18">
                  <c:v>-0.67204430298026807</c:v>
                </c:pt>
                <c:pt idx="19">
                  <c:v>-0.64581624299664142</c:v>
                </c:pt>
                <c:pt idx="20">
                  <c:v>-0.62043938658920517</c:v>
                </c:pt>
                <c:pt idx="21">
                  <c:v>-0.59592238316668311</c:v>
                </c:pt>
                <c:pt idx="22">
                  <c:v>-0.57226319757408139</c:v>
                </c:pt>
                <c:pt idx="23">
                  <c:v>-0.54945419798017292</c:v>
                </c:pt>
                <c:pt idx="24">
                  <c:v>-0.52748266466624616</c:v>
                </c:pt>
                <c:pt idx="25">
                  <c:v>-0.50633185848247608</c:v>
                </c:pt>
                <c:pt idx="26">
                  <c:v>-0.48598234369867149</c:v>
                </c:pt>
                <c:pt idx="27">
                  <c:v>-0.46641290382402101</c:v>
                </c:pt>
                <c:pt idx="28">
                  <c:v>-0.4476010503958423</c:v>
                </c:pt>
                <c:pt idx="29">
                  <c:v>-0.42952327737395601</c:v>
                </c:pt>
                <c:pt idx="30">
                  <c:v>-0.41215572256605904</c:v>
                </c:pt>
                <c:pt idx="31">
                  <c:v>-0.39547432026434853</c:v>
                </c:pt>
                <c:pt idx="32">
                  <c:v>-0.37945505563989701</c:v>
                </c:pt>
                <c:pt idx="33">
                  <c:v>-0.36407411737927575</c:v>
                </c:pt>
                <c:pt idx="34">
                  <c:v>-0.34930815207893018</c:v>
                </c:pt>
                <c:pt idx="35">
                  <c:v>-0.33513421336630422</c:v>
                </c:pt>
                <c:pt idx="36">
                  <c:v>-0.32152981277871562</c:v>
                </c:pt>
                <c:pt idx="37">
                  <c:v>-0.30847317415772979</c:v>
                </c:pt>
                <c:pt idx="38">
                  <c:v>-0.2959431318914103</c:v>
                </c:pt>
                <c:pt idx="39">
                  <c:v>-0.28391908003544419</c:v>
                </c:pt>
                <c:pt idx="40">
                  <c:v>-0.27238117582864113</c:v>
                </c:pt>
                <c:pt idx="41">
                  <c:v>-0.26131018705630904</c:v>
                </c:pt>
                <c:pt idx="42">
                  <c:v>-0.25068764468687826</c:v>
                </c:pt>
                <c:pt idx="43">
                  <c:v>-0.24049569023527767</c:v>
                </c:pt>
                <c:pt idx="44">
                  <c:v>-0.2307170757629341</c:v>
                </c:pt>
                <c:pt idx="45">
                  <c:v>-0.22133521475664736</c:v>
                </c:pt>
                <c:pt idx="46">
                  <c:v>-0.21233423300746526</c:v>
                </c:pt>
                <c:pt idx="47">
                  <c:v>-0.20369871421630911</c:v>
                </c:pt>
                <c:pt idx="48">
                  <c:v>-0.195414005267223</c:v>
                </c:pt>
                <c:pt idx="49">
                  <c:v>-0.18746586007524979</c:v>
                </c:pt>
              </c:numCache>
            </c:numRef>
          </c:val>
          <c:smooth val="0"/>
          <c:extLst>
            <c:ext xmlns:c16="http://schemas.microsoft.com/office/drawing/2014/chart" uri="{C3380CC4-5D6E-409C-BE32-E72D297353CC}">
              <c16:uniqueId val="{00000002-AD01-4A31-ADC7-5563316AA526}"/>
            </c:ext>
          </c:extLst>
        </c:ser>
        <c:dLbls>
          <c:showLegendKey val="0"/>
          <c:showVal val="0"/>
          <c:showCatName val="0"/>
          <c:showSerName val="0"/>
          <c:showPercent val="0"/>
          <c:showBubbleSize val="0"/>
        </c:dLbls>
        <c:smooth val="0"/>
        <c:axId val="517048720"/>
        <c:axId val="517056080"/>
      </c:lineChart>
      <c:catAx>
        <c:axId val="5170487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17056080"/>
        <c:crosses val="autoZero"/>
        <c:auto val="1"/>
        <c:lblAlgn val="ctr"/>
        <c:lblOffset val="100"/>
        <c:tickLblSkip val="5"/>
        <c:tickMarkSkip val="1"/>
        <c:noMultiLvlLbl val="0"/>
      </c:catAx>
      <c:valAx>
        <c:axId val="517056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Current Account Balance (% GDP)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170487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144F9-7A7E-4C70-94CE-67CFF6AAF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8621</Words>
  <Characters>49140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Nond Prueksiri</dc:creator>
  <cp:keywords/>
  <dc:description/>
  <cp:lastModifiedBy>Nond Prueksiri</cp:lastModifiedBy>
  <cp:revision>2</cp:revision>
  <cp:lastPrinted>2020-01-22T20:41:00Z</cp:lastPrinted>
  <dcterms:created xsi:type="dcterms:W3CDTF">2020-03-29T18:46:00Z</dcterms:created>
  <dcterms:modified xsi:type="dcterms:W3CDTF">2020-03-29T18:46:00Z</dcterms:modified>
</cp:coreProperties>
</file>