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aplicaciones web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empaquetado →  .war </w:t>
      </w:r>
      <w:r w:rsidDel="00000000" w:rsidR="00000000" w:rsidRPr="00000000">
        <w:rPr>
          <w:i w:val="1"/>
          <w:rtl w:val="0"/>
        </w:rPr>
        <w:t xml:space="preserve">(el artefacto generado ha de ser desplegado en el servidor)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 → añadir </w:t>
      </w:r>
      <w:r w:rsidDel="00000000" w:rsidR="00000000" w:rsidRPr="00000000">
        <w:rPr>
          <w:color w:val="666666"/>
          <w:rtl w:val="0"/>
        </w:rPr>
        <w:t xml:space="preserve">&lt;packaging&gt;war&lt;/packaging&gt;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(por defecto Maven empaqueta en .jar)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86150" cy="2362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.war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action: generate war file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cmd: mvn clean package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despliege → en contenedor web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servidor de aplicaciones Glassfish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plugin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cargo-maven2-plugin </w:t>
      </w:r>
      <w:r w:rsidDel="00000000" w:rsidR="00000000" w:rsidRPr="00000000">
        <w:rPr>
          <w:i w:val="1"/>
          <w:sz w:val="16"/>
          <w:szCs w:val="16"/>
          <w:rtl w:val="0"/>
        </w:rPr>
        <w:t xml:space="preserve">(pone en marcha server + despliegue app en contenedor web)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servidor de despliegue Maven - por defecto - → Tomcat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usamos: Glassfish4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 → definir perfil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&lt;profiles&gt;</w:t>
      </w:r>
    </w:p>
    <w:p w:rsidR="00000000" w:rsidDel="00000000" w:rsidP="00000000" w:rsidRDefault="00000000" w:rsidRPr="00000000" w14:paraId="00000011">
      <w:pPr>
        <w:ind w:left="2160"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92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&lt;/profiles&gt;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action: start Glassfish and deploy war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cmd: mvn cargo:run -P glassfish4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detener servidor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action: stop Glassfish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cmd: mvn cargo:stop -P glassfish4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*si falla unzip de glassfish4, pegar en /tmp/cargo/installs: http://download.java.net/glassfish/4.1.2/release/glassfish-4.1.2.zip*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Test Suite - Ejecicio1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grabar secuencia de acciones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10200" cy="3228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guardar nuestra Suite → en formato .html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nuestro test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observar traza de ejecución → pestaña "Log"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Test Suite - Ejecicio2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init - test compra new user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compra old user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almacenar texto en variable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8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obtener todos los caracteres de una variable que cumplen un patrón (en este caso que sean números)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1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operar con las variables almacenadas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93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