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7A81" w14:textId="77777777" w:rsidR="00D06442" w:rsidRPr="001A122E" w:rsidRDefault="00000000">
      <w:pPr>
        <w:pStyle w:val="Ttulo"/>
      </w:pPr>
      <w:r w:rsidRPr="001A122E">
        <w:t>INFORME TÉCNICO</w:t>
      </w:r>
    </w:p>
    <w:p w14:paraId="403B63A1" w14:textId="77777777" w:rsidR="00D06442" w:rsidRPr="001A122E" w:rsidRDefault="00000000" w:rsidP="001A122E">
      <w:pPr>
        <w:rPr>
          <w:b/>
          <w:bCs/>
          <w:i/>
          <w:iCs/>
          <w:sz w:val="22"/>
          <w:szCs w:val="24"/>
        </w:rPr>
      </w:pPr>
      <w:r w:rsidRPr="001A122E">
        <w:rPr>
          <w:b/>
          <w:bCs/>
          <w:i/>
          <w:iCs/>
          <w:sz w:val="22"/>
          <w:szCs w:val="24"/>
        </w:rPr>
        <w:t>Guía N.º 1: Preparación y exploración de datos</w:t>
      </w:r>
    </w:p>
    <w:p w14:paraId="4169FD3E" w14:textId="77777777" w:rsidR="00D06442" w:rsidRPr="001A122E" w:rsidRDefault="00000000">
      <w:r w:rsidRPr="001A122E">
        <w:t>INFB6052 · Herramientas para Ciencia de Datos · Universidad Tecnológica Metropolitana</w:t>
      </w:r>
    </w:p>
    <w:p w14:paraId="1A2500A1" w14:textId="7BD749AF" w:rsidR="00D06442" w:rsidRPr="001A122E" w:rsidRDefault="00000000">
      <w:r w:rsidRPr="001A122E">
        <w:t xml:space="preserve">Estudiante: </w:t>
      </w:r>
      <w:r w:rsidR="001A122E" w:rsidRPr="001A122E">
        <w:t>Nicolas Paillalef | Fecha</w:t>
      </w:r>
      <w:r w:rsidRPr="001A122E">
        <w:t>: 27 de octubre de 2026</w:t>
      </w:r>
    </w:p>
    <w:p w14:paraId="1895D072" w14:textId="77777777" w:rsidR="00D06442" w:rsidRPr="001A122E" w:rsidRDefault="00000000">
      <w:r w:rsidRPr="001A122E">
        <w:t>Documento base editable. Sustituir evidencia del equipo de validación por capturas del entorno propio.</w:t>
      </w:r>
    </w:p>
    <w:p w14:paraId="466A627B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1. Problema y objetivo</w:t>
      </w:r>
    </w:p>
    <w:p w14:paraId="7A50E3F1" w14:textId="77777777" w:rsidR="00D06442" w:rsidRPr="001A122E" w:rsidRDefault="00000000">
      <w:r w:rsidRPr="001A122E">
        <w:t>Antes de diseñar sistemas de inteligencia artificial es necesario identificar cómo se representan los datos, su procedencia, sus unidades y sus posibles limitaciones. Se exploró una serie temporal real de volumen anual del río Nilo (modalidad 1D) y una fotografía real del lanzamiento de un cohete Falcon 9 (modalidad 2D). No se entrenaron modelos de IA.</w:t>
      </w:r>
    </w:p>
    <w:p w14:paraId="0C459DE6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2. Fuentes, licencias y restricciones</w:t>
      </w:r>
    </w:p>
    <w:p w14:paraId="65C73215" w14:textId="77777777" w:rsidR="00D06442" w:rsidRPr="001A122E" w:rsidRDefault="00000000">
      <w:r w:rsidRPr="001A122E">
        <w:t>Señal 1D: conjunto «Nile River flows at Ashwan 1871–1970», distribuido por statsmodels a partir de la referencia de Cobb (1978). Datos anuales, volumen en 10⁸ m³, ficha: https://www.statsmodels.org/dev/datasets/generated/nile.html. La fuente declara dominio público.</w:t>
      </w:r>
    </w:p>
    <w:p w14:paraId="25D92BF1" w14:textId="77777777" w:rsidR="00D06442" w:rsidRPr="001A122E" w:rsidRDefault="00000000">
      <w:r w:rsidRPr="001A122E">
        <w:t>Imagen 2D: «rocket», de scikit-image, fotografía de SpaceX del lanzamiento de Falcon 9 con DSCOVR. Ficha: https://scikit-image.org/docs/stable/api/skimage.data.html#skimage.data.rocket. La documentación registra publicación en dominio público. Ambos archivos se conservaron intactos; consulta de fichas: 27-10-2026.</w:t>
      </w:r>
    </w:p>
    <w:p w14:paraId="17778E00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3. Entorno y procedimiento</w:t>
      </w:r>
    </w:p>
    <w:p w14:paraId="608F5A7C" w14:textId="77777777" w:rsidR="00D06442" w:rsidRPr="001A122E" w:rsidRDefault="00000000">
      <w:r w:rsidRPr="001A122E">
        <w:t>Se creó un proyecto con carpetas separadas de datos originales, notebook, figuras y documentación. El notebook utiliza Python, Pandas, NumPy, Matplotlib y Pillow. Se realizan lecturas con rutas relativas, conteos de calidad, visualizaciones, verificación de dimensiones y cálculo de hashes SHA-256 para trazabilidad. Los paquetes y el intérprete usados en la entrega deben verificarse mediante ejecución local.</w:t>
      </w:r>
    </w:p>
    <w:p w14:paraId="768F21A2" w14:textId="3199A1D7" w:rsidR="00D06442" w:rsidRPr="001A122E" w:rsidRDefault="00000000">
      <w:r w:rsidRPr="001A122E">
        <w:t xml:space="preserve">Evidencias del equipo del estudiante por incorporar: </w:t>
      </w:r>
      <w:r w:rsidR="001A122E" w:rsidRPr="001A122E">
        <w:drawing>
          <wp:inline distT="0" distB="0" distL="0" distR="0" wp14:anchorId="05391C1B" wp14:editId="7AF7E211">
            <wp:extent cx="3943900" cy="685896"/>
            <wp:effectExtent l="0" t="0" r="0" b="0"/>
            <wp:docPr id="214171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22E">
        <w:t xml:space="preserve"> </w:t>
      </w:r>
      <w:r w:rsidR="001A122E" w:rsidRPr="001A122E">
        <w:lastRenderedPageBreak/>
        <w:drawing>
          <wp:inline distT="0" distB="0" distL="0" distR="0" wp14:anchorId="6DE284FA" wp14:editId="26145CCA">
            <wp:extent cx="5668166" cy="362001"/>
            <wp:effectExtent l="0" t="0" r="0" b="0"/>
            <wp:docPr id="1634479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7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22E" w:rsidRPr="001A122E">
        <w:drawing>
          <wp:inline distT="0" distB="0" distL="0" distR="0" wp14:anchorId="63472A59" wp14:editId="54255985">
            <wp:extent cx="6035040" cy="3307080"/>
            <wp:effectExtent l="0" t="0" r="3810" b="7620"/>
            <wp:docPr id="81875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5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34D7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4. Resultados de señal 1D</w:t>
      </w:r>
    </w:p>
    <w:p w14:paraId="5E9A1902" w14:textId="3F5C135E" w:rsidR="00D06442" w:rsidRPr="001A122E" w:rsidRDefault="00000000">
      <w:r w:rsidRPr="001A122E">
        <w:t xml:space="preserve">El CSV contiene 100 observaciones del período 1871–1970. La columna </w:t>
      </w:r>
      <w:r w:rsidR="001A122E">
        <w:t>‘</w:t>
      </w:r>
      <w:r w:rsidRPr="001A122E">
        <w:t>volume</w:t>
      </w:r>
      <w:r w:rsidR="001A122E">
        <w:t>’</w:t>
      </w:r>
      <w:r w:rsidRPr="001A122E">
        <w:t xml:space="preserve"> representa un volumen anual en 10⁸ m³, con mínimo 456, máximo 1,370, media 919.35 y mediana 893.50 en esa unidad. Se comprobaron 0 valores faltantes y 0 no finitos. El eje horizontal corresponde a años observados, no a frecuencia de muestreo en Hz.</w:t>
      </w:r>
    </w:p>
    <w:p w14:paraId="58BE5A23" w14:textId="77777777" w:rsidR="00D06442" w:rsidRPr="001A122E" w:rsidRDefault="00000000">
      <w:r w:rsidRPr="001A122E">
        <w:drawing>
          <wp:inline distT="0" distB="0" distL="0" distR="0" wp14:anchorId="59AF81B1" wp14:editId="3D0F441C">
            <wp:extent cx="5074920" cy="1933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enal_ni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3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C696" w14:textId="77777777" w:rsidR="00D06442" w:rsidRPr="001A122E" w:rsidRDefault="00000000">
      <w:r w:rsidRPr="001A122E">
        <w:t>Figura 1. Caudal anual del Nilo. Fuente: statsmodels (dominio público); elaboración de gráfico propia.</w:t>
      </w:r>
    </w:p>
    <w:p w14:paraId="7B93221C" w14:textId="77777777" w:rsidR="00D06442" w:rsidRPr="001A122E" w:rsidRDefault="00000000">
      <w:r w:rsidRPr="001A122E">
        <w:t>La variabilidad interanual es observable, pero no permite atribuir cambios a obras hidráulicas, clima ni errores del sensor sin contexto externo. Descartar años afectaría la continuidad de la serie y la interpretación histórica. No se suprimieron registros.</w:t>
      </w:r>
    </w:p>
    <w:p w14:paraId="56908029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5. Resultados de imagen 2D</w:t>
      </w:r>
    </w:p>
    <w:p w14:paraId="009185A2" w14:textId="77777777" w:rsidR="00D06442" w:rsidRPr="001A122E" w:rsidRDefault="00000000">
      <w:r w:rsidRPr="001A122E">
        <w:lastRenderedPageBreak/>
        <w:t>La fotografía original tiene dimensiones 640 × 427 píxeles, modo RGB, formato JPEG, shape (427, 640, 3), dtype uint8 y ocupa aproximadamente 819,840 bytes como arreglo NumPy. El archivo comprimido y el arreglo en memoria tienen tamaños diferentes.</w:t>
      </w:r>
    </w:p>
    <w:p w14:paraId="69C03812" w14:textId="77777777" w:rsidR="00D06442" w:rsidRPr="001A122E" w:rsidRDefault="00000000">
      <w:r w:rsidRPr="001A122E">
        <w:drawing>
          <wp:inline distT="0" distB="0" distL="0" distR="0" wp14:anchorId="0DB4B3BA" wp14:editId="685F99F8">
            <wp:extent cx="4206240" cy="23899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magen_coh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E86E" w14:textId="77777777" w:rsidR="00D06442" w:rsidRPr="001A122E" w:rsidRDefault="00000000">
      <w:r w:rsidRPr="001A122E">
        <w:t>Figura 2. Fotografía digital RGB del lanzamiento Falcon 9. Fuente: SpaceX / scikit-image (dominio público).</w:t>
      </w:r>
    </w:p>
    <w:p w14:paraId="78687363" w14:textId="77777777" w:rsidR="00D06442" w:rsidRPr="001A122E" w:rsidRDefault="00000000">
      <w:r w:rsidRPr="001A122E">
        <w:drawing>
          <wp:inline distT="0" distB="0" distL="0" distR="0" wp14:anchorId="36A2B029" wp14:editId="1A4CF268">
            <wp:extent cx="4937760" cy="2267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istogramas_rg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9C57" w14:textId="77777777" w:rsidR="00D06442" w:rsidRPr="001A122E" w:rsidRDefault="00000000">
      <w:r w:rsidRPr="001A122E">
        <w:t>Figura 3. Distribución de niveles digitales 0–255 para cada canal RGB. Elaboración propia.</w:t>
      </w:r>
    </w:p>
    <w:p w14:paraId="09BDADB8" w14:textId="77777777" w:rsidR="00D06442" w:rsidRPr="001A122E" w:rsidRDefault="00000000">
      <w:r w:rsidRPr="001A122E">
        <w:t>Se generó una copia monocromática para ilustrar la pérdida de información cromática; la conversión no modificó el JPEG original. Los histogramas no identifican materiales ni defectos estructurales y no sustituyen una medición calibrada. Se debe considerar la compresión JPEG, ausencia de escala física y condiciones de captura no documentadas en el archivo.</w:t>
      </w:r>
    </w:p>
    <w:p w14:paraId="4CBE25D6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6. Registro de calidad y comparación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06442" w:rsidRPr="001A122E" w14:paraId="4A0F0FBF" w14:textId="77777777" w:rsidTr="00D06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5BE7336" w14:textId="77777777" w:rsidR="00D06442" w:rsidRPr="001A122E" w:rsidRDefault="00000000">
            <w:pPr>
              <w:keepLines/>
            </w:pPr>
            <w:r w:rsidRPr="001A122E">
              <w:t>Aspecto</w:t>
            </w:r>
          </w:p>
        </w:tc>
        <w:tc>
          <w:tcPr>
            <w:tcW w:w="3168" w:type="dxa"/>
          </w:tcPr>
          <w:p w14:paraId="6656AABE" w14:textId="77777777" w:rsidR="00D06442" w:rsidRPr="001A122E" w:rsidRDefault="00000000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Señal 1D</w:t>
            </w:r>
          </w:p>
        </w:tc>
        <w:tc>
          <w:tcPr>
            <w:tcW w:w="3168" w:type="dxa"/>
          </w:tcPr>
          <w:p w14:paraId="25E129D8" w14:textId="77777777" w:rsidR="00D06442" w:rsidRPr="001A122E" w:rsidRDefault="00000000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Imagen 2D</w:t>
            </w:r>
          </w:p>
        </w:tc>
      </w:tr>
      <w:tr w:rsidR="00D06442" w:rsidRPr="001A122E" w14:paraId="351DBF68" w14:textId="77777777" w:rsidTr="00D06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EDBE8C8" w14:textId="77777777" w:rsidR="00D06442" w:rsidRPr="001A122E" w:rsidRDefault="00000000">
            <w:pPr>
              <w:keepLines/>
            </w:pPr>
            <w:r w:rsidRPr="001A122E">
              <w:t>Fenómeno</w:t>
            </w:r>
          </w:p>
        </w:tc>
        <w:tc>
          <w:tcPr>
            <w:tcW w:w="3168" w:type="dxa"/>
          </w:tcPr>
          <w:p w14:paraId="157E04B2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Caudal anual de río, volumen</w:t>
            </w:r>
          </w:p>
        </w:tc>
        <w:tc>
          <w:tcPr>
            <w:tcW w:w="3168" w:type="dxa"/>
          </w:tcPr>
          <w:p w14:paraId="1E86D172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Lanzamiento aeroespacial fotografiado</w:t>
            </w:r>
          </w:p>
        </w:tc>
      </w:tr>
      <w:tr w:rsidR="00D06442" w:rsidRPr="001A122E" w14:paraId="4A0F61B3" w14:textId="77777777" w:rsidTr="00D064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144CD13" w14:textId="77777777" w:rsidR="00D06442" w:rsidRPr="001A122E" w:rsidRDefault="00000000">
            <w:pPr>
              <w:keepLines/>
            </w:pPr>
            <w:r w:rsidRPr="001A122E">
              <w:t>Estructura</w:t>
            </w:r>
          </w:p>
        </w:tc>
        <w:tc>
          <w:tcPr>
            <w:tcW w:w="3168" w:type="dxa"/>
          </w:tcPr>
          <w:p w14:paraId="577C3901" w14:textId="77777777" w:rsidR="00D06442" w:rsidRPr="001A122E" w:rsidRDefault="00000000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100 filas × 2 columnas; años y volumen</w:t>
            </w:r>
          </w:p>
        </w:tc>
        <w:tc>
          <w:tcPr>
            <w:tcW w:w="3168" w:type="dxa"/>
          </w:tcPr>
          <w:p w14:paraId="53A3B2CE" w14:textId="77777777" w:rsidR="00D06442" w:rsidRPr="001A122E" w:rsidRDefault="00000000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427 × 640 × 3; RGB uint8</w:t>
            </w:r>
          </w:p>
        </w:tc>
      </w:tr>
      <w:tr w:rsidR="00D06442" w:rsidRPr="001A122E" w14:paraId="558C8923" w14:textId="77777777" w:rsidTr="00D06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B23FA33" w14:textId="77777777" w:rsidR="00D06442" w:rsidRPr="001A122E" w:rsidRDefault="00000000">
            <w:pPr>
              <w:keepLines/>
            </w:pPr>
            <w:r w:rsidRPr="001A122E">
              <w:lastRenderedPageBreak/>
              <w:t>Calidad</w:t>
            </w:r>
          </w:p>
        </w:tc>
        <w:tc>
          <w:tcPr>
            <w:tcW w:w="3168" w:type="dxa"/>
          </w:tcPr>
          <w:p w14:paraId="3E425F21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Sin faltantes ni no finitos</w:t>
            </w:r>
          </w:p>
        </w:tc>
        <w:tc>
          <w:tcPr>
            <w:tcW w:w="3168" w:type="dxa"/>
          </w:tcPr>
          <w:p w14:paraId="13483E59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JPEG; límites dinámicos y compresión</w:t>
            </w:r>
          </w:p>
        </w:tc>
      </w:tr>
      <w:tr w:rsidR="00D06442" w:rsidRPr="001A122E" w14:paraId="01671FDC" w14:textId="77777777" w:rsidTr="00D064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B75F562" w14:textId="77777777" w:rsidR="00D06442" w:rsidRPr="001A122E" w:rsidRDefault="00000000">
            <w:pPr>
              <w:keepLines/>
            </w:pPr>
            <w:r w:rsidRPr="001A122E">
              <w:t>Falta comprobar</w:t>
            </w:r>
          </w:p>
        </w:tc>
        <w:tc>
          <w:tcPr>
            <w:tcW w:w="3168" w:type="dxa"/>
          </w:tcPr>
          <w:p w14:paraId="47537922" w14:textId="77777777" w:rsidR="00D06442" w:rsidRPr="001A122E" w:rsidRDefault="00000000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Calibración y condiciones hidrológicas</w:t>
            </w:r>
          </w:p>
        </w:tc>
        <w:tc>
          <w:tcPr>
            <w:tcW w:w="3168" w:type="dxa"/>
          </w:tcPr>
          <w:p w14:paraId="685AE098" w14:textId="77777777" w:rsidR="00D06442" w:rsidRPr="001A122E" w:rsidRDefault="00000000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2E">
              <w:t>Escala y parámetros de cámara</w:t>
            </w:r>
          </w:p>
        </w:tc>
      </w:tr>
      <w:tr w:rsidR="00D06442" w:rsidRPr="001A122E" w14:paraId="6E2DA5AF" w14:textId="77777777" w:rsidTr="00D06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C3DD8F7" w14:textId="77777777" w:rsidR="00D06442" w:rsidRPr="001A122E" w:rsidRDefault="00000000">
            <w:pPr>
              <w:keepLines/>
            </w:pPr>
            <w:r w:rsidRPr="001A122E">
              <w:t>Decisión potencial</w:t>
            </w:r>
          </w:p>
        </w:tc>
        <w:tc>
          <w:tcPr>
            <w:tcW w:w="3168" w:type="dxa"/>
          </w:tcPr>
          <w:p w14:paraId="1BB975B8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Gestión de riesgos hidrológicos con datos adicionales</w:t>
            </w:r>
          </w:p>
        </w:tc>
        <w:tc>
          <w:tcPr>
            <w:tcW w:w="3168" w:type="dxa"/>
          </w:tcPr>
          <w:p w14:paraId="34E5C7C5" w14:textId="77777777" w:rsidR="00D06442" w:rsidRPr="001A122E" w:rsidRDefault="00000000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2E">
              <w:t>Inspección visual solo con referencias calibradas</w:t>
            </w:r>
          </w:p>
        </w:tc>
      </w:tr>
    </w:tbl>
    <w:p w14:paraId="683A1199" w14:textId="77777777" w:rsidR="00D06442" w:rsidRPr="001A122E" w:rsidRDefault="00000000">
      <w:r w:rsidRPr="001A122E">
        <w:t>Registro detallado y hashes: consultar `documentacion/registro_calidad.csv` (generado por el notebook) y `documentacion/resultados_verificados.json`. Ninguna muestra o píxel del original fue alterado.</w:t>
      </w:r>
    </w:p>
    <w:p w14:paraId="16C2117F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7. Pregunta futura para IA y requisitos</w:t>
      </w:r>
    </w:p>
    <w:p w14:paraId="2E25F2BB" w14:textId="77777777" w:rsidR="00D06442" w:rsidRPr="001A122E" w:rsidRDefault="00000000">
      <w:r w:rsidRPr="001A122E">
        <w:t>¿Puede la combinación de series anuales de caudal, precipitaciones y niveles de embalses ayudar a anticipar periodos de riesgo hidrológico? Para evaluar un modelo se requerirían observaciones temporales extensas, indicadores de riesgo definidos por expertos, datos de lluvias y aforos, tratamiento declarado de faltantes, división de entrenamiento/prueba por períodos y evaluación fuera de muestra. El objetivo no puede resolverse con solo 100 registros anuales; la fotografía de un cohete representa una modalidad independiente y no se relaciona causalmente con la serie del Nilo.</w:t>
      </w:r>
    </w:p>
    <w:p w14:paraId="00DDAF41" w14:textId="42772D43" w:rsidR="00D06442" w:rsidRPr="001A122E" w:rsidRDefault="00000000" w:rsidP="001B5BB2">
      <w:pPr>
        <w:spacing w:after="200"/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8. Conclusiones y limitaciones</w:t>
      </w:r>
    </w:p>
    <w:p w14:paraId="5398F062" w14:textId="77777777" w:rsidR="00D06442" w:rsidRPr="001A122E" w:rsidRDefault="00000000">
      <w:r w:rsidRPr="001A122E">
        <w:t>La exploración confirmó que la representación numérica y las unidades dependen de la modalidad. En la señal, preservar el eje anual es esencial para evitar inferencias temporales falsas. En la imagen, los canales representan intensidades digitales de color y la conversión a gris pierde información. Antes de aplicar IA hacen falta metadatos y referencias de validación. Los resultados son exploratorios y no constituyen diagnóstico físico ni predicción.</w:t>
      </w:r>
    </w:p>
    <w:p w14:paraId="2D4ABA0B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Referencias</w:t>
      </w:r>
    </w:p>
    <w:p w14:paraId="26D00027" w14:textId="77777777" w:rsidR="00D06442" w:rsidRPr="001A122E" w:rsidRDefault="00000000">
      <w:pPr>
        <w:pStyle w:val="Listaconvietas"/>
      </w:pPr>
      <w:r w:rsidRPr="001A122E">
        <w:t>Statsmodels. Nile River flows at Ashwan 1871–1970. https://www.statsmodels.org/dev/datasets/generated/nile.html</w:t>
      </w:r>
    </w:p>
    <w:p w14:paraId="14A2AEF0" w14:textId="77777777" w:rsidR="00D06442" w:rsidRPr="001A122E" w:rsidRDefault="00000000">
      <w:pPr>
        <w:pStyle w:val="Listaconvietas"/>
      </w:pPr>
      <w:r w:rsidRPr="001A122E">
        <w:t>Scikit-image. skimage.data.rocket. https://scikit-image.org/docs/stable/api/skimage.data.html#skimage.data.rocket</w:t>
      </w:r>
    </w:p>
    <w:p w14:paraId="401DEDB3" w14:textId="77777777" w:rsidR="00D06442" w:rsidRPr="001A122E" w:rsidRDefault="00000000">
      <w:pPr>
        <w:pStyle w:val="Listaconvietas"/>
      </w:pPr>
      <w:r w:rsidRPr="001A122E">
        <w:t>Cobb, G. W. (1978). The Problem of the Nile: Conditional Solution to a Changepoint Problem. Biometrika, 65(2), 243–251.</w:t>
      </w:r>
    </w:p>
    <w:p w14:paraId="5734D4ED" w14:textId="77777777" w:rsidR="00D06442" w:rsidRPr="001A122E" w:rsidRDefault="00000000">
      <w:pPr>
        <w:pStyle w:val="Listaconvietas"/>
      </w:pPr>
      <w:r w:rsidRPr="001A122E">
        <w:t>UTEM. (2026). Guía N.º 1: Preparación y exploración de datos. INFB6052, Dr. Ing. Michael Miranda Sandoval.</w:t>
      </w:r>
    </w:p>
    <w:p w14:paraId="20D96D54" w14:textId="77777777" w:rsidR="00D06442" w:rsidRPr="001A122E" w:rsidRDefault="00000000" w:rsidP="001A122E">
      <w:pPr>
        <w:rPr>
          <w:b/>
          <w:bCs/>
          <w:sz w:val="28"/>
          <w:szCs w:val="32"/>
        </w:rPr>
      </w:pPr>
      <w:r w:rsidRPr="001A122E">
        <w:rPr>
          <w:b/>
          <w:bCs/>
          <w:sz w:val="28"/>
          <w:szCs w:val="32"/>
        </w:rPr>
        <w:t>Declaración de asistencia computacional</w:t>
      </w:r>
    </w:p>
    <w:p w14:paraId="5043F233" w14:textId="77777777" w:rsidR="00D06442" w:rsidRDefault="00000000">
      <w:r w:rsidRPr="001A122E">
        <w:t>El material inicial, el código de exploración y los documentos de apoyo fueron desarrollados con asistencia de un sistema de IA. El estudiante debe ejecutar y validar las salidas, interpretar las fuentes y declarar los ajustes efectuados. Las versiones y capturas del entorno personal deben completarse antes de la entrega.</w:t>
      </w:r>
    </w:p>
    <w:sectPr w:rsidR="00D06442" w:rsidSect="00034616">
      <w:pgSz w:w="12240" w:h="15840"/>
      <w:pgMar w:top="1224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512743">
    <w:abstractNumId w:val="8"/>
  </w:num>
  <w:num w:numId="2" w16cid:durableId="1257976897">
    <w:abstractNumId w:val="6"/>
  </w:num>
  <w:num w:numId="3" w16cid:durableId="763840729">
    <w:abstractNumId w:val="5"/>
  </w:num>
  <w:num w:numId="4" w16cid:durableId="58215135">
    <w:abstractNumId w:val="4"/>
  </w:num>
  <w:num w:numId="5" w16cid:durableId="1820415077">
    <w:abstractNumId w:val="7"/>
  </w:num>
  <w:num w:numId="6" w16cid:durableId="1329138636">
    <w:abstractNumId w:val="3"/>
  </w:num>
  <w:num w:numId="7" w16cid:durableId="375735448">
    <w:abstractNumId w:val="2"/>
  </w:num>
  <w:num w:numId="8" w16cid:durableId="1913270257">
    <w:abstractNumId w:val="1"/>
  </w:num>
  <w:num w:numId="9" w16cid:durableId="57566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22E"/>
    <w:rsid w:val="001B5BB2"/>
    <w:rsid w:val="0029639D"/>
    <w:rsid w:val="002A6B63"/>
    <w:rsid w:val="00326F90"/>
    <w:rsid w:val="00533556"/>
    <w:rsid w:val="00AA1D8D"/>
    <w:rsid w:val="00B47730"/>
    <w:rsid w:val="00CB0664"/>
    <w:rsid w:val="00D064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3E02D"/>
  <w14:defaultImageDpi w14:val="300"/>
  <w15:docId w15:val="{A2C03E6B-2EB2-4A01-AC0E-6328B89B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75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75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1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922</Words>
  <Characters>5077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NICOLÁS BENJAMÍN IGNACIO PAILLALEF MEDINA</cp:lastModifiedBy>
  <cp:revision>3</cp:revision>
  <dcterms:created xsi:type="dcterms:W3CDTF">2013-12-23T23:15:00Z</dcterms:created>
  <dcterms:modified xsi:type="dcterms:W3CDTF">2026-10-27T23:44:00Z</dcterms:modified>
  <cp:category/>
</cp:coreProperties>
</file>