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lang w:val="en-US"/>
        </w:rPr>
        <w:t>Thời gian học: 18h30</w:t>
      </w:r>
    </w:p>
    <w:p>
      <w:pPr>
        <w:pStyle w:val="Normal"/>
        <w:rPr/>
      </w:pPr>
      <w:hyperlink r:id="rId2">
        <w:r>
          <w:rPr>
            <w:rStyle w:val="Hyperlink"/>
            <w:sz w:val="24"/>
            <w:szCs w:val="24"/>
            <w:lang w:val="en-US"/>
          </w:rPr>
          <w:t>hoinv@uit.uit.edu.vn</w:t>
        </w:r>
      </w:hyperlink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lang w:val="en-US"/>
        </w:rPr>
        <w:t>CRTT-CITD3-MSSV-tiêu đề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lang w:val="en-US"/>
        </w:rPr>
        <w:t>Slides+bài giảng: website môn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lang w:val="en-US"/>
        </w:rPr>
        <w:t>Bài giảng words gửi hằng tuần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lang w:val="en-US"/>
        </w:rPr>
        <w:t>1 bài cuối kỳ: 60%, được mang tài liệu giấy (có thể).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lang w:val="en-US"/>
        </w:rPr>
        <w:t>Quá trình = GK: 20% = ½ Cuối kỳ + số lần phát biểu *0.3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lang w:val="en-US"/>
        </w:rPr>
        <w:t>Trừ: vắng – 0.5.</w:t>
      </w:r>
    </w:p>
    <w:p>
      <w:pPr>
        <w:pStyle w:val="Normal"/>
        <w:rPr>
          <w:rFonts w:ascii="Times New Roman" w:hAnsi="Times New Roman"/>
          <w:sz w:val="30"/>
          <w:szCs w:val="30"/>
          <w:lang w:val="en-US"/>
        </w:rPr>
      </w:pPr>
      <w:r>
        <w:rPr>
          <w:sz w:val="30"/>
          <w:szCs w:val="30"/>
          <w:lang w:val="en-US"/>
        </w:rPr>
      </w:r>
    </w:p>
    <w:p>
      <w:pPr>
        <w:pStyle w:val="Normal"/>
        <w:rPr>
          <w:rFonts w:ascii="Times New Roman" w:hAnsi="Times New Roman"/>
          <w:b/>
          <w:bCs/>
        </w:rPr>
      </w:pPr>
      <w:r>
        <w:rPr>
          <w:b/>
          <w:bCs/>
          <w:sz w:val="30"/>
          <w:szCs w:val="30"/>
          <w:lang w:val="en-US"/>
        </w:rPr>
        <w:t>Buổi 1: Mệnh đề</w:t>
      </w:r>
    </w:p>
    <w:p>
      <w:pPr>
        <w:pStyle w:val="Normal"/>
        <w:rPr>
          <w:rFonts w:ascii="Times New Roman" w:hAnsi="Times New Roman"/>
        </w:rPr>
      </w:pPr>
      <w:r>
        <w:rPr>
          <w:sz w:val="30"/>
          <w:szCs w:val="30"/>
          <w:lang w:val="en-US"/>
        </w:rPr>
        <w:t>Định nghĩa: câu khẳng định đúng hoặc sai.</w:t>
      </w:r>
    </w:p>
    <w:p>
      <w:pPr>
        <w:pStyle w:val="Normal"/>
        <w:rPr>
          <w:rFonts w:ascii="Times New Roman" w:hAnsi="Times New Roman"/>
        </w:rPr>
      </w:pPr>
      <w:r>
        <w:rPr>
          <w:sz w:val="30"/>
          <w:szCs w:val="30"/>
          <w:lang w:val="en-US"/>
        </w:rPr>
        <w:t>Ví dụ:</w:t>
      </w:r>
    </w:p>
    <w:p>
      <w:pPr>
        <w:pStyle w:val="ListParagraph"/>
        <w:numPr>
          <w:ilvl w:val="0"/>
          <w:numId w:val="0"/>
        </w:numPr>
        <w:ind w:hanging="0" w:left="0"/>
        <w:rPr>
          <w:rFonts w:ascii="Times New Roman" w:hAnsi="Times New Roman"/>
        </w:rPr>
      </w:pPr>
      <w:r>
        <w:rPr>
          <w:sz w:val="30"/>
          <w:szCs w:val="30"/>
          <w:lang w:val="en-US"/>
        </w:rPr>
        <w:t>1. Trường Đại học CNTT là thành viên của ĐHQG =&gt; MĐ: đúng</w:t>
      </w:r>
    </w:p>
    <w:p>
      <w:pPr>
        <w:pStyle w:val="ListParagraph"/>
        <w:numPr>
          <w:ilvl w:val="0"/>
          <w:numId w:val="0"/>
        </w:numPr>
        <w:ind w:hanging="0" w:left="0"/>
        <w:rPr>
          <w:rFonts w:ascii="Times New Roman" w:hAnsi="Times New Roman"/>
        </w:rPr>
      </w:pPr>
      <w:r>
        <w:rPr>
          <w:rFonts w:eastAsia="" w:eastAsiaTheme="minorEastAsia"/>
          <w:sz w:val="30"/>
          <w:szCs w:val="30"/>
          <w:lang w:val="en-US"/>
        </w:rPr>
        <w:t>2. 1 &gt; 2 =&gt; MĐ: Sai</w:t>
      </w:r>
    </w:p>
    <w:p>
      <w:pPr>
        <w:pStyle w:val="ListParagraph"/>
        <w:numPr>
          <w:ilvl w:val="0"/>
          <w:numId w:val="0"/>
        </w:numPr>
        <w:ind w:hanging="0" w:left="0"/>
        <w:rPr>
          <w:rFonts w:ascii="Times New Roman" w:hAnsi="Times New Roman"/>
        </w:rPr>
      </w:pPr>
      <w:r>
        <w:rPr>
          <w:rFonts w:eastAsia="" w:eastAsiaTheme="minorEastAsia"/>
          <w:sz w:val="30"/>
          <w:szCs w:val="30"/>
          <w:lang w:val="en-US"/>
        </w:rPr>
        <w:t>3. Hôm nay trời mưa =&gt; không là MĐ, đúng/sai phụ thuộc vào vị trí địa lý.</w:t>
      </w:r>
    </w:p>
    <w:p>
      <w:pPr>
        <w:pStyle w:val="ListParagraph"/>
        <w:numPr>
          <w:ilvl w:val="0"/>
          <w:numId w:val="0"/>
        </w:numPr>
        <w:ind w:hanging="0" w:left="0"/>
        <w:rPr>
          <w:rFonts w:ascii="Times New Roman" w:hAnsi="Times New Roman"/>
        </w:rPr>
      </w:pPr>
      <w:r>
        <w:rPr>
          <w:rFonts w:eastAsia="" w:eastAsiaTheme="minorEastAsia"/>
          <w:sz w:val="30"/>
          <w:szCs w:val="30"/>
          <w:lang w:val="en-US"/>
        </w:rPr>
        <w:t>4. 2x+3=5 =&gt; không là MĐ, đúng/sai phụ thuộc vào x.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>Chú ý: các câu cảm thán không là mệnh đề.</w:t>
      </w:r>
    </w:p>
    <w:p>
      <w:pPr>
        <w:pStyle w:val="Normal"/>
        <w:rPr/>
      </w:pPr>
      <w:r>
        <w:rPr>
          <w:rFonts w:eastAsia="" w:eastAsiaTheme="minorEastAsia"/>
          <w:color w:val="2A6099"/>
          <w:sz w:val="30"/>
          <w:szCs w:val="30"/>
          <w:lang w:val="en-US"/>
        </w:rPr>
        <w:t>Ký hiệu</w:t>
      </w:r>
      <w:r>
        <w:rPr>
          <w:rFonts w:eastAsia="" w:eastAsiaTheme="minorEastAsia"/>
          <w:sz w:val="30"/>
          <w:szCs w:val="30"/>
          <w:lang w:val="en-US"/>
        </w:rPr>
        <w:t>: p, q, r,… chỉ mệnh đề</w:t>
      </w:r>
    </w:p>
    <w:p>
      <w:pPr>
        <w:pStyle w:val="Normal"/>
        <w:rPr>
          <w:rFonts w:ascii="Times New Roman" w:hAnsi="Times New Roman"/>
        </w:rPr>
      </w:pPr>
      <w:r>
        <w:rPr>
          <w:rFonts w:eastAsia="" w:eastAsiaTheme="minorEastAsia"/>
          <w:sz w:val="30"/>
          <w:szCs w:val="30"/>
          <w:lang w:val="en-US"/>
        </w:rPr>
        <w:t>* có thể hoa hoặc thường, nhưng thống nhất dùng ký hiệu thường</w:t>
      </w:r>
    </w:p>
    <w:p>
      <w:pPr>
        <w:pStyle w:val="Normal"/>
        <w:rPr/>
      </w:pPr>
      <w:r>
        <w:rPr>
          <w:rFonts w:eastAsia="" w:cs="Times New Roman" w:eastAsiaTheme="minorEastAsia"/>
          <w:color w:val="2A6099"/>
          <w:kern w:val="0"/>
          <w:sz w:val="30"/>
          <w:szCs w:val="30"/>
          <w:lang w:val="en-US" w:eastAsia="en-US" w:bidi="ar-SA"/>
        </w:rPr>
        <w:t>Giá trị (Chân trị)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: Đ</w:t>
      </w:r>
      <w:r>
        <w:rPr>
          <w:rFonts w:eastAsia="" w:eastAsiaTheme="minorEastAsia"/>
          <w:sz w:val="30"/>
          <w:szCs w:val="30"/>
          <w:lang w:val="en-US"/>
        </w:rPr>
        <w:t>úng (1), Sai (0) hoặc T – F.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color w:val="2A6099"/>
          <w:sz w:val="30"/>
          <w:szCs w:val="30"/>
          <w:lang w:val="en-US"/>
        </w:rPr>
        <w:t>Phân loại</w:t>
      </w:r>
      <w:r>
        <w:rPr>
          <w:rFonts w:eastAsia="" w:eastAsiaTheme="minorEastAsia"/>
          <w:sz w:val="30"/>
          <w:szCs w:val="30"/>
          <w:lang w:val="en-US"/>
        </w:rPr>
        <w:t>:</w:t>
      </w:r>
    </w:p>
    <w:p>
      <w:pPr>
        <w:pStyle w:val="Normal"/>
        <w:rPr>
          <w:rFonts w:ascii="Times New Roman" w:hAnsi="Times New Roman"/>
        </w:rPr>
      </w:pPr>
      <w:r>
        <w:rPr>
          <w:rFonts w:eastAsia="" w:eastAsiaTheme="minorEastAsia"/>
          <w:sz w:val="30"/>
          <w:szCs w:val="30"/>
          <w:lang w:val="en-US"/>
        </w:rPr>
        <w:t>a) Mệnh đề sơ cấp: chỉ chứa một khẳng định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>b) Mệnh đề phức hợp: được tạo thành từ những mệnh đề sơ cấp liên kết với nhau thông qua các liên từ: “và”, “hoặc”, “nếu…. thì…”, “ khi và chi khi”, “không”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 xml:space="preserve">Ví dụ: 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1) 3 là số nguyên tố =&gt; mđ sơ cấp : Đ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 xml:space="preserve">2) 9 </w:t>
      </w:r>
      <w:r>
        <w:rPr>
          <w:rFonts w:eastAsia="" w:eastAsiaTheme="minorEastAsia"/>
          <w:color w:val="FF0000"/>
          <w:sz w:val="30"/>
          <w:szCs w:val="30"/>
          <w:lang w:val="en-US"/>
        </w:rPr>
        <w:t>không</w:t>
      </w:r>
      <w:r>
        <w:rPr>
          <w:rFonts w:eastAsia="" w:eastAsiaTheme="minorEastAsia"/>
          <w:sz w:val="30"/>
          <w:szCs w:val="30"/>
          <w:lang w:val="en-US"/>
        </w:rPr>
        <w:t xml:space="preserve"> là số chính phương =&gt; mđ phức hợp : Đ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 xml:space="preserve">3) pi &gt; 1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và</w:t>
      </w:r>
      <w:r>
        <w:rPr>
          <w:rFonts w:eastAsia="" w:eastAsiaTheme="minorEastAsia"/>
          <w:sz w:val="30"/>
          <w:szCs w:val="30"/>
          <w:lang w:val="en-US"/>
        </w:rPr>
        <w:t xml:space="preserve">  pi &lt; 3  =&gt; mđ phức hợp : S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 xml:space="preserve">4) pi &gt; 1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hoặc</w:t>
      </w:r>
      <w:r>
        <w:rPr>
          <w:rFonts w:eastAsia="" w:eastAsiaTheme="minorEastAsia"/>
          <w:sz w:val="30"/>
          <w:szCs w:val="30"/>
          <w:lang w:val="en-US"/>
        </w:rPr>
        <w:t xml:space="preserve"> pi &lt; 3 =&gt; mđ phức hợp : Đ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 xml:space="preserve">5) </w:t>
      </w:r>
      <w:r>
        <w:rPr>
          <w:rFonts w:eastAsia="" w:eastAsiaTheme="minorEastAsia"/>
          <w:color w:val="FF0000"/>
          <w:sz w:val="30"/>
          <w:szCs w:val="30"/>
          <w:lang w:val="en-US"/>
        </w:rPr>
        <w:t>Nếu</w:t>
      </w:r>
      <w:r>
        <w:rPr>
          <w:rFonts w:eastAsia="" w:eastAsiaTheme="minorEastAsia"/>
          <w:sz w:val="30"/>
          <w:szCs w:val="30"/>
          <w:lang w:val="en-US"/>
        </w:rPr>
        <w:t xml:space="preserve"> mặt trời mọc hướng tây </w:t>
      </w:r>
      <w:r>
        <w:rPr>
          <w:rFonts w:eastAsia="" w:eastAsiaTheme="minorEastAsia"/>
          <w:color w:val="FF0000"/>
          <w:sz w:val="30"/>
          <w:szCs w:val="30"/>
          <w:lang w:val="en-US"/>
        </w:rPr>
        <w:t>thì</w:t>
      </w:r>
      <w:r>
        <w:rPr>
          <w:rFonts w:eastAsia="" w:eastAsiaTheme="minorEastAsia"/>
          <w:sz w:val="30"/>
          <w:szCs w:val="30"/>
          <w:lang w:val="en-US"/>
        </w:rPr>
        <w:t xml:space="preserve"> 1+1!=2 =&gt; mđ phức hợp : Đ</w:t>
      </w:r>
    </w:p>
    <w:p>
      <w:pPr>
        <w:pStyle w:val="Normal"/>
        <w:rPr/>
      </w:pPr>
      <w:r>
        <w:rPr>
          <w:rFonts w:eastAsia="" w:eastAsiaTheme="minorEastAsia"/>
          <w:sz w:val="30"/>
          <w:szCs w:val="30"/>
          <w:lang w:val="en-US"/>
        </w:rPr>
        <w:t>6) Mr Hợi vừa dạy học và ăn cơm =&gt; mđ phức hợp : S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</w:r>
    </w:p>
    <w:p>
      <w:pPr>
        <w:pStyle w:val="Normal"/>
        <w:rPr>
          <w:b/>
          <w:bCs/>
        </w:rPr>
      </w:pPr>
      <w:r>
        <w:rPr>
          <w:rFonts w:eastAsia="" w:eastAsiaTheme="minorEastAsia"/>
          <w:b/>
          <w:bCs/>
          <w:sz w:val="30"/>
          <w:szCs w:val="30"/>
          <w:lang w:val="en-US"/>
        </w:rPr>
        <w:t>CÁC PHÉP TOÁN TRÊN MỆNH ĐỀ</w:t>
      </w:r>
    </w:p>
    <w:p>
      <w:pPr>
        <w:pStyle w:val="Normal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1. Ph</w:t>
      </w:r>
      <w:r>
        <w:rPr>
          <w:rFonts w:eastAsia="" w:eastAsiaTheme="minorEastAsia"/>
          <w:b/>
          <w:bCs/>
          <w:sz w:val="30"/>
          <w:szCs w:val="30"/>
          <w:lang w:val="en-US"/>
        </w:rPr>
        <w:t>ép phủ định</w:t>
      </w:r>
      <w:r>
        <w:rPr>
          <w:rFonts w:eastAsia="" w:eastAsiaTheme="minorEastAsia"/>
          <w:sz w:val="30"/>
          <w:szCs w:val="30"/>
          <w:lang w:val="en-US"/>
        </w:rPr>
        <w:t xml:space="preserve"> (“không”): phủ định của p là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¬</m:t>
        </m:r>
        <m:r>
          <w:rPr>
            <w:rFonts w:ascii="Cambria Math" w:hAnsi="Cambria Math"/>
          </w:rPr>
          <m:t xml:space="preserve">p</m:t>
        </m:r>
      </m:oMath>
      <w:r>
        <w:rPr>
          <w:rFonts w:eastAsia="" w:eastAsiaTheme="minorEastAsia"/>
          <w:sz w:val="30"/>
          <w:szCs w:val="30"/>
          <w:lang w:val="en-US"/>
        </w:rPr>
        <w:t xml:space="preserve"> hoặc </w:t>
      </w:r>
      <w:r>
        <w:rPr/>
      </w:r>
      <m:oMath xmlns:m="http://schemas.openxmlformats.org/officeDocument/2006/math">
        <m:bar>
          <m:barPr>
            <m:pos m:val="top"/>
          </m:barPr>
          <m:e>
            <m:r>
              <w:rPr>
                <w:rFonts w:ascii="Cambria Math" w:hAnsi="Cambria Math"/>
              </w:rPr>
              <m:t xml:space="preserve">p</m:t>
            </m:r>
          </m:e>
        </m:bar>
      </m:oMath>
      <w:r>
        <w:rPr>
          <w:rFonts w:eastAsia="" w:eastAsiaTheme="minorEastAsia"/>
          <w:sz w:val="30"/>
          <w:szCs w:val="30"/>
          <w:lang w:val="en-US"/>
        </w:rPr>
        <w:t xml:space="preserve"> hoặc p’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Ví dụ: 2 là số nguyên tố =&gt; p’: 2 không là số nguyên tố</w:t>
      </w:r>
    </w:p>
    <w:tbl>
      <w:tblPr>
        <w:tblW w:w="432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59"/>
      </w:tblGrid>
      <w:tr>
        <w:trPr>
          <w:trHeight w:val="461" w:hRule="atLeast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</w:t>
            </w:r>
          </w:p>
        </w:tc>
        <w:tc>
          <w:tcPr>
            <w:tcW w:w="2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p’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0</w:t>
            </w:r>
          </w:p>
        </w:tc>
        <w:tc>
          <w:tcPr>
            <w:tcW w:w="2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  <w:tc>
          <w:tcPr>
            <w:tcW w:w="2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0</w:t>
            </w:r>
          </w:p>
        </w:tc>
      </w:tr>
    </w:tbl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</w:r>
    </w:p>
    <w:p>
      <w:pPr>
        <w:pStyle w:val="ListParagraph"/>
        <w:numPr>
          <w:ilvl w:val="0"/>
          <w:numId w:val="0"/>
        </w:numPr>
        <w:ind w:hanging="0" w:left="0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2. Phép hợp</w:t>
      </w:r>
      <w:r>
        <w:rPr>
          <w:rFonts w:eastAsia="" w:eastAsiaTheme="minorEastAsia"/>
          <w:sz w:val="30"/>
          <w:szCs w:val="30"/>
          <w:lang w:val="en-US"/>
        </w:rPr>
        <w:t xml:space="preserve"> (“hoặc”, “ hay”): p và q là 2 mệnh đề: p v q đọc là p hoặc q. Mđ khi và chỉ khi p hoặc q đúng xảy ra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>
          <w:trHeight w:val="461" w:hRule="atLeast"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v q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>
          <w:trHeight w:val="461" w:hRule="atLeast"/>
        </w:trPr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- pi &gt; 2 hoặc p &lt; 3 =&gt; Đ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- 3 là số nguyên tố hoặc số chẵn =&gt; Đ</w:t>
      </w:r>
    </w:p>
    <w:p>
      <w:pPr>
        <w:pStyle w:val="Normal"/>
        <w:rPr>
          <w:rFonts w:ascii="Times New Roman" w:hAnsi="Times New Roman" w:eastAsia="" w:eastAsiaTheme="minorEastAsia"/>
          <w:sz w:val="30"/>
          <w:szCs w:val="30"/>
          <w:lang w:val="en-US"/>
        </w:rPr>
      </w:pPr>
      <w:r>
        <w:rPr>
          <w:rFonts w:eastAsia="" w:eastAsiaTheme="minorEastAsia"/>
          <w:sz w:val="30"/>
          <w:szCs w:val="30"/>
          <w:lang w:val="en-US"/>
        </w:rPr>
        <w:t>- 1 &gt; 2 hoặc 2 &gt; 3 =&gt; S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3. Phép giao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(“và”): đọc p và q. Mđ đúng khi và chỉ khi p và q đúng xảy ra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^ q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4. Phép kéo theo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(“ nếu …. Thì ….”): p → q đọc p suy ra q.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* Mđ chỉ sai khi </w:t>
      </w:r>
      <w:r>
        <w:rPr>
          <w:rFonts w:eastAsia="" w:cs="Times New Roman" w:eastAsiaTheme="minorEastAsia"/>
          <w:color w:val="FF0000"/>
          <w:kern w:val="0"/>
          <w:sz w:val="30"/>
          <w:szCs w:val="30"/>
          <w:lang w:val="en-US" w:eastAsia="en-US" w:bidi="ar-SA"/>
        </w:rPr>
        <w:t>p đúng mà q sai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.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→ q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5. Phép tương đương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(“khi và chỉ khi”): p ↔ q đọc p tương q.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Mđ đúng khi và chỉ khi p và q cùng chân trị.</w:t>
      </w:r>
    </w:p>
    <w:tbl>
      <w:tblPr>
        <w:tblW w:w="64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↔ q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</w:tbl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Normal"/>
        <w:rPr>
          <w:rFonts w:ascii="Times New Roman" w:hAnsi="Times New Roman"/>
        </w:rPr>
      </w:pPr>
      <w:r>
        <w:rPr>
          <w:rFonts w:eastAsia="" w:eastAsiaTheme="minorEastAsia"/>
          <w:b/>
          <w:bCs/>
          <w:sz w:val="30"/>
          <w:szCs w:val="30"/>
          <w:lang w:val="en-US"/>
        </w:rPr>
        <w:t>BIỂU THỨC MỆNH ĐỀ: Hàm mệnh đề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center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E(p, r, q, …) = hàm số theo p, q, r dưới các phép toán v, ^, ‘, →, ↔.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Ví dụ: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E(p, q) = (p’ v q)’</w:t>
      </w:r>
    </w:p>
    <w:tbl>
      <w:tblPr>
        <w:tblW w:w="864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p’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p’ v q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E ~ (p’ v q)’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7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F(p, q, r) = (p ^ q) → (q v r)’</w:t>
      </w:r>
    </w:p>
    <w:tbl>
      <w:tblPr>
        <w:tblW w:w="1008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9"/>
        <w:gridCol w:w="721"/>
        <w:gridCol w:w="720"/>
        <w:gridCol w:w="1439"/>
        <w:gridCol w:w="1441"/>
        <w:gridCol w:w="1440"/>
        <w:gridCol w:w="3599"/>
      </w:tblGrid>
      <w:tr>
        <w:trPr/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</w:t>
            </w:r>
          </w:p>
        </w:tc>
        <w:tc>
          <w:tcPr>
            <w:tcW w:w="721" w:type="dxa"/>
            <w:tcBorders>
              <w:top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r</w:t>
            </w:r>
          </w:p>
        </w:tc>
        <w:tc>
          <w:tcPr>
            <w:tcW w:w="143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p ^ q</w:t>
            </w:r>
          </w:p>
        </w:tc>
        <w:tc>
          <w:tcPr>
            <w:tcW w:w="144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q v r</w:t>
            </w:r>
          </w:p>
        </w:tc>
        <w:tc>
          <w:tcPr>
            <w:tcW w:w="144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(q v r)’</w:t>
            </w:r>
          </w:p>
        </w:tc>
        <w:tc>
          <w:tcPr>
            <w:tcW w:w="359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F ~ (p ^ q) → (q v r)’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  <w:tr>
        <w:trPr/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1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720" w:type="dxa"/>
            <w:tcBorders>
              <w:bottom w:val="single" w:sz="4" w:space="0" w:color="000000"/>
            </w:tcBorders>
            <w:shd w:fill="FFF5CE" w:val="clear"/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3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  <w:tc>
          <w:tcPr>
            <w:tcW w:w="3599" w:type="dxa"/>
            <w:tcBorders>
              <w:bottom w:val="single" w:sz="4" w:space="0" w:color="000000"/>
            </w:tcBorders>
            <w:vAlign w:val="center"/>
          </w:tcPr>
          <w:p>
            <w:pPr>
              <w:pStyle w:val="TableContents"/>
              <w:suppressAutoHyphens w:val="true"/>
              <w:bidi w:val="0"/>
              <w:spacing w:lineRule="auto" w:line="240" w:before="0" w:after="58"/>
              <w:jc w:val="center"/>
              <w:rPr>
                <w:rFonts w:ascii="Times New Roman" w:hAnsi="Times New Roman"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</w:pPr>
            <w:r>
              <w:rPr>
                <w:rFonts w:eastAsia="Aptos" w:cs="Times New Roman" w:eastAsiaTheme="minorHAnsi"/>
                <w:color w:val="auto"/>
                <w:kern w:val="0"/>
                <w:sz w:val="22"/>
                <w:szCs w:val="22"/>
                <w:lang w:val="vi-VN" w:eastAsia="en-US" w:bidi="ar-SA"/>
              </w:rPr>
              <w:t>0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G(p, q, r) = (p’ → r) ^ (q →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H(p, q, r) = (p → q) → r</w:t>
      </w:r>
    </w:p>
    <w:tbl>
      <w:tblPr>
        <w:tblW w:w="9450" w:type="dxa"/>
        <w:jc w:val="left"/>
        <w:tblInd w:w="45" w:type="dxa"/>
        <w:tblLayout w:type="fixed"/>
        <w:tblCellMar>
          <w:top w:w="30" w:type="dxa"/>
          <w:left w:w="45" w:type="dxa"/>
          <w:bottom w:w="30" w:type="dxa"/>
          <w:right w:w="45" w:type="dxa"/>
        </w:tblCellMar>
      </w:tblPr>
      <w:tblGrid>
        <w:gridCol w:w="525"/>
        <w:gridCol w:w="509"/>
        <w:gridCol w:w="511"/>
        <w:gridCol w:w="510"/>
        <w:gridCol w:w="732"/>
        <w:gridCol w:w="724"/>
        <w:gridCol w:w="2065"/>
        <w:gridCol w:w="423"/>
        <w:gridCol w:w="511"/>
        <w:gridCol w:w="510"/>
        <w:gridCol w:w="509"/>
        <w:gridCol w:w="615"/>
        <w:gridCol w:w="1305"/>
      </w:tblGrid>
      <w:tr>
        <w:trPr/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</w:t>
            </w:r>
          </w:p>
        </w:tc>
        <w:tc>
          <w:tcPr>
            <w:tcW w:w="509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q</w:t>
            </w:r>
          </w:p>
        </w:tc>
        <w:tc>
          <w:tcPr>
            <w:tcW w:w="51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r</w:t>
            </w:r>
          </w:p>
        </w:tc>
        <w:tc>
          <w:tcPr>
            <w:tcW w:w="51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p'</w:t>
            </w:r>
          </w:p>
        </w:tc>
        <w:tc>
          <w:tcPr>
            <w:tcW w:w="732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p' →  r</w:t>
            </w:r>
          </w:p>
        </w:tc>
        <w:tc>
          <w:tcPr>
            <w:tcW w:w="72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q → r</w:t>
            </w:r>
          </w:p>
        </w:tc>
        <w:tc>
          <w:tcPr>
            <w:tcW w:w="206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fill="FFF2CC" w:val="clear"/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G ~ (p’ → r) ^ (q → r)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</w:t>
            </w:r>
          </w:p>
        </w:tc>
        <w:tc>
          <w:tcPr>
            <w:tcW w:w="51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q</w:t>
            </w:r>
          </w:p>
        </w:tc>
        <w:tc>
          <w:tcPr>
            <w:tcW w:w="509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r</w:t>
            </w:r>
          </w:p>
        </w:tc>
        <w:tc>
          <w:tcPr>
            <w:tcW w:w="61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p → q</w:t>
            </w:r>
          </w:p>
        </w:tc>
        <w:tc>
          <w:tcPr>
            <w:tcW w:w="1305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fill="FFF2CC" w:val="clear"/>
            <w:tcMar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(p → q) →  r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5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32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24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206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423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10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509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615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1305" w:type="dxa"/>
            <w:tcBorders>
              <w:bottom w:val="single" w:sz="2" w:space="0" w:color="000000"/>
              <w:right w:val="single" w:sz="2" w:space="0" w:color="000000"/>
            </w:tcBorders>
            <w:shd w:fill="FFF2CC" w:val="clear"/>
            <w:tcMar>
              <w:top w:w="0" w:type="dxa"/>
              <w:left w:w="0" w:type="dxa"/>
            </w:tcMar>
            <w:vAlign w:val="center"/>
          </w:tcPr>
          <w:p>
            <w:pPr>
              <w:pStyle w:val="TableContents"/>
              <w:spacing w:before="0" w:after="58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Hai biểu thức mệnh đề tương đương khi chúng có cùng chân trị.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b/>
          <w:bCs/>
          <w:color w:val="auto"/>
          <w:kern w:val="0"/>
          <w:sz w:val="30"/>
          <w:szCs w:val="30"/>
          <w:lang w:val="en-US" w:eastAsia="en-US" w:bidi="ar-SA"/>
        </w:rPr>
        <w:t>CÁC QUY LUẬT LOGIC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1) Phủ định của phủ định: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(p’)’ = p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4) Luật kết hợp: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v q) v r = p v (q v r)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^ q) ^ r = p ^ (q ^ r)</w:t>
            </w:r>
          </w:p>
        </w:tc>
      </w:tr>
      <w:tr>
        <w:trPr/>
        <w:tc>
          <w:tcPr>
            <w:tcW w:w="5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2) Quy tắc De Morgan: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v q)’ = p’ ^ q’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(p ^ q)’ = p’ v q’</w:t>
            </w:r>
          </w:p>
        </w:tc>
        <w:tc>
          <w:tcPr>
            <w:tcW w:w="5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5) Luật phân phối: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v (q ^ r) = (p v q) ^ (p v r)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^ (q v r) = (p ^ q) v (p ^ r)</w:t>
            </w:r>
          </w:p>
        </w:tc>
      </w:tr>
      <w:tr>
        <w:trPr/>
        <w:tc>
          <w:tcPr>
            <w:tcW w:w="5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3) Luật giao hoán: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v q = q v p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^ q = q ^ p</w:t>
            </w:r>
          </w:p>
        </w:tc>
        <w:tc>
          <w:tcPr>
            <w:tcW w:w="5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bidi w:val="0"/>
              <w:spacing w:lineRule="auto" w:line="240"/>
              <w:ind w:hanging="0" w:left="0"/>
              <w:jc w:val="left"/>
              <w:rPr>
                <w:rFonts w:ascii="Times New Roman" w:hAnsi="Times New Roman"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b/>
                <w:bCs/>
                <w:color w:val="auto"/>
                <w:kern w:val="0"/>
                <w:sz w:val="30"/>
                <w:szCs w:val="30"/>
                <w:lang w:val="en-US" w:eastAsia="en-US" w:bidi="ar-SA"/>
              </w:rPr>
              <w:t>6) Luật kéo theo:</w:t>
            </w:r>
          </w:p>
          <w:p>
            <w:pPr>
              <w:pStyle w:val="ListParagraph"/>
              <w:widowControl/>
              <w:suppressAutoHyphens w:val="true"/>
              <w:bidi w:val="0"/>
              <w:spacing w:lineRule="auto" w:line="240" w:before="0" w:after="160"/>
              <w:ind w:hanging="0" w:left="0"/>
              <w:contextualSpacing/>
              <w:jc w:val="center"/>
              <w:rPr>
                <w:rFonts w:ascii="Times New Roman" w:hAnsi="Times New Roman"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" w:cs="Times New Roman" w:eastAsiaTheme="minorEastAsia"/>
                <w:color w:val="auto"/>
                <w:kern w:val="0"/>
                <w:sz w:val="30"/>
                <w:szCs w:val="30"/>
                <w:lang w:val="en-US" w:eastAsia="en-US" w:bidi="ar-SA"/>
              </w:rPr>
              <w:t>p → q = p’ v q = q’ → p’</w:t>
            </w:r>
          </w:p>
        </w:tc>
      </w:tr>
    </w:tbl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2A6099"/>
          <w:kern w:val="0"/>
          <w:sz w:val="30"/>
          <w:szCs w:val="30"/>
          <w:lang w:val="en-US" w:eastAsia="en-US" w:bidi="ar-SA"/>
        </w:rPr>
        <w:t>Ví dụ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: 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chứng minh 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(p’ → r) ^ (q → r) = (p → q) → r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(p’ → r) ^ (q →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((p’)’ v r) ^ (q’ v r)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v r) ^ (q’ v r)</w:t>
        <w:tab/>
        <w:tab/>
        <w:t>* phủ định của phủ định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 v r</w:t>
        <w:tab/>
        <w:tab/>
        <w:t xml:space="preserve">* luật phân phối </w:t>
      </w:r>
      <w:r>
        <w:rPr>
          <w:rFonts w:eastAsia="" w:cs="Times New Roman" w:eastAsiaTheme="minorEastAsia"/>
          <w:color w:val="2A6099"/>
          <w:kern w:val="0"/>
          <w:sz w:val="30"/>
          <w:szCs w:val="30"/>
          <w:lang w:val="en-US" w:eastAsia="en-US" w:bidi="ar-SA"/>
        </w:rPr>
        <w:t>(p ^ q’) ~ p’ trong công thức =&gt; p’ = (p ^ q’)’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q’)’ → r</w:t>
        <w:tab/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= (p’ v q) → r </w:t>
        <w:tab/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→ q) → r</w:t>
        <w:tab/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a) p → (q v r) = r’ → (q’ → p’)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p → (q v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p’ v (q v r)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r v (p’ v q)</w:t>
        <w:tab/>
        <w:t>* luật g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iao hoán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r’ → (p’ v q)</w:t>
        <w:tab/>
        <w:t>* luật kéo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r’ → (q’ → p’)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b) ((p ^ q) v r)’ = (p → q’) ^ r’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((p ^ q) v r)’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q)’ ^ r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’</w:t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(p’ v q’) ^ r’</w:t>
        <w:tab/>
        <w:t>* lu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→ q’) ^ r’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81" w:charSpace="0"/>
        </w:sectPr>
      </w:pP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c) p ^ (q ^ r)’ = (p → q)’ v (p ^ r’)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VT: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p ^ (q ^ r)’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 ^ (q’ v r’)</w:t>
        <w:tab/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 v (p ^ r’)</w:t>
        <w:tab/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* luật phân phối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(p’ v q)’ v (p ^ r’)</w:t>
        <w:tab/>
        <w:t>* luật De m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→ q)’ v (p ^ r’)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b/>
          <w:bCs/>
          <w:color w:val="auto"/>
          <w:kern w:val="0"/>
          <w:sz w:val="10"/>
          <w:szCs w:val="10"/>
          <w:lang w:val="en-US" w:eastAsia="en-US" w:bidi="ar-SA"/>
        </w:rPr>
        <w:t>VP: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 xml:space="preserve"> (p → q)’ v (p ^ r’)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(p’ v q)’ v (p ^ r’)</w:t>
        <w:tab/>
        <w:t>* luật kéo theo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(p ^ q’) v (p ^ r’)</w:t>
        <w:tab/>
        <w:t>* luật De morgan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 ^ (q’ v r’)</w:t>
        <w:tab/>
        <w:tab/>
        <w:t>* luật phân phối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= p ^ (q ^ r)’</w:t>
        <w:tab/>
        <w:tab/>
        <w:t>* luật De morgan</w:t>
      </w:r>
    </w:p>
    <w:p>
      <w:pPr>
        <w:sectPr>
          <w:type w:val="continuous"/>
          <w:pgSz w:w="11906" w:h="16838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381" w:charSpace="0"/>
        </w:sectPr>
      </w:pP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/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d) (p → q) ^ q’ ^ (q → r) = q</w:t>
      </w: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’ ^ p’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e) (p → q) ^ (p → r) = p → (q ^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  <w:t>f) ((p → r) v (q → r)) → (p → r) = p → (q v r)</w:t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/>
        <w:ind w:hanging="0" w:left="0"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p>
      <w:pPr>
        <w:pStyle w:val="ListParagraph"/>
        <w:widowControl/>
        <w:suppressAutoHyphens w:val="true"/>
        <w:bidi w:val="0"/>
        <w:spacing w:lineRule="auto" w:line="240" w:before="0" w:after="160"/>
        <w:ind w:hanging="0" w:left="0"/>
        <w:contextualSpacing/>
        <w:jc w:val="left"/>
        <w:rPr>
          <w:rFonts w:ascii="Times New Roman" w:hAnsi="Times New Roman"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pPr>
      <w:r>
        <w:rPr>
          <w:rFonts w:eastAsia="" w:cs="Times New Roman" w:eastAsiaTheme="minorEastAsia"/>
          <w:color w:val="auto"/>
          <w:kern w:val="0"/>
          <w:sz w:val="30"/>
          <w:szCs w:val="30"/>
          <w:lang w:val="en-US" w:eastAsia="en-US" w:bidi="ar-SA"/>
        </w:rPr>
      </w:r>
    </w:p>
    <w:sectPr>
      <w:type w:val="continuous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 Display">
    <w:charset w:val="00"/>
    <w:family w:val="roman"/>
    <w:pitch w:val="variable"/>
  </w:font>
  <w:font w:name="Apto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ptos" w:cs="Times New Roman" w:eastAsia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58"/>
      <w:jc w:val="left"/>
    </w:pPr>
    <w:rPr>
      <w:rFonts w:ascii="Times New Roman" w:hAnsi="Times New Roman" w:eastAsia="Aptos" w:cs="Times New Roman" w:eastAsiaTheme="minorHAnsi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6a4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a4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42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42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42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42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42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42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42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56a4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vi-VN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56a4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vi-VN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  <w:lang w:val="vi-VN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lang w:val="vi-VN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accent1" w:themeShade="bf" w:val="0F4761"/>
      <w:lang w:val="vi-VN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lang w:val="vi-VN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text1" w:themeTint="a6" w:val="595959"/>
      <w:lang w:val="vi-VN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lang w:val="vi-VN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56a42"/>
    <w:rPr>
      <w:rFonts w:ascii="Aptos" w:hAnsi="Aptos" w:eastAsia="" w:cs="" w:asciiTheme="minorHAnsi" w:cstheme="majorBidi" w:eastAsiaTheme="majorEastAsia" w:hAnsiTheme="minorHAnsi"/>
      <w:color w:themeColor="text1" w:themeTint="d8" w:val="272727"/>
      <w:lang w:val="vi-VN"/>
    </w:rPr>
  </w:style>
  <w:style w:type="character" w:styleId="TitleChar" w:customStyle="1">
    <w:name w:val="Title Char"/>
    <w:basedOn w:val="DefaultParagraphFont"/>
    <w:link w:val="Title"/>
    <w:uiPriority w:val="10"/>
    <w:qFormat/>
    <w:rsid w:val="00556a4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vi-VN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56a42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  <w:lang w:val="vi-VN"/>
    </w:rPr>
  </w:style>
  <w:style w:type="character" w:styleId="QuoteChar" w:customStyle="1">
    <w:name w:val="Quote Char"/>
    <w:basedOn w:val="DefaultParagraphFont"/>
    <w:link w:val="Quote"/>
    <w:uiPriority w:val="29"/>
    <w:qFormat/>
    <w:rsid w:val="00556a42"/>
    <w:rPr>
      <w:i/>
      <w:iCs/>
      <w:color w:themeColor="text1" w:themeTint="bf" w:val="404040"/>
      <w:lang w:val="vi-VN"/>
    </w:rPr>
  </w:style>
  <w:style w:type="character" w:styleId="IntenseEmphasis">
    <w:name w:val="Intense Emphasis"/>
    <w:basedOn w:val="DefaultParagraphFont"/>
    <w:uiPriority w:val="21"/>
    <w:qFormat/>
    <w:rsid w:val="00556a4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56a42"/>
    <w:rPr>
      <w:i/>
      <w:iCs/>
      <w:color w:themeColor="accent1" w:themeShade="bf" w:val="0F4761"/>
      <w:lang w:val="vi-VN"/>
    </w:rPr>
  </w:style>
  <w:style w:type="character" w:styleId="IntenseReference">
    <w:name w:val="Intense Reference"/>
    <w:basedOn w:val="DefaultParagraphFont"/>
    <w:uiPriority w:val="32"/>
    <w:qFormat/>
    <w:rsid w:val="00556a42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556a42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56a42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qFormat/>
    <w:rsid w:val="0044175a"/>
    <w:rPr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56a4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42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4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56a4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cf234c"/>
    <w:pPr/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07d2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oinv@uit.uit.edu.vn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Application>LibreOffice/25.2.6.2$Windows_X86_64 LibreOffice_project/729c5bfe710f5eb71ed3bbde9e06a6065e9c6c5d</Application>
  <AppVersion>15.0000</AppVersion>
  <Pages>5</Pages>
  <Words>1340</Words>
  <Characters>2916</Characters>
  <CharactersWithSpaces>3913</CharactersWithSpaces>
  <Paragraphs>361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2025-10-21T11:18:00Z</dcterms:created>
  <dc:creator>Nguyen Van Hoi</dc:creator>
  <dc:description/>
  <dc:language>en-US</dc:language>
  <cp:lastModifiedBy/>
  <dcterms:modified xsi:type="dcterms:W3CDTF">2025-10-31T16:12:11Z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