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Thời gian học: 18h30</w:t>
      </w:r>
    </w:p>
    <w:p>
      <w:pPr>
        <w:pStyle w:val="Normal"/>
        <w:rPr>
          <w:sz w:val="30"/>
          <w:szCs w:val="30"/>
          <w:lang w:val="en-US"/>
        </w:rPr>
      </w:pPr>
      <w:hyperlink r:id="rId2">
        <w:r>
          <w:rPr>
            <w:rStyle w:val="Hyperlink"/>
            <w:sz w:val="30"/>
            <w:szCs w:val="30"/>
            <w:lang w:val="en-US"/>
          </w:rPr>
          <w:t>hoinv@uit.uit.edu.vn</w:t>
        </w:r>
      </w:hyperlink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CRTT-CITD3-MSSV-tiêu đề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Slides+bài giảng: website môn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Bài giảng words gửi hằng tuần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 bài cuối kỳ: 60%, được mang tài liệu giấy (có thể).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Quá trình = GK: 20% = ½ Cuối kỳ + số lần phát biểu *0.5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Trừ: vắng – 0.5.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Buổi 1: Mệnh đề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Định nghĩa: câu khẳng định đúng hoặc sai.</w:t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Ví dụ: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Trường Đại học CNTT là thành viên của ĐHQG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MĐ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đúng</m:t>
        </m:r>
      </m:oMath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>
          <w:rFonts w:eastAsia="" w:eastAsiaTheme="minorEastAsia"/>
          <w:sz w:val="30"/>
          <w:szCs w:val="30"/>
          <w:lang w:val="en-US"/>
        </w:rPr>
        <w:t>MĐ: Sai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Hôm nay trời mưa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không là MĐ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>
          <w:rFonts w:eastAsia="" w:eastAsiaTheme="minorEastAsia"/>
          <w:sz w:val="30"/>
          <w:szCs w:val="30"/>
          <w:lang w:val="en-US"/>
        </w:rPr>
        <w:t xml:space="preserve">không là MĐ, đúng/sai phụ thuộc vào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" w:eastAsiaTheme="minorEastAsia"/>
          <w:sz w:val="30"/>
          <w:szCs w:val="30"/>
          <w:lang w:val="en-US"/>
        </w:rPr>
        <w:t>.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Chú ý: các câu cảm than không  là mệnh đề. 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Ký hiệu: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chỉ</m:t>
          </m:r>
          <m:r>
            <w:rPr>
              <w:rFonts w:ascii="Cambria Math" w:hAnsi="Cambria Math"/>
            </w:rPr>
            <m:t xml:space="preserve">mệnh</m:t>
          </m:r>
          <m:r>
            <w:rPr>
              <w:rFonts w:ascii="Cambria Math" w:hAnsi="Cambria Math"/>
            </w:rPr>
            <m:t xml:space="preserve">đề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Giá trị: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Đúng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và</m:t>
        </m:r>
        <m:r>
          <w:rPr>
            <w:rFonts w:ascii="Cambria Math" w:hAnsi="Cambria Math"/>
          </w:rPr>
          <m:t xml:space="preserve">Sai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hoặc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Phân loại: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Mệnh đề sơ cấp: chỉ chứa một khẳng định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Mệnh đề phức hợp: được tạo thành từ những mệnh đề sơ cấp liên kết với nhâu thông qua các liên từ: “và” , “hoặc”, “nếu…. thì…”, “ khi và chi khi”, “không”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Ví dụ: </w:t>
      </w:r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3 là số nguyên tố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mđ</m:t>
        </m:r>
        <m:r>
          <w:rPr>
            <w:rFonts w:ascii="Cambria Math" w:hAnsi="Cambria Math"/>
          </w:rPr>
          <m:t xml:space="preserve">sơ</m:t>
        </m:r>
        <m:r>
          <w:rPr>
            <w:rFonts w:ascii="Cambria Math" w:hAnsi="Cambria Math"/>
          </w:rPr>
          <m:t xml:space="preserve">cấp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Đ</m:t>
        </m:r>
      </m:oMath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fr-FR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9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</w:t>
      </w:r>
      <w:r>
        <w:rPr>
          <w:rFonts w:eastAsia="" w:eastAsiaTheme="minorEastAsia"/>
          <w:color w:val="EE0000"/>
          <w:sz w:val="30"/>
          <w:szCs w:val="30"/>
          <w:lang w:val="fr-FR"/>
        </w:rPr>
        <w:t xml:space="preserve">không </w:t>
      </w:r>
      <w:r>
        <w:rPr>
          <w:rFonts w:eastAsia="" w:eastAsiaTheme="minorEastAsia"/>
          <w:sz w:val="30"/>
          <w:szCs w:val="30"/>
          <w:lang w:val="fr-FR"/>
        </w:rPr>
        <w:t xml:space="preserve">là số chính phương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mđ phức hợp : Đ</w:t>
      </w:r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fr-FR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</w:t>
      </w:r>
      <w:r>
        <w:rPr>
          <w:rFonts w:eastAsia="" w:eastAsiaTheme="minorEastAsia"/>
          <w:color w:val="EE0000"/>
          <w:sz w:val="30"/>
          <w:szCs w:val="30"/>
          <w:lang w:val="fr-FR"/>
        </w:rPr>
        <w:t xml:space="preserve">và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mđ</m:t>
        </m:r>
        <m:r>
          <w:rPr>
            <w:rFonts w:ascii="Cambria Math" w:hAnsi="Cambria Math"/>
          </w:rPr>
          <m:t xml:space="preserve">phức</m:t>
        </m:r>
        <m:r>
          <w:rPr>
            <w:rFonts w:ascii="Cambria Math" w:hAnsi="Cambria Math"/>
          </w:rPr>
          <m:t xml:space="preserve">hợp</m:t>
        </m:r>
      </m:oMath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fr-FR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</w:t>
      </w:r>
      <w:r>
        <w:rPr>
          <w:rFonts w:eastAsia="" w:eastAsiaTheme="minorEastAsia"/>
          <w:color w:val="EE0000"/>
          <w:sz w:val="30"/>
          <w:szCs w:val="30"/>
          <w:lang w:val="fr-FR"/>
        </w:rPr>
        <w:t xml:space="preserve">hoặc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mđ phức hợp</w:t>
      </w:r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color w:val="EE0000"/>
          <w:sz w:val="30"/>
          <w:szCs w:val="30"/>
          <w:lang w:val="fr-FR"/>
        </w:rPr>
        <w:t xml:space="preserve">Nếu </w:t>
      </w:r>
      <w:r>
        <w:rPr>
          <w:rFonts w:eastAsia="" w:eastAsiaTheme="minorEastAsia"/>
          <w:sz w:val="30"/>
          <w:szCs w:val="30"/>
          <w:lang w:val="fr-FR"/>
        </w:rPr>
        <w:t xml:space="preserve">mặt trời mọc hướng tây </w:t>
      </w:r>
      <w:r>
        <w:rPr>
          <w:rFonts w:eastAsia="" w:eastAsiaTheme="minorEastAsia"/>
          <w:color w:val="EE0000"/>
          <w:sz w:val="30"/>
          <w:szCs w:val="30"/>
          <w:lang w:val="fr-FR"/>
        </w:rPr>
        <w:t xml:space="preserve">thì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mđ</m:t>
        </m:r>
        <m:r>
          <w:rPr>
            <w:rFonts w:ascii="Cambria Math" w:hAnsi="Cambria Math"/>
          </w:rPr>
          <m:t xml:space="preserve">phức</m:t>
        </m:r>
        <m:r>
          <w:rPr>
            <w:rFonts w:ascii="Cambria Math" w:hAnsi="Cambria Math"/>
          </w:rPr>
          <m:t xml:space="preserve">hợp</m:t>
        </m:r>
        <m:r>
          <w:rPr>
            <w:rFonts w:ascii="Cambria Math" w:hAnsi="Cambria Math"/>
          </w:rPr>
          <m:t xml:space="preserve">Đ</m:t>
        </m:r>
      </m:oMath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Mr Hợi vừa dạy học và ăn cơm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MĐ</m:t>
        </m:r>
        <m:r>
          <w:rPr>
            <w:rFonts w:ascii="Cambria Math" w:hAnsi="Cambria Math"/>
          </w:rPr>
          <m:t xml:space="preserve">phức</m:t>
        </m:r>
        <m:r>
          <w:rPr>
            <w:rFonts w:ascii="Cambria Math" w:hAnsi="Cambria Math"/>
          </w:rPr>
          <m:t xml:space="preserve">hợp</m:t>
        </m:r>
        <m:r>
          <w:rPr>
            <w:rFonts w:ascii="Cambria Math" w:hAnsi="Cambria Math"/>
          </w:rPr>
          <m:t xml:space="preserve">S</m:t>
        </m:r>
      </m:oMath>
      <w:r>
        <w:rPr>
          <w:rFonts w:eastAsia="" w:eastAsiaTheme="minorEastAsia"/>
          <w:sz w:val="30"/>
          <w:szCs w:val="30"/>
          <w:lang w:val="fr-FR"/>
        </w:rPr>
        <w:t>.</w:t>
      </w:r>
    </w:p>
    <w:p>
      <w:pPr>
        <w:pStyle w:val="Normal"/>
        <w:rPr>
          <w:rFonts w:eastAsia="" w:eastAsiaTheme="minorEastAsia"/>
          <w:color w:val="EE0000"/>
          <w:sz w:val="30"/>
          <w:szCs w:val="30"/>
          <w:lang w:val="en-US"/>
        </w:rPr>
      </w:pPr>
      <w:r>
        <w:rPr>
          <w:rFonts w:eastAsia="" w:eastAsiaTheme="minorEastAsia"/>
          <w:color w:val="EE0000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ListParagraph"/>
        <w:numPr>
          <w:ilvl w:val="0"/>
          <w:numId w:val="4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Phép phủ định:-“không” : p phủ định của p là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p</m:t>
            </m:r>
          </m:e>
        </m:bar>
        <m:r>
          <w:rPr>
            <w:rFonts w:ascii="Cambria Math" w:hAnsi="Cambria Math"/>
          </w:rPr>
          <m:t xml:space="preserve">hoặc</m:t>
        </m:r>
        <m:r>
          <w:rPr>
            <w:rFonts w:ascii="Cambria Math" w:hAnsi="Cambria Math"/>
          </w:rPr>
          <m:t xml:space="preserve">¬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hoặc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Ví dụ: 2 là số nguyên tố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không</m:t>
        </m:r>
        <m:r>
          <w:rPr>
            <w:rFonts w:ascii="Cambria Math" w:hAnsi="Cambria Math"/>
          </w:rPr>
          <m:t xml:space="preserve">số</m:t>
        </m:r>
        <m:r>
          <w:rPr>
            <w:rFonts w:ascii="Cambria Math" w:hAnsi="Cambria Math"/>
          </w:rPr>
          <m:t xml:space="preserve">nguyên</m:t>
        </m:r>
        <m:r>
          <w:rPr>
            <w:rFonts w:ascii="Cambria Math" w:hAnsi="Cambria Math"/>
          </w:rPr>
          <m:t xml:space="preserve">tố</m:t>
        </m:r>
      </m:oMath>
    </w:p>
    <w:tbl>
      <w:tblPr>
        <w:tblStyle w:val="TableGrid"/>
        <w:tblW w:w="8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7"/>
        <w:gridCol w:w="460"/>
      </w:tblGrid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ListParagraph"/>
        <w:numPr>
          <w:ilvl w:val="0"/>
          <w:numId w:val="4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Phép hợp: “hoặc” “ hay”: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và q là 2 mệnh đề: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đọc là p hoặc q. Mđ khi và chỉ khi p hoặc q đúng (xảy ra)</w:t>
      </w:r>
    </w:p>
    <w:tbl>
      <w:tblPr>
        <w:tblStyle w:val="TableGrid"/>
        <w:tblW w:w="16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7"/>
        <w:gridCol w:w="387"/>
        <w:gridCol w:w="868"/>
      </w:tblGrid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ind w:left="360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hoặc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đ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là</m:t>
          </m:r>
          <m:r>
            <w:rPr>
              <w:rFonts w:ascii="Cambria Math" w:hAnsi="Cambria Math"/>
            </w:rPr>
            <m:t xml:space="preserve">nguyên</m:t>
          </m:r>
          <m:r>
            <w:rPr>
              <w:rFonts w:ascii="Cambria Math" w:hAnsi="Cambria Math"/>
            </w:rPr>
            <m:t xml:space="preserve">tố</m:t>
          </m:r>
          <m:r>
            <w:rPr>
              <w:rFonts w:ascii="Cambria Math" w:hAnsi="Cambria Math"/>
            </w:rPr>
            <m:t xml:space="preserve">hoặc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số</m:t>
          </m:r>
          <m:r>
            <w:rPr>
              <w:rFonts w:ascii="Cambria Math" w:hAnsi="Cambria Math"/>
            </w:rPr>
            <m:t xml:space="preserve">chẳn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đ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hoặc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ListParagraph"/>
        <w:numPr>
          <w:ilvl w:val="0"/>
          <w:numId w:val="4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Phép giao: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∧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=”và”: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đọc p và q. mđ đúng khi và chỉ khi p và q đúng (xảy ra)</w:t>
      </w:r>
    </w:p>
    <w:tbl>
      <w:tblPr>
        <w:tblStyle w:val="TableGrid"/>
        <w:tblW w:w="16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7"/>
        <w:gridCol w:w="387"/>
        <w:gridCol w:w="868"/>
      </w:tblGrid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86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ListParagraph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ListParagraph"/>
        <w:numPr>
          <w:ilvl w:val="0"/>
          <w:numId w:val="4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Phép kéo theo: “ nếu …. Thì ….” 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đọc p suy ra q. Mđ chỉ sai khi p đúng mà q sai.</w:t>
      </w:r>
    </w:p>
    <w:tbl>
      <w:tblPr>
        <w:tblStyle w:val="TableGrid"/>
        <w:tblW w:w="17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6"/>
        <w:gridCol w:w="388"/>
        <w:gridCol w:w="976"/>
      </w:tblGrid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7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7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7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ListParagraph"/>
        <w:numPr>
          <w:ilvl w:val="0"/>
          <w:numId w:val="4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Phép tương đương: “khi và chỉ khi”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↔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p tương q. Mđ đúng khi và chỉ khi p và q cùng chân trị.</w:t>
      </w:r>
    </w:p>
    <w:tbl>
      <w:tblPr>
        <w:tblStyle w:val="TableGrid"/>
        <w:tblW w:w="17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6"/>
        <w:gridCol w:w="388"/>
        <w:gridCol w:w="1001"/>
      </w:tblGrid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10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↔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001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001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0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001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ind w:left="36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Normal"/>
        <w:ind w:left="36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Biểu thức mệnh đề: hàm mệnh đề</w:t>
      </w:r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..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hàm</m:t>
          </m:r>
          <m:r>
            <w:rPr>
              <w:rFonts w:ascii="Cambria Math" w:hAnsi="Cambria Math"/>
            </w:rPr>
            <m:t xml:space="preserve">số</m:t>
          </m:r>
          <m:r>
            <w:rPr>
              <w:rFonts w:ascii="Cambria Math" w:hAnsi="Cambria Math"/>
            </w:rPr>
            <m:t xml:space="preserve">theo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dưới</m:t>
          </m:r>
          <m:r>
            <w:rPr>
              <w:rFonts w:ascii="Cambria Math" w:hAnsi="Cambria Math"/>
            </w:rPr>
            <m:t xml:space="preserve">các</m:t>
          </m:r>
          <m:r>
            <w:rPr>
              <w:rFonts w:ascii="Cambria Math" w:hAnsi="Cambria Math"/>
            </w:rPr>
            <m:t xml:space="preserve">phép</m:t>
          </m:r>
          <m:r>
            <w:rPr>
              <w:rFonts w:ascii="Cambria Math" w:hAnsi="Cambria Math"/>
            </w:rPr>
            <m:t xml:space="preserve">toán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¬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Ví dụ: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¬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¬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)</m:t>
          </m:r>
        </m:oMath>
      </m:oMathPara>
    </w:p>
    <w:tbl>
      <w:tblPr>
        <w:tblStyle w:val="TableGrid"/>
        <w:tblW w:w="329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6"/>
        <w:gridCol w:w="462"/>
        <w:gridCol w:w="387"/>
        <w:gridCol w:w="942"/>
        <w:gridCol w:w="1119"/>
      </w:tblGrid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9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1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E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</m:d>
              </m:oMath>
            </m:oMathPara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jc w:val="center"/>
        <w:rPr>
          <w:rFonts w:eastAsia="" w:eastAsiaTheme="minorEastAsia"/>
          <w:sz w:val="32"/>
          <w:szCs w:val="32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BT: 5‘</w:t>
      </w:r>
      <w:r>
        <w:rPr>
          <w:rFonts w:eastAsia="" w:ascii="Cambria Math" w:hAnsi="Cambria Math" w:eastAsiaTheme="minorEastAsia"/>
          <w:i/>
          <w:sz w:val="32"/>
          <w:szCs w:val="32"/>
          <w:lang w:val="de-DE"/>
        </w:rPr>
        <w:br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q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r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∧</m:t>
            </m:r>
            <m:r>
              <w:rPr>
                <w:rFonts w:ascii="Cambria Math" w:hAnsi="Cambria Math"/>
              </w:rPr>
              <m:t xml:space="preserve">q</m:t>
            </m:r>
          </m:e>
        </m:d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¬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q</m:t>
            </m:r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r</m:t>
            </m:r>
          </m:e>
        </m:d>
      </m:oMath>
    </w:p>
    <w:tbl>
      <w:tblPr>
        <w:tblStyle w:val="TableGrid"/>
        <w:tblW w:w="577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7"/>
        <w:gridCol w:w="386"/>
        <w:gridCol w:w="367"/>
        <w:gridCol w:w="912"/>
        <w:gridCol w:w="881"/>
        <w:gridCol w:w="1393"/>
        <w:gridCol w:w="1452"/>
      </w:tblGrid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¬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  <m:r>
                      <w:rPr>
                        <w:rFonts w:ascii="Cambria Math" w:hAnsi="Cambria Math"/>
                      </w:rPr>
                      <m:t xml:space="preserve">∨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</m:d>
              </m:oMath>
            </m:oMathPara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2"/>
                <w:szCs w:val="32"/>
                <w:lang w:val="de-D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q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</m:d>
              </m:oMath>
            </m:oMathPara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67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8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14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</m:oMath>
      <w:r>
        <w:rPr>
          <w:rFonts w:eastAsia="" w:eastAsiaTheme="minorEastAsia"/>
          <w:sz w:val="34"/>
          <w:szCs w:val="34"/>
        </w:rPr>
        <w:t>(</w:t>
      </w:r>
      <w:r>
        <w:rPr>
          <w:rFonts w:eastAsia="Symbol" w:cs="Symbol" w:ascii="Symbol" w:hAnsi="Symbol"/>
          <w:sz w:val="34"/>
          <w:szCs w:val="34"/>
        </w:rPr>
        <w:sym w:font="Symbol" w:char="f0d8"/>
      </w:r>
      <w:r>
        <w:rPr>
          <w:rFonts w:eastAsia="" w:eastAsiaTheme="minorEastAsia"/>
          <w:sz w:val="34"/>
          <w:szCs w:val="34"/>
        </w:rPr>
        <w:t xml:space="preserve">p → r) </w:t>
      </w:r>
      <w:r>
        <w:rPr>
          <w:rFonts w:eastAsia="Symbol" w:cs="Symbol" w:ascii="Symbol" w:hAnsi="Symbol"/>
          <w:sz w:val="34"/>
          <w:szCs w:val="34"/>
        </w:rPr>
        <w:sym w:font="Symbol" w:char="f0d9"/>
      </w:r>
      <w:r>
        <w:rPr>
          <w:rFonts w:eastAsia="" w:eastAsiaTheme="minorEastAsia"/>
          <w:sz w:val="34"/>
          <w:szCs w:val="34"/>
        </w:rPr>
        <w:t xml:space="preserve"> (q → r) </w:t>
      </w:r>
      <w:r>
        <w:rPr>
          <w:rFonts w:eastAsia="" w:eastAsiaTheme="minorEastAsia"/>
          <w:sz w:val="34"/>
          <w:szCs w:val="34"/>
          <w:lang w:val="en-US"/>
        </w:rPr>
        <w:t xml:space="preserve"> và   F=</w:t>
      </w:r>
      <w:r>
        <w:rPr>
          <w:rFonts w:eastAsia="" w:eastAsiaTheme="minorEastAsia"/>
          <w:sz w:val="34"/>
          <w:szCs w:val="34"/>
        </w:rPr>
        <w:t xml:space="preserve">(p → q) → </w:t>
      </w:r>
      <w:r>
        <w:rPr>
          <w:rFonts w:eastAsia="" w:eastAsiaTheme="minorEastAsia"/>
          <w:sz w:val="30"/>
          <w:szCs w:val="30"/>
        </w:rPr>
        <w:t>r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/>
        <w:drawing>
          <wp:inline distT="0" distB="0" distL="0" distR="0">
            <wp:extent cx="6645275" cy="2043430"/>
            <wp:effectExtent l="0" t="0" r="0" b="0"/>
            <wp:docPr id="1" name="Picture 6" descr="A grid of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A grid of numbers and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47786" r="0" b="3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04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Hai biểu thức mệnh đề tương đương khi chúng có cùng chân trị.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Các quy luật logic: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+ Phủ định của phủ định: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≡</m:t>
        </m:r>
        <m:r>
          <w:rPr>
            <w:rFonts w:ascii="Cambria Math" w:hAnsi="Cambria Math"/>
          </w:rPr>
          <m:t xml:space="preserve">p</m:t>
        </m:r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+ Quy tắc De Morgan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∨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∧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∨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+ Luật giao hoán: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≡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p</m:t>
              </m:r>
            </m:e>
          </m:d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≡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∧</m:t>
              </m:r>
              <m:r>
                <w:rPr>
                  <w:rFonts w:ascii="Cambria Math" w:hAnsi="Cambria Math"/>
                </w:rPr>
                <m:t xml:space="preserve">p</m:t>
              </m:r>
            </m:e>
          </m:d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+ Luật kết hợp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≡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∨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≡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+ Luật phân phối: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∨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∧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≡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≡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+ Luật kéo theo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'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Ví dụ: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≡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'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phủ</m:t>
          </m:r>
          <m:r>
            <w:rPr>
              <w:rFonts w:ascii="Cambria Math" w:hAnsi="Cambria Math"/>
            </w:rPr>
            <m:t xml:space="preserve">định</m:t>
          </m:r>
          <m:r>
            <w:rPr>
              <w:rFonts w:ascii="Cambria Math" w:hAnsi="Cambria Math"/>
            </w:rPr>
            <m:t xml:space="preserve">của</m:t>
          </m:r>
          <m:r>
            <w:rPr>
              <w:rFonts w:ascii="Cambria Math" w:hAnsi="Cambria Math"/>
            </w:rPr>
            <m:t xml:space="preserve">phủ</m:t>
          </m:r>
          <m:r>
            <w:rPr>
              <w:rFonts w:ascii="Cambria Math" w:hAnsi="Cambria Math"/>
            </w:rPr>
            <m:t xml:space="preserve">định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phân</m:t>
          </m:r>
          <m:r>
            <w:rPr>
              <w:rFonts w:ascii="Cambria Math" w:hAnsi="Cambria Math"/>
            </w:rPr>
            <m:t xml:space="preserve">phối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'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∨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De</m:t>
          </m:r>
          <m:r>
            <w:rPr>
              <w:rFonts w:ascii="Cambria Math" w:hAnsi="Cambria Math"/>
            </w:rPr>
            <m:t xml:space="preserve">Morgan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/>
          </m:sSup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ListParagraph"/>
        <w:numPr>
          <w:ilvl w:val="0"/>
          <w:numId w:val="5"/>
        </w:numPr>
        <w:jc w:val="left"/>
        <w:rPr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(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∨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  <m:r>
                    <w:rPr>
                      <w:rFonts w:ascii="Cambria Math" w:hAnsi="Cambria Math"/>
                    </w:rPr>
                    <m:t xml:space="preserve">∨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</m:e>
            <m:sup/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∨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giao</m:t>
          </m:r>
          <m:r>
            <w:rPr>
              <w:rFonts w:ascii="Cambria Math" w:hAnsi="Cambria Math"/>
            </w:rPr>
            <m:t xml:space="preserve">hoán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'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</m:oMath>
      </m:oMathPara>
    </w:p>
    <w:p>
      <w:pPr>
        <w:pStyle w:val="Normal"/>
        <w:ind w:left="360"/>
        <w:rPr>
          <w:rFonts w:eastAsia="" w:eastAsiaTheme="minorEastAsia"/>
          <w:iCs/>
          <w:color w:val="C00000"/>
          <w:sz w:val="30"/>
          <w:szCs w:val="30"/>
          <w:lang w:val="en-US"/>
        </w:rPr>
      </w:pPr>
      <w:r>
        <w:rPr>
          <w:rFonts w:eastAsia="" w:eastAsiaTheme="minorEastAsia"/>
          <w:iCs/>
          <w:color w:val="C00000"/>
          <w:sz w:val="30"/>
          <w:szCs w:val="30"/>
          <w:lang w:val="en-US"/>
        </w:rPr>
      </w:r>
    </w:p>
    <w:p>
      <w:pPr>
        <w:pStyle w:val="ListParagraph"/>
        <w:numPr>
          <w:ilvl w:val="0"/>
          <w:numId w:val="5"/>
        </w:numPr>
        <w:jc w:val="left"/>
        <w:rPr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  <m:r>
                        <w:rPr>
                          <w:rFonts w:ascii="Cambria Math" w:hAnsi="Cambria Math"/>
                        </w:rPr>
                        <m:t xml:space="preserve">∧</m:t>
                      </m:r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∨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≡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'</m:t>
          </m:r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  <m:r>
                        <w:rPr>
                          <w:rFonts w:ascii="Cambria Math" w:hAnsi="Cambria Math"/>
                        </w:rPr>
                        <m:t xml:space="preserve">∧</m:t>
                      </m:r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∨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∧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De</m:t>
          </m:r>
          <m:r>
            <w:rPr>
              <w:rFonts w:ascii="Cambria Math" w:hAnsi="Cambria Math"/>
            </w:rPr>
            <m:t xml:space="preserve">Morgan</m:t>
          </m:r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(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∨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∧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De</m:t>
          </m:r>
          <m:r>
            <w:rPr>
              <w:rFonts w:ascii="Cambria Math" w:hAnsi="Cambria Math"/>
            </w:rPr>
            <m:t xml:space="preserve">Morgan</m:t>
          </m:r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∧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Luật</m:t>
          </m:r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</m:oMath>
      </m:oMathPara>
    </w:p>
    <w:p>
      <w:pPr>
        <w:pStyle w:val="Normal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  <w:drawing>
          <wp:inline distT="0" distB="0" distL="0" distR="0">
            <wp:extent cx="2743835" cy="771525"/>
            <wp:effectExtent l="0" t="0" r="0" b="0"/>
            <wp:docPr id="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∧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∨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∨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∨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kéo</m:t>
          </m:r>
          <m:r>
            <w:rPr>
              <w:rFonts w:ascii="Cambria Math" w:hAnsi="Cambria Math"/>
            </w:rPr>
            <m:t xml:space="preserve">theo</m:t>
          </m:r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∨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∧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de</m:t>
          </m:r>
          <m:r>
            <w:rPr>
              <w:rFonts w:ascii="Cambria Math" w:hAnsi="Cambria Math"/>
            </w:rPr>
            <m:t xml:space="preserve">morgan</m:t>
          </m:r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hAnsi="Cambria Math"/>
                </w:rPr>
                <m:t xml:space="preserve">∨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phân</m:t>
          </m:r>
          <m:r>
            <w:rPr>
              <w:rFonts w:ascii="Cambria Math" w:hAnsi="Cambria Math"/>
            </w:rPr>
            <m:t xml:space="preserve">phối</m:t>
          </m:r>
        </m:oMath>
      </m:oMathPara>
    </w:p>
    <w:p>
      <w:pPr>
        <w:pStyle w:val="Normal"/>
        <w:jc w:val="center"/>
        <w:rPr>
          <w:rFonts w:eastAsia="" w:eastAsiaTheme="minorEastAsia"/>
          <w:i/>
          <w:i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∧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de</m:t>
          </m:r>
          <m:r>
            <w:rPr>
              <w:rFonts w:ascii="Cambria Math" w:hAnsi="Cambria Math"/>
            </w:rPr>
            <m:t xml:space="preserve">morgan</m:t>
          </m:r>
        </m:oMath>
      </m:oMathPara>
    </w:p>
    <w:p>
      <w:pPr>
        <w:pStyle w:val="Normal"/>
        <w:rPr>
          <w:rFonts w:eastAsia="" w:eastAsiaTheme="minorEastAsia"/>
          <w:i/>
          <w:i/>
          <w:sz w:val="30"/>
          <w:szCs w:val="30"/>
          <w:lang w:val="en-US"/>
        </w:rPr>
      </w:pPr>
      <w:r>
        <w:rPr>
          <w:rFonts w:eastAsia="" w:eastAsiaTheme="minorEastAsia"/>
          <w:i/>
          <w:sz w:val="30"/>
          <w:szCs w:val="30"/>
          <w:lang w:val="en-US"/>
        </w:rPr>
        <w:t xml:space="preserve">BTVN: </w:t>
      </w:r>
      <w:r>
        <w:rPr/>
        <w:drawing>
          <wp:inline distT="0" distB="0" distL="0" distR="0">
            <wp:extent cx="3772535" cy="704850"/>
            <wp:effectExtent l="0" t="0" r="0" b="0"/>
            <wp:docPr id="3" name="Image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rFonts w:eastAsia="" w:eastAsiaTheme="minorEastAsia"/>
          <w:iCs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fr-FR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 Display"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1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Times New Roman" w:eastAsiaTheme="minorHAnsi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a4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4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4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4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4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4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4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4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4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56a4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56a4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vi-VN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accent1" w:themeShade="bf" w:val="0F4761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text1" w:themeTint="a6" w:val="595959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text1" w:themeTint="d8" w:val="272727"/>
      <w:lang w:val="vi-VN"/>
    </w:rPr>
  </w:style>
  <w:style w:type="character" w:styleId="TitleChar" w:customStyle="1">
    <w:name w:val="Title Char"/>
    <w:basedOn w:val="DefaultParagraphFont"/>
    <w:link w:val="Title"/>
    <w:uiPriority w:val="10"/>
    <w:qFormat/>
    <w:rsid w:val="00556a4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vi-VN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56a42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  <w:lang w:val="vi-VN"/>
    </w:rPr>
  </w:style>
  <w:style w:type="character" w:styleId="QuoteChar" w:customStyle="1">
    <w:name w:val="Quote Char"/>
    <w:basedOn w:val="DefaultParagraphFont"/>
    <w:link w:val="Quote"/>
    <w:uiPriority w:val="29"/>
    <w:qFormat/>
    <w:rsid w:val="00556a42"/>
    <w:rPr>
      <w:i/>
      <w:iCs/>
      <w:color w:themeColor="text1" w:themeTint="bf" w:val="404040"/>
      <w:lang w:val="vi-VN"/>
    </w:rPr>
  </w:style>
  <w:style w:type="character" w:styleId="IntenseEmphasis">
    <w:name w:val="Intense Emphasis"/>
    <w:basedOn w:val="DefaultParagraphFont"/>
    <w:uiPriority w:val="21"/>
    <w:qFormat/>
    <w:rsid w:val="00556a4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56a42"/>
    <w:rPr>
      <w:i/>
      <w:iCs/>
      <w:color w:themeColor="accent1" w:themeShade="bf" w:val="0F4761"/>
      <w:lang w:val="vi-VN"/>
    </w:rPr>
  </w:style>
  <w:style w:type="character" w:styleId="IntenseReference">
    <w:name w:val="Intense Reference"/>
    <w:basedOn w:val="DefaultParagraphFont"/>
    <w:uiPriority w:val="32"/>
    <w:qFormat/>
    <w:rsid w:val="00556a4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556a4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6a42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44175a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56a4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4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4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56a4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cf234c"/>
    <w:pPr/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07d2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oinv@uit.uit.edu.v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Application>LibreOffice/25.2.6.2$Windows_X86_64 LibreOffice_project/729c5bfe710f5eb71ed3bbde9e06a6065e9c6c5d</Application>
  <AppVersion>15.0000</AppVersion>
  <Pages>5</Pages>
  <Words>512</Words>
  <Characters>1363</Characters>
  <CharactersWithSpaces>1715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2025-10-21T11:18:00Z</dcterms:created>
  <dc:creator>Nguyen Van Hoi</dc:creator>
  <dc:description/>
  <dc:language>en-US</dc:language>
  <cp:lastModifiedBy/>
  <dcterms:modified xsi:type="dcterms:W3CDTF">2025-11-25T19:46:22Z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