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4660" w:rsidRDefault="00A20B7B">
      <w:pPr>
        <w:jc w:val="center"/>
        <w:rPr>
          <w:b/>
        </w:rPr>
      </w:pPr>
      <w:r>
        <w:rPr>
          <w:b/>
        </w:rPr>
        <w:t>Malaria Parasite Detection using Blood smear images</w:t>
      </w:r>
    </w:p>
    <w:p w:rsidR="009F4660" w:rsidRDefault="009F4660">
      <w:pPr>
        <w:jc w:val="both"/>
        <w:rPr>
          <w:u w:val="single"/>
        </w:rPr>
      </w:pPr>
    </w:p>
    <w:p w:rsidR="009F4660" w:rsidRDefault="009F4660">
      <w:pPr>
        <w:jc w:val="both"/>
        <w:rPr>
          <w:b/>
          <w:u w:val="single"/>
        </w:rPr>
        <w:sectPr w:rsidR="009F4660">
          <w:pgSz w:w="12240" w:h="15840"/>
          <w:pgMar w:top="1440" w:right="1440" w:bottom="1440" w:left="1440" w:header="720" w:footer="720" w:gutter="0"/>
          <w:pgNumType w:start="1"/>
          <w:cols w:space="720"/>
        </w:sectPr>
      </w:pPr>
    </w:p>
    <w:p w:rsidR="009F4660" w:rsidRDefault="00A20B7B">
      <w:pPr>
        <w:jc w:val="both"/>
        <w:rPr>
          <w:b/>
          <w:sz w:val="20"/>
          <w:szCs w:val="20"/>
        </w:rPr>
      </w:pPr>
      <w:r>
        <w:rPr>
          <w:b/>
          <w:sz w:val="20"/>
          <w:szCs w:val="20"/>
        </w:rPr>
        <w:t xml:space="preserve">Yusuf </w:t>
      </w:r>
      <w:proofErr w:type="spellStart"/>
      <w:r>
        <w:rPr>
          <w:b/>
          <w:sz w:val="20"/>
          <w:szCs w:val="20"/>
        </w:rPr>
        <w:t>Feroze</w:t>
      </w:r>
      <w:proofErr w:type="spellEnd"/>
    </w:p>
    <w:p w:rsidR="009F4660" w:rsidRDefault="00A20B7B">
      <w:pPr>
        <w:jc w:val="both"/>
        <w:rPr>
          <w:b/>
          <w:sz w:val="20"/>
          <w:szCs w:val="20"/>
        </w:rPr>
      </w:pPr>
      <w:r>
        <w:rPr>
          <w:b/>
          <w:sz w:val="20"/>
          <w:szCs w:val="20"/>
        </w:rPr>
        <w:t>Northeastern University</w:t>
      </w:r>
    </w:p>
    <w:p w:rsidR="009F4660" w:rsidRDefault="00A20B7B">
      <w:pPr>
        <w:jc w:val="both"/>
        <w:rPr>
          <w:sz w:val="20"/>
          <w:szCs w:val="20"/>
        </w:rPr>
      </w:pPr>
      <w:r>
        <w:rPr>
          <w:sz w:val="20"/>
          <w:szCs w:val="20"/>
        </w:rPr>
        <w:t>akhtar.y@husky.neu.edu</w:t>
      </w:r>
    </w:p>
    <w:p w:rsidR="009F4660" w:rsidRDefault="00A20B7B">
      <w:pPr>
        <w:jc w:val="both"/>
        <w:rPr>
          <w:b/>
          <w:sz w:val="20"/>
          <w:szCs w:val="20"/>
        </w:rPr>
      </w:pPr>
      <w:r>
        <w:rPr>
          <w:b/>
          <w:sz w:val="20"/>
          <w:szCs w:val="20"/>
        </w:rPr>
        <w:t>Nayan Patel</w:t>
      </w:r>
    </w:p>
    <w:p w:rsidR="009F4660" w:rsidRDefault="00A20B7B">
      <w:pPr>
        <w:jc w:val="both"/>
        <w:rPr>
          <w:b/>
          <w:sz w:val="20"/>
          <w:szCs w:val="20"/>
        </w:rPr>
      </w:pPr>
      <w:r>
        <w:rPr>
          <w:b/>
          <w:sz w:val="20"/>
          <w:szCs w:val="20"/>
        </w:rPr>
        <w:t>Northeastern University</w:t>
      </w:r>
    </w:p>
    <w:p w:rsidR="009F4660" w:rsidRDefault="00A20B7B">
      <w:pPr>
        <w:jc w:val="both"/>
        <w:rPr>
          <w:sz w:val="20"/>
          <w:szCs w:val="20"/>
        </w:rPr>
      </w:pPr>
      <w:r>
        <w:rPr>
          <w:sz w:val="20"/>
          <w:szCs w:val="20"/>
        </w:rPr>
        <w:t>patel.nay@husky.neu.edu</w:t>
      </w:r>
    </w:p>
    <w:p w:rsidR="009F4660" w:rsidRDefault="00A20B7B">
      <w:pPr>
        <w:jc w:val="both"/>
        <w:rPr>
          <w:b/>
          <w:sz w:val="20"/>
          <w:szCs w:val="20"/>
        </w:rPr>
      </w:pPr>
      <w:proofErr w:type="spellStart"/>
      <w:r>
        <w:rPr>
          <w:b/>
          <w:sz w:val="20"/>
          <w:szCs w:val="20"/>
        </w:rPr>
        <w:t>Nikilesh</w:t>
      </w:r>
      <w:proofErr w:type="spellEnd"/>
      <w:r>
        <w:rPr>
          <w:b/>
          <w:sz w:val="20"/>
          <w:szCs w:val="20"/>
        </w:rPr>
        <w:t xml:space="preserve"> Kumar</w:t>
      </w:r>
    </w:p>
    <w:p w:rsidR="009F4660" w:rsidRDefault="00A20B7B">
      <w:pPr>
        <w:jc w:val="both"/>
        <w:rPr>
          <w:b/>
          <w:sz w:val="20"/>
          <w:szCs w:val="20"/>
        </w:rPr>
      </w:pPr>
      <w:r>
        <w:rPr>
          <w:b/>
          <w:sz w:val="20"/>
          <w:szCs w:val="20"/>
        </w:rPr>
        <w:t>Northeastern University</w:t>
      </w:r>
    </w:p>
    <w:p w:rsidR="009F4660" w:rsidRDefault="00A20B7B">
      <w:pPr>
        <w:jc w:val="both"/>
        <w:rPr>
          <w:sz w:val="20"/>
          <w:szCs w:val="20"/>
        </w:rPr>
        <w:sectPr w:rsidR="009F4660">
          <w:type w:val="continuous"/>
          <w:pgSz w:w="12240" w:h="15840"/>
          <w:pgMar w:top="1440" w:right="1440" w:bottom="1440" w:left="1440" w:header="720" w:footer="720" w:gutter="0"/>
          <w:cols w:num="3" w:space="720" w:equalWidth="0">
            <w:col w:w="2640" w:space="720"/>
            <w:col w:w="2640" w:space="720"/>
            <w:col w:w="2640" w:space="0"/>
          </w:cols>
        </w:sectPr>
      </w:pPr>
      <w:r>
        <w:rPr>
          <w:sz w:val="20"/>
          <w:szCs w:val="20"/>
        </w:rPr>
        <w:t>kumar.ni@husky.neu.edu</w:t>
      </w:r>
    </w:p>
    <w:p w:rsidR="009F4660" w:rsidRDefault="009F4660">
      <w:pPr>
        <w:jc w:val="both"/>
        <w:rPr>
          <w:i/>
        </w:rPr>
      </w:pPr>
    </w:p>
    <w:p w:rsidR="009F4660" w:rsidRDefault="00A20B7B">
      <w:pPr>
        <w:jc w:val="both"/>
        <w:rPr>
          <w:i/>
        </w:rPr>
      </w:pPr>
      <w:r>
        <w:rPr>
          <w:i/>
        </w:rPr>
        <w:t xml:space="preserve">Project undertaken as part of the course completion requirements for </w:t>
      </w:r>
      <w:r>
        <w:rPr>
          <w:u w:val="single"/>
        </w:rPr>
        <w:t>Neural Networks and Deep Learning (</w:t>
      </w:r>
      <w:r>
        <w:rPr>
          <w:color w:val="222222"/>
          <w:highlight w:val="white"/>
          <w:u w:val="single"/>
        </w:rPr>
        <w:t>IE7615</w:t>
      </w:r>
      <w:r>
        <w:rPr>
          <w:u w:val="single"/>
        </w:rPr>
        <w:t>)</w:t>
      </w:r>
      <w:r>
        <w:rPr>
          <w:i/>
        </w:rPr>
        <w:t xml:space="preserve"> by Prof. Jerome Braun, Northeastern University</w:t>
      </w:r>
    </w:p>
    <w:p w:rsidR="009F4660" w:rsidRDefault="009F4660">
      <w:pPr>
        <w:jc w:val="both"/>
        <w:rPr>
          <w:i/>
        </w:rPr>
      </w:pPr>
    </w:p>
    <w:p w:rsidR="009F4660" w:rsidRDefault="00A20B7B">
      <w:pPr>
        <w:jc w:val="both"/>
        <w:rPr>
          <w:b/>
        </w:rPr>
      </w:pPr>
      <w:r>
        <w:rPr>
          <w:b/>
        </w:rPr>
        <w:t>ABSTRACT</w:t>
      </w:r>
    </w:p>
    <w:p w:rsidR="009F4660" w:rsidRDefault="00A20B7B">
      <w:pPr>
        <w:jc w:val="both"/>
        <w:rPr>
          <w:i/>
          <w:sz w:val="20"/>
          <w:szCs w:val="20"/>
        </w:rPr>
      </w:pPr>
      <w:r>
        <w:rPr>
          <w:i/>
          <w:sz w:val="20"/>
          <w:szCs w:val="20"/>
        </w:rPr>
        <w:t>In this report, we propose a method to classify human blood smear images infected with malaria parasite or uninfected using a deep learning architecture. This paper introduces a Convolutional Neural Network framework, comparing two different architectures and, performing hyperparameter tuning along with using data augmentation with the help of some of the image preprocessing functionalities of the “</w:t>
      </w:r>
      <w:proofErr w:type="spellStart"/>
      <w:r>
        <w:rPr>
          <w:i/>
          <w:sz w:val="20"/>
          <w:szCs w:val="20"/>
        </w:rPr>
        <w:t>Keras</w:t>
      </w:r>
      <w:proofErr w:type="spellEnd"/>
      <w:r>
        <w:rPr>
          <w:i/>
          <w:sz w:val="20"/>
          <w:szCs w:val="20"/>
        </w:rPr>
        <w:t>”</w:t>
      </w:r>
      <w:r w:rsidR="00617976">
        <w:rPr>
          <w:i/>
          <w:sz w:val="20"/>
          <w:szCs w:val="20"/>
        </w:rPr>
        <w:t>, “</w:t>
      </w:r>
      <w:proofErr w:type="spellStart"/>
      <w:r w:rsidR="00617976">
        <w:rPr>
          <w:i/>
          <w:sz w:val="20"/>
          <w:szCs w:val="20"/>
        </w:rPr>
        <w:t>opencv</w:t>
      </w:r>
      <w:proofErr w:type="spellEnd"/>
      <w:r w:rsidR="00617976">
        <w:rPr>
          <w:i/>
          <w:sz w:val="20"/>
          <w:szCs w:val="20"/>
        </w:rPr>
        <w:t xml:space="preserve">” </w:t>
      </w:r>
      <w:r>
        <w:rPr>
          <w:i/>
          <w:sz w:val="20"/>
          <w:szCs w:val="20"/>
        </w:rPr>
        <w:t>and “</w:t>
      </w:r>
      <w:proofErr w:type="spellStart"/>
      <w:r>
        <w:rPr>
          <w:i/>
          <w:sz w:val="20"/>
          <w:szCs w:val="20"/>
        </w:rPr>
        <w:t>Tensorflow</w:t>
      </w:r>
      <w:proofErr w:type="spellEnd"/>
      <w:r>
        <w:rPr>
          <w:i/>
          <w:sz w:val="20"/>
          <w:szCs w:val="20"/>
        </w:rPr>
        <w:t>” packages in python.</w:t>
      </w:r>
    </w:p>
    <w:p w:rsidR="009F4660" w:rsidRDefault="009F4660">
      <w:pPr>
        <w:jc w:val="both"/>
        <w:rPr>
          <w:i/>
        </w:rPr>
      </w:pPr>
    </w:p>
    <w:p w:rsidR="009F4660" w:rsidRDefault="00A20B7B">
      <w:pPr>
        <w:jc w:val="both"/>
        <w:sectPr w:rsidR="009F4660">
          <w:type w:val="continuous"/>
          <w:pgSz w:w="12240" w:h="15840"/>
          <w:pgMar w:top="1440" w:right="1440" w:bottom="1440" w:left="1440" w:header="720" w:footer="720" w:gutter="0"/>
          <w:cols w:space="720"/>
        </w:sectPr>
      </w:pPr>
      <w:r>
        <w:rPr>
          <w:b/>
        </w:rPr>
        <w:t>INTRODUCTION</w:t>
      </w:r>
    </w:p>
    <w:p w:rsidR="009F4660" w:rsidRDefault="00A20B7B">
      <w:pPr>
        <w:spacing w:after="160" w:line="240" w:lineRule="auto"/>
        <w:jc w:val="both"/>
        <w:rPr>
          <w:highlight w:val="white"/>
        </w:rPr>
      </w:pPr>
      <w:r>
        <w:rPr>
          <w:highlight w:val="white"/>
        </w:rPr>
        <w:t>Malaria is a serious problem in the developing world with over 216 Million reported cases just in 2016.</w:t>
      </w:r>
      <w:r>
        <w:rPr>
          <w:highlight w:val="white"/>
          <w:vertAlign w:val="superscript"/>
        </w:rPr>
        <w:t>[1]</w:t>
      </w:r>
      <w:r>
        <w:rPr>
          <w:highlight w:val="white"/>
        </w:rPr>
        <w:t xml:space="preserve"> This disease is spread by mosquitoes and is caused by single celled parasitic organisms called plasmodium. Till date, diagnosis of malaria is done by microscopic examination, which is held as the “gold standard” for laboratory confirmation of malaria. Blood specimen collected from the patient is spread on a thick or thin blood smear, stained and examined with a 100X oil immersion </w:t>
      </w:r>
      <w:proofErr w:type="gramStart"/>
      <w:r>
        <w:rPr>
          <w:highlight w:val="white"/>
        </w:rPr>
        <w:t>objective</w:t>
      </w:r>
      <w:r>
        <w:rPr>
          <w:highlight w:val="white"/>
          <w:vertAlign w:val="superscript"/>
        </w:rPr>
        <w:t>[</w:t>
      </w:r>
      <w:proofErr w:type="gramEnd"/>
      <w:r>
        <w:rPr>
          <w:highlight w:val="white"/>
          <w:vertAlign w:val="superscript"/>
        </w:rPr>
        <w:t>2]</w:t>
      </w:r>
      <w:r>
        <w:rPr>
          <w:highlight w:val="white"/>
        </w:rPr>
        <w:t xml:space="preserve">. Microscopy is an established and relatively simple technique that is familiar to most laboratory technicians. Any laboratory that can perform routine hematology tests </w:t>
      </w:r>
      <w:proofErr w:type="gramStart"/>
      <w:r>
        <w:rPr>
          <w:highlight w:val="white"/>
        </w:rPr>
        <w:t>is capable of performing</w:t>
      </w:r>
      <w:proofErr w:type="gramEnd"/>
      <w:r>
        <w:rPr>
          <w:highlight w:val="white"/>
        </w:rPr>
        <w:t xml:space="preserve"> analysis on a thin and thick malaria smear. Within a few hours of collecting the blood, the microscopy test can provide valuable information on the patient’s condition. The accuracy of the diagnosis of malaria using microscopy depends on the parasitologists’ skills. This procedure can be tedious and possibly erroneous, with some subjectivity leading to inconsistent or incorrect diagnosis which may cause incorrect or untimely treatment or even result in the death of the patient.</w:t>
      </w:r>
    </w:p>
    <w:p w:rsidR="009F4660" w:rsidRDefault="00A20B7B">
      <w:pPr>
        <w:spacing w:after="160" w:line="240" w:lineRule="auto"/>
        <w:jc w:val="both"/>
        <w:rPr>
          <w:highlight w:val="white"/>
        </w:rPr>
      </w:pPr>
      <w:r>
        <w:rPr>
          <w:highlight w:val="white"/>
        </w:rPr>
        <w:t xml:space="preserve">Due to the inconsistency of microscopy, this study is done, in similar fashion as pre-existing research, to potentially develop a </w:t>
      </w:r>
      <w:r>
        <w:rPr>
          <w:highlight w:val="white"/>
        </w:rPr>
        <w:t xml:space="preserve">malaria detection model that can improve upon or replicate the accuracy of the conventional gold standard of malaria detection, increase the pace of diagnosis and reduce the burden on parasitologists. This will result in improving detection in rural areas and places with a lack of highly skilled parasitologists improving the overall efficiency of the diagnosis process. </w:t>
      </w:r>
    </w:p>
    <w:p w:rsidR="009F4660" w:rsidRDefault="00A20B7B">
      <w:pPr>
        <w:spacing w:after="160" w:line="240" w:lineRule="auto"/>
        <w:jc w:val="both"/>
        <w:rPr>
          <w:b/>
          <w:highlight w:val="white"/>
        </w:rPr>
      </w:pPr>
      <w:r>
        <w:rPr>
          <w:b/>
          <w:highlight w:val="white"/>
        </w:rPr>
        <w:t>LITERATURE REVIEW</w:t>
      </w:r>
    </w:p>
    <w:p w:rsidR="009F4660" w:rsidRDefault="00A20B7B">
      <w:pPr>
        <w:spacing w:after="160" w:line="240" w:lineRule="auto"/>
        <w:jc w:val="both"/>
        <w:rPr>
          <w:highlight w:val="white"/>
        </w:rPr>
      </w:pPr>
      <w:r>
        <w:rPr>
          <w:highlight w:val="white"/>
        </w:rPr>
        <w:t xml:space="preserve">Owing to the abundance of malaria cases and diagnosis around the world, this disease has been well studied by researchers for a long time </w:t>
      </w:r>
      <w:proofErr w:type="gramStart"/>
      <w:r>
        <w:rPr>
          <w:highlight w:val="white"/>
        </w:rPr>
        <w:t>in an attempt to</w:t>
      </w:r>
      <w:proofErr w:type="gramEnd"/>
      <w:r>
        <w:rPr>
          <w:highlight w:val="white"/>
        </w:rPr>
        <w:t xml:space="preserve"> eradicate it and treat affected individuals promptly.</w:t>
      </w:r>
    </w:p>
    <w:p w:rsidR="009F4660" w:rsidRDefault="00A20B7B">
      <w:pPr>
        <w:spacing w:after="160" w:line="240" w:lineRule="auto"/>
        <w:jc w:val="both"/>
        <w:rPr>
          <w:highlight w:val="white"/>
        </w:rPr>
      </w:pPr>
      <w:r>
        <w:rPr>
          <w:highlight w:val="white"/>
        </w:rPr>
        <w:t>A study by Rosado et al. (2016) used a 194 cell images captured on mobile devices and a SVM based cl</w:t>
      </w:r>
      <w:bookmarkStart w:id="0" w:name="_GoBack"/>
      <w:bookmarkEnd w:id="0"/>
      <w:r>
        <w:rPr>
          <w:highlight w:val="white"/>
        </w:rPr>
        <w:t xml:space="preserve">assifier to achieve a 98.2% sensitivity and 72.1% </w:t>
      </w:r>
      <w:proofErr w:type="gramStart"/>
      <w:r>
        <w:rPr>
          <w:highlight w:val="white"/>
        </w:rPr>
        <w:t>specificity</w:t>
      </w:r>
      <w:r>
        <w:rPr>
          <w:highlight w:val="white"/>
          <w:vertAlign w:val="superscript"/>
        </w:rPr>
        <w:t>[</w:t>
      </w:r>
      <w:proofErr w:type="gramEnd"/>
      <w:r>
        <w:rPr>
          <w:highlight w:val="white"/>
          <w:vertAlign w:val="superscript"/>
        </w:rPr>
        <w:t>3]</w:t>
      </w:r>
      <w:r>
        <w:rPr>
          <w:highlight w:val="white"/>
        </w:rPr>
        <w:t>. Their research however did not count all possible combinations of the malarial plasmodium that could infect humans.</w:t>
      </w:r>
    </w:p>
    <w:p w:rsidR="009F4660" w:rsidRDefault="00A20B7B">
      <w:pPr>
        <w:spacing w:after="160" w:line="240" w:lineRule="auto"/>
        <w:jc w:val="both"/>
        <w:rPr>
          <w:highlight w:val="white"/>
        </w:rPr>
      </w:pPr>
      <w:r>
        <w:rPr>
          <w:highlight w:val="white"/>
        </w:rPr>
        <w:t xml:space="preserve">A subsequent approach by N.A Khan et al. (2017) used a K-means based, unsupervised classifier to classify and diagnose infected </w:t>
      </w:r>
      <w:proofErr w:type="gramStart"/>
      <w:r>
        <w:rPr>
          <w:highlight w:val="white"/>
        </w:rPr>
        <w:t>cells</w:t>
      </w:r>
      <w:r>
        <w:rPr>
          <w:highlight w:val="white"/>
          <w:vertAlign w:val="superscript"/>
        </w:rPr>
        <w:t>[</w:t>
      </w:r>
      <w:proofErr w:type="gramEnd"/>
      <w:r>
        <w:rPr>
          <w:highlight w:val="white"/>
          <w:vertAlign w:val="superscript"/>
        </w:rPr>
        <w:t>4]</w:t>
      </w:r>
      <w:r>
        <w:rPr>
          <w:highlight w:val="white"/>
        </w:rPr>
        <w:t xml:space="preserve">. This was picked up and then followed by </w:t>
      </w:r>
      <w:proofErr w:type="spellStart"/>
      <w:proofErr w:type="gramStart"/>
      <w:r>
        <w:rPr>
          <w:highlight w:val="white"/>
        </w:rPr>
        <w:t>S.Kunwar</w:t>
      </w:r>
      <w:proofErr w:type="spellEnd"/>
      <w:proofErr w:type="gramEnd"/>
      <w:r>
        <w:rPr>
          <w:highlight w:val="white"/>
        </w:rPr>
        <w:t xml:space="preserve"> et al. (2018) where they applied image preprocessing to account for a more robust classification system.</w:t>
      </w:r>
    </w:p>
    <w:p w:rsidR="009F4660" w:rsidRDefault="00A20B7B">
      <w:pPr>
        <w:spacing w:after="160" w:line="240" w:lineRule="auto"/>
        <w:jc w:val="both"/>
        <w:rPr>
          <w:highlight w:val="white"/>
        </w:rPr>
      </w:pPr>
      <w:r>
        <w:rPr>
          <w:highlight w:val="white"/>
        </w:rPr>
        <w:lastRenderedPageBreak/>
        <w:t>While the pre-existing approaches worked on increasing the model robustness or classification accuracy, we aim to replicate the accuracy and/or improve upon the speed of classification by taking features obtained by passing our image data through a Convolutional Neural Network. In effect, we will be training our classifier on the features extracted from the neural network with the goal of optimizing classification accuracy and speed.</w:t>
      </w:r>
    </w:p>
    <w:p w:rsidR="009F4660" w:rsidRDefault="009F4660">
      <w:pPr>
        <w:spacing w:after="160" w:line="240" w:lineRule="auto"/>
        <w:jc w:val="both"/>
        <w:rPr>
          <w:highlight w:val="white"/>
        </w:rPr>
      </w:pPr>
    </w:p>
    <w:p w:rsidR="009F4660" w:rsidRDefault="00A20B7B">
      <w:pPr>
        <w:spacing w:after="160" w:line="240" w:lineRule="auto"/>
        <w:jc w:val="both"/>
        <w:rPr>
          <w:b/>
          <w:highlight w:val="white"/>
        </w:rPr>
      </w:pPr>
      <w:r>
        <w:rPr>
          <w:b/>
          <w:highlight w:val="white"/>
        </w:rPr>
        <w:t>DATASET</w:t>
      </w:r>
    </w:p>
    <w:p w:rsidR="009F4660" w:rsidRDefault="00A20B7B">
      <w:pPr>
        <w:spacing w:after="160" w:line="240" w:lineRule="auto"/>
        <w:jc w:val="both"/>
        <w:rPr>
          <w:highlight w:val="white"/>
        </w:rPr>
      </w:pPr>
      <w:r>
        <w:rPr>
          <w:highlight w:val="white"/>
        </w:rPr>
        <w:t>The dataset was sourced from the US National Laboratory of Medicine and was hosted on their website.</w:t>
      </w:r>
    </w:p>
    <w:p w:rsidR="009F4660" w:rsidRDefault="00A20B7B">
      <w:pPr>
        <w:spacing w:after="160" w:line="240" w:lineRule="auto"/>
        <w:jc w:val="both"/>
        <w:rPr>
          <w:b/>
          <w:highlight w:val="white"/>
        </w:rPr>
      </w:pPr>
      <w:r>
        <w:rPr>
          <w:b/>
          <w:highlight w:val="white"/>
        </w:rPr>
        <w:t>METHODS</w:t>
      </w:r>
    </w:p>
    <w:p w:rsidR="009F4660" w:rsidRDefault="00A20B7B">
      <w:pPr>
        <w:numPr>
          <w:ilvl w:val="0"/>
          <w:numId w:val="2"/>
        </w:numPr>
        <w:spacing w:after="160" w:line="240" w:lineRule="auto"/>
        <w:jc w:val="both"/>
        <w:rPr>
          <w:b/>
          <w:highlight w:val="white"/>
        </w:rPr>
      </w:pPr>
      <w:r>
        <w:rPr>
          <w:b/>
          <w:highlight w:val="white"/>
        </w:rPr>
        <w:t>Data Collection and Preprocessing</w:t>
      </w:r>
    </w:p>
    <w:p w:rsidR="009F4660" w:rsidRDefault="00A20B7B">
      <w:pPr>
        <w:spacing w:after="160" w:line="240" w:lineRule="auto"/>
        <w:ind w:left="720"/>
        <w:jc w:val="both"/>
        <w:rPr>
          <w:highlight w:val="white"/>
        </w:rPr>
      </w:pPr>
      <w:r>
        <w:rPr>
          <w:highlight w:val="white"/>
        </w:rPr>
        <w:t xml:space="preserve">A mobile application that runs on a standard Android smartphone attached to a conventional light microscope was used to acquire the images.  Giemsa-stained thin blood smear slides from 150 P. falciparum-infected and 50 healthy patients were collected and photographed at Chittagong Medical College Hospital, Bangladesh. The smartphone’s built-in camera acquired images of slides for each microscopic field of view. The images were manually annotated by an expert slide reader at the Mahidol-Oxford Tropical Medicine Research Unit in Bangkok, Thailand. The dataset contains a total of 27,558 cell images with equal instances of parasitized and uninfected </w:t>
      </w:r>
      <w:proofErr w:type="gramStart"/>
      <w:r>
        <w:rPr>
          <w:highlight w:val="white"/>
        </w:rPr>
        <w:t>cells</w:t>
      </w:r>
      <w:r>
        <w:rPr>
          <w:highlight w:val="white"/>
          <w:vertAlign w:val="superscript"/>
        </w:rPr>
        <w:t>[</w:t>
      </w:r>
      <w:proofErr w:type="gramEnd"/>
      <w:r>
        <w:rPr>
          <w:highlight w:val="white"/>
          <w:vertAlign w:val="superscript"/>
        </w:rPr>
        <w:t>5]</w:t>
      </w:r>
      <w:r>
        <w:rPr>
          <w:highlight w:val="white"/>
        </w:rPr>
        <w:t>.</w:t>
      </w:r>
    </w:p>
    <w:p w:rsidR="009F4660" w:rsidRDefault="00A20B7B">
      <w:pPr>
        <w:spacing w:after="160" w:line="240" w:lineRule="auto"/>
        <w:ind w:left="720"/>
        <w:jc w:val="both"/>
        <w:rPr>
          <w:highlight w:val="white"/>
        </w:rPr>
      </w:pPr>
      <w:r>
        <w:rPr>
          <w:highlight w:val="white"/>
        </w:rPr>
        <w:t xml:space="preserve">The images were resized to 64x64x3 and the labels converted to numerical using one-hot encoding. </w:t>
      </w:r>
      <w:proofErr w:type="spellStart"/>
      <w:r>
        <w:rPr>
          <w:highlight w:val="white"/>
        </w:rPr>
        <w:t>Scikit-learn’s</w:t>
      </w:r>
      <w:proofErr w:type="spellEnd"/>
      <w:r>
        <w:rPr>
          <w:highlight w:val="white"/>
        </w:rPr>
        <w:t xml:space="preserve"> splitting function was used to create the train and test datasets with 80% train and 20% test set. The training data was further split into </w:t>
      </w:r>
      <w:r>
        <w:rPr>
          <w:highlight w:val="white"/>
        </w:rPr>
        <w:t>80% training and 20% validation set to use during training.</w:t>
      </w:r>
    </w:p>
    <w:p w:rsidR="009F4660" w:rsidRDefault="00A20B7B">
      <w:pPr>
        <w:spacing w:after="160" w:line="240" w:lineRule="auto"/>
        <w:ind w:left="720"/>
        <w:jc w:val="both"/>
        <w:rPr>
          <w:highlight w:val="white"/>
        </w:rPr>
      </w:pPr>
      <w:r>
        <w:rPr>
          <w:highlight w:val="white"/>
        </w:rPr>
        <w:t>A sample of the training data for parasitized images -</w:t>
      </w:r>
    </w:p>
    <w:p w:rsidR="009F4660" w:rsidRDefault="00A20B7B">
      <w:pPr>
        <w:spacing w:after="160" w:line="240" w:lineRule="auto"/>
        <w:ind w:left="720"/>
        <w:jc w:val="both"/>
        <w:rPr>
          <w:highlight w:val="white"/>
        </w:rPr>
      </w:pPr>
      <w:r>
        <w:rPr>
          <w:noProof/>
          <w:highlight w:val="white"/>
        </w:rPr>
        <w:drawing>
          <wp:inline distT="114300" distB="114300" distL="114300" distR="114300">
            <wp:extent cx="2378293" cy="1233488"/>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srcRect/>
                    <a:stretch>
                      <a:fillRect/>
                    </a:stretch>
                  </pic:blipFill>
                  <pic:spPr>
                    <a:xfrm>
                      <a:off x="0" y="0"/>
                      <a:ext cx="2378293" cy="1233488"/>
                    </a:xfrm>
                    <a:prstGeom prst="rect">
                      <a:avLst/>
                    </a:prstGeom>
                    <a:ln/>
                  </pic:spPr>
                </pic:pic>
              </a:graphicData>
            </a:graphic>
          </wp:inline>
        </w:drawing>
      </w:r>
    </w:p>
    <w:p w:rsidR="009F4660" w:rsidRDefault="00A20B7B">
      <w:pPr>
        <w:spacing w:after="160" w:line="240" w:lineRule="auto"/>
        <w:ind w:left="720"/>
        <w:jc w:val="both"/>
        <w:rPr>
          <w:highlight w:val="white"/>
        </w:rPr>
      </w:pPr>
      <w:r>
        <w:rPr>
          <w:highlight w:val="white"/>
        </w:rPr>
        <w:t>Fig. 1: Sample of parasitized cells</w:t>
      </w:r>
    </w:p>
    <w:p w:rsidR="009F4660" w:rsidRDefault="009F4660">
      <w:pPr>
        <w:spacing w:after="160" w:line="240" w:lineRule="auto"/>
        <w:ind w:left="720"/>
        <w:jc w:val="both"/>
        <w:rPr>
          <w:highlight w:val="white"/>
        </w:rPr>
      </w:pPr>
    </w:p>
    <w:p w:rsidR="009F4660" w:rsidRDefault="00A20B7B">
      <w:pPr>
        <w:spacing w:after="160" w:line="240" w:lineRule="auto"/>
        <w:ind w:left="720"/>
        <w:jc w:val="both"/>
        <w:rPr>
          <w:highlight w:val="white"/>
        </w:rPr>
      </w:pPr>
      <w:r>
        <w:rPr>
          <w:highlight w:val="white"/>
        </w:rPr>
        <w:t>A sample of the training data for uninfected images -</w:t>
      </w:r>
    </w:p>
    <w:p w:rsidR="009F4660" w:rsidRDefault="00A20B7B">
      <w:pPr>
        <w:spacing w:after="160" w:line="240" w:lineRule="auto"/>
        <w:ind w:left="720"/>
        <w:jc w:val="both"/>
        <w:rPr>
          <w:highlight w:val="white"/>
        </w:rPr>
      </w:pPr>
      <w:r>
        <w:rPr>
          <w:noProof/>
          <w:highlight w:val="white"/>
        </w:rPr>
        <w:drawing>
          <wp:inline distT="114300" distB="114300" distL="114300" distR="114300">
            <wp:extent cx="2443163" cy="1314896"/>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2443163" cy="1314896"/>
                    </a:xfrm>
                    <a:prstGeom prst="rect">
                      <a:avLst/>
                    </a:prstGeom>
                    <a:ln/>
                  </pic:spPr>
                </pic:pic>
              </a:graphicData>
            </a:graphic>
          </wp:inline>
        </w:drawing>
      </w:r>
    </w:p>
    <w:p w:rsidR="009F4660" w:rsidRDefault="00A20B7B">
      <w:pPr>
        <w:spacing w:after="160" w:line="240" w:lineRule="auto"/>
        <w:ind w:left="720"/>
        <w:jc w:val="both"/>
        <w:rPr>
          <w:highlight w:val="white"/>
        </w:rPr>
      </w:pPr>
      <w:r>
        <w:rPr>
          <w:highlight w:val="white"/>
        </w:rPr>
        <w:t>Fig. 2: Sample of non-parasitized cells</w:t>
      </w:r>
    </w:p>
    <w:p w:rsidR="009F4660" w:rsidRDefault="009F4660">
      <w:pPr>
        <w:spacing w:after="160" w:line="240" w:lineRule="auto"/>
        <w:jc w:val="both"/>
        <w:rPr>
          <w:highlight w:val="white"/>
        </w:rPr>
      </w:pPr>
    </w:p>
    <w:p w:rsidR="009F4660" w:rsidRDefault="00A20B7B">
      <w:pPr>
        <w:numPr>
          <w:ilvl w:val="0"/>
          <w:numId w:val="2"/>
        </w:numPr>
        <w:spacing w:after="160" w:line="240" w:lineRule="auto"/>
        <w:jc w:val="both"/>
        <w:rPr>
          <w:b/>
          <w:highlight w:val="white"/>
        </w:rPr>
      </w:pPr>
      <w:r>
        <w:rPr>
          <w:b/>
          <w:highlight w:val="white"/>
        </w:rPr>
        <w:t>Data Augmentation</w:t>
      </w:r>
    </w:p>
    <w:p w:rsidR="009F4660" w:rsidRDefault="00A20B7B">
      <w:pPr>
        <w:spacing w:after="160" w:line="240" w:lineRule="auto"/>
        <w:ind w:left="720"/>
        <w:jc w:val="both"/>
        <w:rPr>
          <w:highlight w:val="white"/>
        </w:rPr>
      </w:pPr>
      <w:r>
        <w:rPr>
          <w:highlight w:val="white"/>
        </w:rPr>
        <w:t xml:space="preserve">We experiment with different types of data augmentation techniques such as: </w:t>
      </w:r>
    </w:p>
    <w:p w:rsidR="009F4660" w:rsidRDefault="00A20B7B">
      <w:pPr>
        <w:spacing w:after="160" w:line="240" w:lineRule="auto"/>
        <w:ind w:left="720"/>
        <w:jc w:val="both"/>
        <w:rPr>
          <w:highlight w:val="white"/>
        </w:rPr>
      </w:pPr>
      <w:r>
        <w:rPr>
          <w:highlight w:val="white"/>
        </w:rPr>
        <w:t xml:space="preserve">1)  Histogram </w:t>
      </w:r>
      <w:proofErr w:type="gramStart"/>
      <w:r>
        <w:rPr>
          <w:highlight w:val="white"/>
        </w:rPr>
        <w:t>Equalization</w:t>
      </w:r>
      <w:r>
        <w:rPr>
          <w:highlight w:val="white"/>
          <w:vertAlign w:val="superscript"/>
        </w:rPr>
        <w:t>[</w:t>
      </w:r>
      <w:proofErr w:type="gramEnd"/>
      <w:r>
        <w:rPr>
          <w:highlight w:val="white"/>
          <w:vertAlign w:val="superscript"/>
        </w:rPr>
        <w:t>6]</w:t>
      </w:r>
      <w:r>
        <w:rPr>
          <w:highlight w:val="white"/>
        </w:rPr>
        <w:t xml:space="preserve"> - This technique increases the contrast values between pixels in the image by applying a normalization probability function on the histogram of pixel values generated. The histogram equalized image is given by the following formula</w:t>
      </w:r>
    </w:p>
    <w:p w:rsidR="009F4660" w:rsidRDefault="00A20B7B">
      <w:pPr>
        <w:spacing w:after="160" w:line="240" w:lineRule="auto"/>
        <w:ind w:left="720"/>
        <w:jc w:val="both"/>
        <w:rPr>
          <w:highlight w:val="white"/>
        </w:rPr>
      </w:pPr>
      <w:r>
        <w:rPr>
          <w:noProof/>
          <w:highlight w:val="white"/>
        </w:rPr>
        <w:lastRenderedPageBreak/>
        <w:drawing>
          <wp:inline distT="114300" distB="114300" distL="114300" distR="114300">
            <wp:extent cx="2347913" cy="770409"/>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347913" cy="770409"/>
                    </a:xfrm>
                    <a:prstGeom prst="rect">
                      <a:avLst/>
                    </a:prstGeom>
                    <a:ln/>
                  </pic:spPr>
                </pic:pic>
              </a:graphicData>
            </a:graphic>
          </wp:inline>
        </w:drawing>
      </w:r>
    </w:p>
    <w:p w:rsidR="009F4660" w:rsidRDefault="00A20B7B">
      <w:pPr>
        <w:spacing w:after="160" w:line="240" w:lineRule="auto"/>
        <w:jc w:val="both"/>
        <w:rPr>
          <w:highlight w:val="white"/>
        </w:rPr>
      </w:pPr>
      <w:r>
        <w:rPr>
          <w:highlight w:val="white"/>
        </w:rPr>
        <w:tab/>
        <w:t xml:space="preserve">On applying histogram </w:t>
      </w:r>
      <w:proofErr w:type="gramStart"/>
      <w:r>
        <w:rPr>
          <w:highlight w:val="white"/>
        </w:rPr>
        <w:t>equalization</w:t>
      </w:r>
      <w:proofErr w:type="gramEnd"/>
      <w:r>
        <w:rPr>
          <w:highlight w:val="white"/>
        </w:rPr>
        <w:t xml:space="preserve"> </w:t>
      </w:r>
      <w:r>
        <w:rPr>
          <w:highlight w:val="white"/>
        </w:rPr>
        <w:tab/>
      </w:r>
      <w:r>
        <w:rPr>
          <w:highlight w:val="white"/>
        </w:rPr>
        <w:tab/>
        <w:t>we obtain the following images -</w:t>
      </w:r>
    </w:p>
    <w:p w:rsidR="009F4660" w:rsidRDefault="00A20B7B">
      <w:pPr>
        <w:spacing w:after="160" w:line="240" w:lineRule="auto"/>
        <w:jc w:val="both"/>
        <w:rPr>
          <w:highlight w:val="white"/>
        </w:rPr>
      </w:pPr>
      <w:r>
        <w:rPr>
          <w:noProof/>
          <w:highlight w:val="white"/>
        </w:rPr>
        <w:drawing>
          <wp:inline distT="114300" distB="114300" distL="114300" distR="114300">
            <wp:extent cx="1347702" cy="1423988"/>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1347702" cy="1423988"/>
                    </a:xfrm>
                    <a:prstGeom prst="rect">
                      <a:avLst/>
                    </a:prstGeom>
                    <a:ln/>
                  </pic:spPr>
                </pic:pic>
              </a:graphicData>
            </a:graphic>
          </wp:inline>
        </w:drawing>
      </w:r>
      <w:r>
        <w:rPr>
          <w:noProof/>
          <w:highlight w:val="white"/>
        </w:rPr>
        <w:drawing>
          <wp:inline distT="114300" distB="114300" distL="114300" distR="114300">
            <wp:extent cx="1322274" cy="1423988"/>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1322274" cy="1423988"/>
                    </a:xfrm>
                    <a:prstGeom prst="rect">
                      <a:avLst/>
                    </a:prstGeom>
                    <a:ln/>
                  </pic:spPr>
                </pic:pic>
              </a:graphicData>
            </a:graphic>
          </wp:inline>
        </w:drawing>
      </w:r>
    </w:p>
    <w:p w:rsidR="009F4660" w:rsidRDefault="00A20B7B">
      <w:pPr>
        <w:spacing w:after="160" w:line="240" w:lineRule="auto"/>
        <w:ind w:left="720"/>
        <w:jc w:val="both"/>
        <w:rPr>
          <w:highlight w:val="white"/>
        </w:rPr>
      </w:pPr>
      <w:r>
        <w:rPr>
          <w:highlight w:val="white"/>
        </w:rPr>
        <w:t>Fig. 3: Images after Histogram Equalization</w:t>
      </w:r>
    </w:p>
    <w:p w:rsidR="009F4660" w:rsidRDefault="009F4660">
      <w:pPr>
        <w:spacing w:after="160" w:line="240" w:lineRule="auto"/>
        <w:jc w:val="both"/>
        <w:rPr>
          <w:highlight w:val="white"/>
        </w:rPr>
      </w:pPr>
    </w:p>
    <w:p w:rsidR="009F4660" w:rsidRDefault="00A20B7B">
      <w:pPr>
        <w:spacing w:after="160" w:line="240" w:lineRule="auto"/>
        <w:ind w:left="720"/>
        <w:jc w:val="both"/>
        <w:rPr>
          <w:highlight w:val="white"/>
        </w:rPr>
      </w:pPr>
      <w:r>
        <w:rPr>
          <w:highlight w:val="white"/>
        </w:rPr>
        <w:t xml:space="preserve">2) Affine Augmentation techniques - pixel shifts and rotations. </w:t>
      </w:r>
    </w:p>
    <w:p w:rsidR="009F4660" w:rsidRDefault="00A20B7B">
      <w:pPr>
        <w:spacing w:after="160" w:line="240" w:lineRule="auto"/>
        <w:ind w:left="720"/>
        <w:jc w:val="both"/>
        <w:rPr>
          <w:color w:val="333333"/>
          <w:highlight w:val="white"/>
        </w:rPr>
      </w:pPr>
      <w:r>
        <w:rPr>
          <w:highlight w:val="white"/>
        </w:rPr>
        <w:t>3) ZCA Whitening - a whitening technique that works by dividing principal components by the square root of PCA eigenvalues. The function is explained as follows. When you have N data points in R</w:t>
      </w:r>
      <w:r>
        <w:rPr>
          <w:highlight w:val="white"/>
          <w:vertAlign w:val="superscript"/>
        </w:rPr>
        <w:t xml:space="preserve">n </w:t>
      </w:r>
      <w:r>
        <w:rPr>
          <w:highlight w:val="white"/>
        </w:rPr>
        <w:t xml:space="preserve">then the covariance </w:t>
      </w:r>
      <w:proofErr w:type="gramStart"/>
      <w:r>
        <w:rPr>
          <w:highlight w:val="white"/>
        </w:rPr>
        <w:t xml:space="preserve">matrix  </w:t>
      </w:r>
      <w:proofErr w:type="spellStart"/>
      <w:r>
        <w:rPr>
          <w:rFonts w:ascii="Arial Unicode MS" w:eastAsia="Arial Unicode MS" w:hAnsi="Arial Unicode MS" w:cs="Arial Unicode MS"/>
          <w:color w:val="333333"/>
          <w:sz w:val="28"/>
          <w:szCs w:val="28"/>
          <w:highlight w:val="white"/>
        </w:rPr>
        <w:t>Σ</w:t>
      </w:r>
      <w:proofErr w:type="gramEnd"/>
      <w:r>
        <w:rPr>
          <w:rFonts w:ascii="Arial Unicode MS" w:eastAsia="Arial Unicode MS" w:hAnsi="Arial Unicode MS" w:cs="Arial Unicode MS"/>
          <w:color w:val="333333"/>
          <w:sz w:val="28"/>
          <w:szCs w:val="28"/>
          <w:highlight w:val="white"/>
        </w:rPr>
        <w:t>∈R</w:t>
      </w:r>
      <w:r>
        <w:rPr>
          <w:color w:val="333333"/>
          <w:sz w:val="20"/>
          <w:szCs w:val="20"/>
          <w:highlight w:val="white"/>
        </w:rPr>
        <w:t>n×n</w:t>
      </w:r>
      <w:proofErr w:type="spellEnd"/>
      <w:r>
        <w:rPr>
          <w:rFonts w:ascii="Georgia" w:eastAsia="Georgia" w:hAnsi="Georgia" w:cs="Georgia"/>
          <w:color w:val="333333"/>
          <w:sz w:val="20"/>
          <w:szCs w:val="20"/>
          <w:highlight w:val="white"/>
        </w:rPr>
        <w:t xml:space="preserve"> </w:t>
      </w:r>
      <w:r>
        <w:rPr>
          <w:color w:val="333333"/>
          <w:highlight w:val="white"/>
        </w:rPr>
        <w:t>is estimated to be:</w:t>
      </w:r>
    </w:p>
    <w:p w:rsidR="009F4660" w:rsidRDefault="00A20B7B">
      <w:pPr>
        <w:spacing w:after="160" w:line="240" w:lineRule="auto"/>
        <w:ind w:left="720"/>
        <w:jc w:val="both"/>
        <w:rPr>
          <w:color w:val="333333"/>
          <w:highlight w:val="white"/>
        </w:rPr>
      </w:pPr>
      <w:r>
        <w:rPr>
          <w:noProof/>
          <w:color w:val="333333"/>
          <w:highlight w:val="white"/>
        </w:rPr>
        <w:drawing>
          <wp:inline distT="114300" distB="114300" distL="114300" distR="114300">
            <wp:extent cx="2463085" cy="642938"/>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463085" cy="642938"/>
                    </a:xfrm>
                    <a:prstGeom prst="rect">
                      <a:avLst/>
                    </a:prstGeom>
                    <a:ln/>
                  </pic:spPr>
                </pic:pic>
              </a:graphicData>
            </a:graphic>
          </wp:inline>
        </w:drawing>
      </w:r>
    </w:p>
    <w:p w:rsidR="009F4660" w:rsidRDefault="00A20B7B">
      <w:pPr>
        <w:spacing w:after="160" w:line="240" w:lineRule="auto"/>
        <w:ind w:left="720"/>
        <w:jc w:val="both"/>
        <w:rPr>
          <w:color w:val="333333"/>
          <w:highlight w:val="white"/>
        </w:rPr>
      </w:pPr>
      <w:r>
        <w:rPr>
          <w:color w:val="333333"/>
          <w:highlight w:val="white"/>
        </w:rPr>
        <w:t xml:space="preserve">Where </w:t>
      </w:r>
      <w:proofErr w:type="spellStart"/>
      <w:r>
        <w:rPr>
          <w:color w:val="333333"/>
          <w:highlight w:val="white"/>
        </w:rPr>
        <w:t>x</w:t>
      </w:r>
      <w:r>
        <w:rPr>
          <w:color w:val="333333"/>
          <w:highlight w:val="white"/>
          <w:vertAlign w:val="subscript"/>
        </w:rPr>
        <w:t>j</w:t>
      </w:r>
      <w:proofErr w:type="spellEnd"/>
      <w:r>
        <w:rPr>
          <w:color w:val="333333"/>
          <w:highlight w:val="white"/>
          <w:vertAlign w:val="subscript"/>
        </w:rPr>
        <w:t xml:space="preserve"> </w:t>
      </w:r>
      <w:r>
        <w:rPr>
          <w:color w:val="333333"/>
          <w:highlight w:val="white"/>
        </w:rPr>
        <w:t xml:space="preserve">denotes the </w:t>
      </w:r>
      <w:proofErr w:type="spellStart"/>
      <w:r>
        <w:rPr>
          <w:color w:val="333333"/>
          <w:highlight w:val="white"/>
        </w:rPr>
        <w:t>j</w:t>
      </w:r>
      <w:r>
        <w:rPr>
          <w:color w:val="333333"/>
          <w:highlight w:val="white"/>
          <w:vertAlign w:val="superscript"/>
        </w:rPr>
        <w:t>th</w:t>
      </w:r>
      <w:proofErr w:type="spellEnd"/>
      <w:r>
        <w:rPr>
          <w:color w:val="333333"/>
          <w:highlight w:val="white"/>
          <w:vertAlign w:val="superscript"/>
        </w:rPr>
        <w:t xml:space="preserve"> </w:t>
      </w:r>
      <w:r>
        <w:rPr>
          <w:color w:val="333333"/>
          <w:highlight w:val="white"/>
        </w:rPr>
        <w:t xml:space="preserve">component of the estimated mean of the samples x. Any matrix W </w:t>
      </w:r>
      <w:r>
        <w:rPr>
          <w:rFonts w:ascii="Arial Unicode MS" w:eastAsia="Arial Unicode MS" w:hAnsi="Arial Unicode MS" w:cs="Arial Unicode MS"/>
          <w:color w:val="333333"/>
          <w:sz w:val="28"/>
          <w:szCs w:val="28"/>
          <w:highlight w:val="white"/>
        </w:rPr>
        <w:t>∈</w:t>
      </w:r>
      <w:proofErr w:type="spellStart"/>
      <w:r>
        <w:rPr>
          <w:rFonts w:ascii="Arial Unicode MS" w:eastAsia="Arial Unicode MS" w:hAnsi="Arial Unicode MS" w:cs="Arial Unicode MS"/>
          <w:color w:val="333333"/>
          <w:sz w:val="28"/>
          <w:szCs w:val="28"/>
          <w:highlight w:val="white"/>
        </w:rPr>
        <w:t>R</w:t>
      </w:r>
      <w:r>
        <w:rPr>
          <w:color w:val="333333"/>
          <w:sz w:val="20"/>
          <w:szCs w:val="20"/>
          <w:highlight w:val="white"/>
        </w:rPr>
        <w:t>n×n</w:t>
      </w:r>
      <w:proofErr w:type="spellEnd"/>
      <w:r>
        <w:rPr>
          <w:rFonts w:ascii="Georgia" w:eastAsia="Georgia" w:hAnsi="Georgia" w:cs="Georgia"/>
          <w:color w:val="333333"/>
          <w:sz w:val="20"/>
          <w:szCs w:val="20"/>
          <w:highlight w:val="white"/>
        </w:rPr>
        <w:t xml:space="preserve"> </w:t>
      </w:r>
      <w:r>
        <w:rPr>
          <w:color w:val="333333"/>
          <w:highlight w:val="white"/>
        </w:rPr>
        <w:t xml:space="preserve">that satisfies the condition    </w:t>
      </w:r>
    </w:p>
    <w:p w:rsidR="009F4660" w:rsidRDefault="00A20B7B">
      <w:pPr>
        <w:spacing w:after="160" w:line="240" w:lineRule="auto"/>
        <w:ind w:left="720"/>
        <w:jc w:val="both"/>
        <w:rPr>
          <w:color w:val="333333"/>
          <w:highlight w:val="white"/>
        </w:rPr>
      </w:pPr>
      <w:r>
        <w:rPr>
          <w:color w:val="333333"/>
          <w:highlight w:val="white"/>
        </w:rPr>
        <w:t xml:space="preserve">            </w:t>
      </w:r>
      <w:r>
        <w:rPr>
          <w:noProof/>
          <w:color w:val="333333"/>
          <w:highlight w:val="white"/>
        </w:rPr>
        <w:drawing>
          <wp:inline distT="114300" distB="114300" distL="114300" distR="114300">
            <wp:extent cx="1071563" cy="368563"/>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1071563" cy="368563"/>
                    </a:xfrm>
                    <a:prstGeom prst="rect">
                      <a:avLst/>
                    </a:prstGeom>
                    <a:ln/>
                  </pic:spPr>
                </pic:pic>
              </a:graphicData>
            </a:graphic>
          </wp:inline>
        </w:drawing>
      </w:r>
    </w:p>
    <w:p w:rsidR="009F4660" w:rsidRDefault="00A20B7B">
      <w:pPr>
        <w:spacing w:after="160" w:line="240" w:lineRule="auto"/>
        <w:ind w:left="720"/>
        <w:jc w:val="both"/>
        <w:rPr>
          <w:color w:val="333333"/>
          <w:highlight w:val="white"/>
        </w:rPr>
      </w:pPr>
      <w:r>
        <w:rPr>
          <w:color w:val="333333"/>
          <w:highlight w:val="white"/>
        </w:rPr>
        <w:t>whitens the data.</w:t>
      </w:r>
    </w:p>
    <w:p w:rsidR="009F4660" w:rsidRDefault="00A20B7B">
      <w:pPr>
        <w:spacing w:after="160" w:line="240" w:lineRule="auto"/>
        <w:ind w:left="720"/>
        <w:jc w:val="both"/>
        <w:rPr>
          <w:color w:val="333333"/>
          <w:highlight w:val="white"/>
        </w:rPr>
      </w:pPr>
      <w:r>
        <w:rPr>
          <w:color w:val="333333"/>
          <w:highlight w:val="white"/>
        </w:rPr>
        <w:t xml:space="preserve">A sample of images obtained using ZCA whitening - </w:t>
      </w:r>
    </w:p>
    <w:p w:rsidR="009F4660" w:rsidRDefault="00A20B7B">
      <w:pPr>
        <w:spacing w:after="160" w:line="240" w:lineRule="auto"/>
        <w:ind w:left="720"/>
        <w:jc w:val="both"/>
        <w:rPr>
          <w:color w:val="333333"/>
          <w:highlight w:val="white"/>
        </w:rPr>
      </w:pPr>
      <w:r>
        <w:rPr>
          <w:noProof/>
          <w:color w:val="333333"/>
          <w:highlight w:val="white"/>
        </w:rPr>
        <w:drawing>
          <wp:inline distT="114300" distB="114300" distL="114300" distR="114300">
            <wp:extent cx="2376488" cy="1229502"/>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2376488" cy="1229502"/>
                    </a:xfrm>
                    <a:prstGeom prst="rect">
                      <a:avLst/>
                    </a:prstGeom>
                    <a:ln/>
                  </pic:spPr>
                </pic:pic>
              </a:graphicData>
            </a:graphic>
          </wp:inline>
        </w:drawing>
      </w:r>
    </w:p>
    <w:p w:rsidR="009F4660" w:rsidRDefault="00A20B7B">
      <w:pPr>
        <w:spacing w:after="160" w:line="240" w:lineRule="auto"/>
        <w:ind w:left="720"/>
        <w:jc w:val="both"/>
        <w:rPr>
          <w:color w:val="333333"/>
          <w:highlight w:val="white"/>
        </w:rPr>
      </w:pPr>
      <w:r>
        <w:rPr>
          <w:color w:val="333333"/>
          <w:highlight w:val="white"/>
        </w:rPr>
        <w:t>Fig. 4: Images after ZCA Whitening</w:t>
      </w:r>
    </w:p>
    <w:p w:rsidR="009F4660" w:rsidRDefault="00A20B7B">
      <w:pPr>
        <w:spacing w:after="160" w:line="240" w:lineRule="auto"/>
        <w:ind w:left="720"/>
        <w:jc w:val="both"/>
        <w:rPr>
          <w:highlight w:val="white"/>
        </w:rPr>
      </w:pPr>
      <w:r>
        <w:rPr>
          <w:highlight w:val="white"/>
        </w:rPr>
        <w:t>For our model we will be using affine augmentation techniques (pixel shifts and rotations)</w:t>
      </w:r>
    </w:p>
    <w:p w:rsidR="009F4660" w:rsidRDefault="00A20B7B">
      <w:pPr>
        <w:numPr>
          <w:ilvl w:val="0"/>
          <w:numId w:val="2"/>
        </w:numPr>
        <w:spacing w:after="160" w:line="240" w:lineRule="auto"/>
        <w:jc w:val="both"/>
        <w:rPr>
          <w:b/>
          <w:highlight w:val="white"/>
        </w:rPr>
      </w:pPr>
      <w:r>
        <w:rPr>
          <w:b/>
          <w:highlight w:val="white"/>
        </w:rPr>
        <w:t>Model</w:t>
      </w:r>
    </w:p>
    <w:p w:rsidR="009F4660" w:rsidRDefault="00A20B7B">
      <w:pPr>
        <w:spacing w:after="160" w:line="240" w:lineRule="auto"/>
        <w:ind w:left="720"/>
        <w:jc w:val="both"/>
        <w:rPr>
          <w:b/>
          <w:highlight w:val="white"/>
        </w:rPr>
      </w:pPr>
      <w:r>
        <w:rPr>
          <w:b/>
          <w:highlight w:val="white"/>
        </w:rPr>
        <w:t>First Architecture</w:t>
      </w:r>
    </w:p>
    <w:p w:rsidR="009F4660" w:rsidRDefault="00A20B7B">
      <w:pPr>
        <w:spacing w:after="160" w:line="240" w:lineRule="auto"/>
        <w:ind w:left="720"/>
        <w:jc w:val="both"/>
        <w:rPr>
          <w:highlight w:val="white"/>
        </w:rPr>
      </w:pPr>
      <w:r>
        <w:rPr>
          <w:highlight w:val="white"/>
        </w:rPr>
        <w:t>The first architecture was a Conv-Pool-Conv architecture with 3 convolutional layers, 3 pooling layers and 3 dropout layers. We used ‘</w:t>
      </w:r>
      <w:proofErr w:type="spellStart"/>
      <w:r>
        <w:rPr>
          <w:highlight w:val="white"/>
        </w:rPr>
        <w:t>ReLU</w:t>
      </w:r>
      <w:proofErr w:type="spellEnd"/>
      <w:r>
        <w:rPr>
          <w:highlight w:val="white"/>
        </w:rPr>
        <w:t>’ activation function for input and hidden layers while a ‘</w:t>
      </w:r>
      <w:proofErr w:type="spellStart"/>
      <w:r>
        <w:rPr>
          <w:highlight w:val="white"/>
        </w:rPr>
        <w:t>softmax</w:t>
      </w:r>
      <w:proofErr w:type="spellEnd"/>
      <w:r>
        <w:rPr>
          <w:highlight w:val="white"/>
        </w:rPr>
        <w:t>’ activation function was used at the output fully connected layer. Max pooling was used for pooling and batch normalization was used to normalize the result of each conv-pool layer. The default stride of 1 with a 3x3 kernel was used for the convolutions with padding done to keep the dimensions same. Compilation was done using optimizer ‘Adam’ and a learning rate of 0.001 and decay rate 0.001/batch size where the mini batch size was set at 64. These were later tuned in the hyperparameter tuning experiments.</w:t>
      </w:r>
    </w:p>
    <w:p w:rsidR="009F4660" w:rsidRDefault="00A20B7B">
      <w:pPr>
        <w:spacing w:after="160" w:line="240" w:lineRule="auto"/>
        <w:ind w:left="720"/>
        <w:jc w:val="both"/>
        <w:rPr>
          <w:highlight w:val="white"/>
        </w:rPr>
      </w:pPr>
      <w:r>
        <w:rPr>
          <w:highlight w:val="white"/>
        </w:rPr>
        <w:t>We trained this model for 30 epochs and used augmented data to add number of augmented images for the same. The loss function used was the categorical cross entropy function which was minimized during training.</w:t>
      </w:r>
    </w:p>
    <w:p w:rsidR="009F4660" w:rsidRDefault="00A20B7B">
      <w:pPr>
        <w:spacing w:after="160" w:line="240" w:lineRule="auto"/>
        <w:ind w:left="720"/>
        <w:jc w:val="both"/>
        <w:rPr>
          <w:highlight w:val="white"/>
        </w:rPr>
      </w:pPr>
      <w:r>
        <w:rPr>
          <w:noProof/>
        </w:rPr>
        <w:lastRenderedPageBreak/>
        <w:drawing>
          <wp:anchor distT="114300" distB="114300" distL="114300" distR="114300" simplePos="0" relativeHeight="251658240" behindDoc="0" locked="0" layoutInCell="1" hidden="0" allowOverlap="1">
            <wp:simplePos x="0" y="0"/>
            <wp:positionH relativeFrom="column">
              <wp:posOffset>104776</wp:posOffset>
            </wp:positionH>
            <wp:positionV relativeFrom="paragraph">
              <wp:posOffset>190500</wp:posOffset>
            </wp:positionV>
            <wp:extent cx="2895600" cy="3057525"/>
            <wp:effectExtent l="0" t="0" r="0" b="0"/>
            <wp:wrapSquare wrapText="bothSides" distT="114300" distB="114300" distL="114300" distR="11430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2895600" cy="3057525"/>
                    </a:xfrm>
                    <a:prstGeom prst="rect">
                      <a:avLst/>
                    </a:prstGeom>
                    <a:ln/>
                  </pic:spPr>
                </pic:pic>
              </a:graphicData>
            </a:graphic>
          </wp:anchor>
        </w:drawing>
      </w:r>
    </w:p>
    <w:p w:rsidR="009F4660" w:rsidRDefault="00A20B7B">
      <w:pPr>
        <w:spacing w:after="160" w:line="240" w:lineRule="auto"/>
        <w:ind w:left="720"/>
        <w:jc w:val="both"/>
        <w:rPr>
          <w:b/>
          <w:highlight w:val="white"/>
        </w:rPr>
      </w:pPr>
      <w:r>
        <w:rPr>
          <w:b/>
          <w:highlight w:val="white"/>
        </w:rPr>
        <w:t>Second Architecture</w:t>
      </w:r>
    </w:p>
    <w:p w:rsidR="009F4660" w:rsidRDefault="00A20B7B">
      <w:pPr>
        <w:spacing w:after="160" w:line="240" w:lineRule="auto"/>
        <w:ind w:left="720"/>
        <w:jc w:val="both"/>
        <w:rPr>
          <w:highlight w:val="white"/>
        </w:rPr>
      </w:pPr>
      <w:r>
        <w:rPr>
          <w:highlight w:val="white"/>
        </w:rPr>
        <w:t xml:space="preserve">The second architecture employed a Conv-Conv-Pool architecture with two strides and a ‘sigmoid’ output activation function. The output layer wasn’t changed a fully connected layer as earlier was used for the purpose. We also utilized the binary cross entropy loss function considering this was a </w:t>
      </w:r>
      <w:proofErr w:type="gramStart"/>
      <w:r>
        <w:rPr>
          <w:highlight w:val="white"/>
        </w:rPr>
        <w:t>two</w:t>
      </w:r>
      <w:r w:rsidR="0037698F">
        <w:rPr>
          <w:highlight w:val="white"/>
        </w:rPr>
        <w:t xml:space="preserve"> </w:t>
      </w:r>
      <w:r>
        <w:rPr>
          <w:highlight w:val="white"/>
        </w:rPr>
        <w:t>class</w:t>
      </w:r>
      <w:proofErr w:type="gramEnd"/>
      <w:r>
        <w:rPr>
          <w:highlight w:val="white"/>
        </w:rPr>
        <w:t xml:space="preserve"> problem as a better choice. The kernels were (3,3) and had stride of 2. “</w:t>
      </w:r>
      <w:proofErr w:type="spellStart"/>
      <w:r>
        <w:rPr>
          <w:highlight w:val="white"/>
        </w:rPr>
        <w:t>ReLU</w:t>
      </w:r>
      <w:proofErr w:type="spellEnd"/>
      <w:r>
        <w:rPr>
          <w:highlight w:val="white"/>
        </w:rPr>
        <w:t xml:space="preserve">’ activation function for the hidden </w:t>
      </w:r>
      <w:proofErr w:type="gramStart"/>
      <w:r>
        <w:rPr>
          <w:highlight w:val="white"/>
        </w:rPr>
        <w:t>layer ,</w:t>
      </w:r>
      <w:proofErr w:type="gramEnd"/>
      <w:r>
        <w:rPr>
          <w:highlight w:val="white"/>
        </w:rPr>
        <w:t xml:space="preserve"> ‘Sigmoid’ for the outer layer was used.</w:t>
      </w:r>
    </w:p>
    <w:p w:rsidR="009F4660" w:rsidRDefault="00A20B7B">
      <w:pPr>
        <w:spacing w:after="160" w:line="240" w:lineRule="auto"/>
        <w:ind w:left="720"/>
        <w:jc w:val="both"/>
        <w:rPr>
          <w:b/>
          <w:highlight w:val="white"/>
        </w:rPr>
      </w:pPr>
      <w:r>
        <w:rPr>
          <w:highlight w:val="white"/>
        </w:rPr>
        <w:t xml:space="preserve">The model was optimized using the stochastic gradient descent optimizer (SGD). The parameters, strides, kernel dimensions, activation functions, learning rate, momentum, </w:t>
      </w:r>
      <w:r>
        <w:rPr>
          <w:highlight w:val="white"/>
        </w:rPr>
        <w:t>decay and dropout layers were added and tuned to the best model.</w:t>
      </w:r>
      <w:r>
        <w:rPr>
          <w:noProof/>
        </w:rPr>
        <w:drawing>
          <wp:anchor distT="114300" distB="114300" distL="114300" distR="114300" simplePos="0" relativeHeight="251659264" behindDoc="0" locked="0" layoutInCell="1" hidden="0" allowOverlap="1">
            <wp:simplePos x="0" y="0"/>
            <wp:positionH relativeFrom="column">
              <wp:posOffset>76201</wp:posOffset>
            </wp:positionH>
            <wp:positionV relativeFrom="paragraph">
              <wp:posOffset>1314450</wp:posOffset>
            </wp:positionV>
            <wp:extent cx="2890838" cy="2449182"/>
            <wp:effectExtent l="0" t="0" r="0" b="0"/>
            <wp:wrapSquare wrapText="bothSides" distT="114300" distB="114300" distL="114300" distR="11430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2890838" cy="2449182"/>
                    </a:xfrm>
                    <a:prstGeom prst="rect">
                      <a:avLst/>
                    </a:prstGeom>
                    <a:ln/>
                  </pic:spPr>
                </pic:pic>
              </a:graphicData>
            </a:graphic>
          </wp:anchor>
        </w:drawing>
      </w:r>
    </w:p>
    <w:p w:rsidR="009F4660" w:rsidRDefault="009F4660">
      <w:pPr>
        <w:spacing w:after="160" w:line="240" w:lineRule="auto"/>
        <w:jc w:val="both"/>
        <w:rPr>
          <w:highlight w:val="white"/>
        </w:rPr>
      </w:pPr>
    </w:p>
    <w:p w:rsidR="009F4660" w:rsidRDefault="00A20B7B">
      <w:pPr>
        <w:spacing w:after="160" w:line="240" w:lineRule="auto"/>
        <w:jc w:val="both"/>
        <w:rPr>
          <w:b/>
          <w:highlight w:val="white"/>
        </w:rPr>
      </w:pPr>
      <w:r>
        <w:rPr>
          <w:b/>
          <w:highlight w:val="white"/>
        </w:rPr>
        <w:t>RESULTS</w:t>
      </w:r>
    </w:p>
    <w:p w:rsidR="009F4660" w:rsidRDefault="00A20B7B">
      <w:pPr>
        <w:spacing w:after="160" w:line="240" w:lineRule="auto"/>
        <w:jc w:val="both"/>
        <w:rPr>
          <w:highlight w:val="white"/>
        </w:rPr>
      </w:pPr>
      <w:r>
        <w:rPr>
          <w:highlight w:val="white"/>
        </w:rPr>
        <w:t xml:space="preserve">Geometric transformations like rotation, translation, and shifting pixels horizontally and vertically were used to produce augmented images. This increased the variations in the training images the model trains on. </w:t>
      </w:r>
    </w:p>
    <w:p w:rsidR="009F4660" w:rsidRDefault="00A20B7B">
      <w:pPr>
        <w:spacing w:after="160" w:line="240" w:lineRule="auto"/>
        <w:jc w:val="both"/>
        <w:rPr>
          <w:highlight w:val="white"/>
        </w:rPr>
      </w:pPr>
      <w:r>
        <w:rPr>
          <w:highlight w:val="white"/>
        </w:rPr>
        <w:t>In this project, we test three different approaches: training data volume, model complexity and depth, and hyperparameter tuning. Accuracy and loss curves are shown for comparing different approaches. Accuracy, specificity, recall and F1 scores are reported for the final model.</w:t>
      </w:r>
    </w:p>
    <w:p w:rsidR="009F4660" w:rsidRDefault="009F4660">
      <w:pPr>
        <w:spacing w:after="160" w:line="240" w:lineRule="auto"/>
        <w:jc w:val="both"/>
        <w:rPr>
          <w:highlight w:val="white"/>
        </w:rPr>
      </w:pPr>
    </w:p>
    <w:p w:rsidR="009F4660" w:rsidRDefault="00A20B7B">
      <w:pPr>
        <w:spacing w:after="160" w:line="240" w:lineRule="auto"/>
        <w:jc w:val="both"/>
        <w:rPr>
          <w:b/>
          <w:highlight w:val="white"/>
        </w:rPr>
      </w:pPr>
      <w:r>
        <w:rPr>
          <w:b/>
          <w:highlight w:val="white"/>
        </w:rPr>
        <w:t>PERFORMANCE</w:t>
      </w:r>
    </w:p>
    <w:p w:rsidR="009F4660" w:rsidRDefault="00A20B7B">
      <w:pPr>
        <w:spacing w:after="160" w:line="240" w:lineRule="auto"/>
        <w:jc w:val="both"/>
        <w:rPr>
          <w:b/>
          <w:highlight w:val="white"/>
        </w:rPr>
      </w:pPr>
      <w:r>
        <w:rPr>
          <w:b/>
          <w:highlight w:val="white"/>
        </w:rPr>
        <w:t>Train Data Volume:</w:t>
      </w:r>
    </w:p>
    <w:p w:rsidR="009F4660" w:rsidRDefault="00A20B7B">
      <w:pPr>
        <w:spacing w:after="160" w:line="240" w:lineRule="auto"/>
        <w:jc w:val="both"/>
        <w:rPr>
          <w:highlight w:val="white"/>
        </w:rPr>
      </w:pPr>
      <w:r>
        <w:rPr>
          <w:highlight w:val="white"/>
        </w:rPr>
        <w:t xml:space="preserve">Deep neural networks/CNN models require large amounts of training data in order to   be effective in making predictions / classification. We were interested in exploring how training data volume would affect model performance. To investigate this, we ran our model on original number of training data images (17636) and doubling </w:t>
      </w:r>
      <w:r>
        <w:rPr>
          <w:highlight w:val="white"/>
        </w:rPr>
        <w:lastRenderedPageBreak/>
        <w:t xml:space="preserve">(35272) the original training images by using data augmentation. The following figure highlights our findings. While training accuracy increased slightly with the larger data set, from 0.95 with 17636 images to 0.97 in case of 35272 images, the validation accuracy stayed </w:t>
      </w:r>
      <w:proofErr w:type="gramStart"/>
      <w:r>
        <w:rPr>
          <w:highlight w:val="white"/>
        </w:rPr>
        <w:t>fairly</w:t>
      </w:r>
      <w:r w:rsidR="0037698F">
        <w:rPr>
          <w:highlight w:val="white"/>
        </w:rPr>
        <w:t xml:space="preserve"> </w:t>
      </w:r>
      <w:r>
        <w:rPr>
          <w:highlight w:val="white"/>
        </w:rPr>
        <w:t>consistent</w:t>
      </w:r>
      <w:proofErr w:type="gramEnd"/>
      <w:r>
        <w:rPr>
          <w:highlight w:val="white"/>
        </w:rPr>
        <w:t xml:space="preserve"> at approximately around 0.95. Hence, all further experiments were therefore conducted with 17636 images.</w:t>
      </w:r>
    </w:p>
    <w:p w:rsidR="009F4660" w:rsidRDefault="009F4660">
      <w:pPr>
        <w:spacing w:after="160" w:line="240" w:lineRule="auto"/>
        <w:jc w:val="both"/>
        <w:rPr>
          <w:sz w:val="18"/>
          <w:szCs w:val="18"/>
          <w:highlight w:val="white"/>
        </w:rPr>
      </w:pPr>
    </w:p>
    <w:p w:rsidR="009F4660" w:rsidRDefault="00A20B7B">
      <w:pPr>
        <w:spacing w:after="160" w:line="240" w:lineRule="auto"/>
        <w:jc w:val="both"/>
        <w:rPr>
          <w:highlight w:val="white"/>
        </w:rPr>
      </w:pPr>
      <w:r>
        <w:rPr>
          <w:highlight w:val="white"/>
        </w:rPr>
        <w:t>Fig. 5: Training and validation accuracy curves for 35272 training samples.</w:t>
      </w:r>
      <w:r>
        <w:rPr>
          <w:noProof/>
        </w:rPr>
        <w:drawing>
          <wp:anchor distT="114300" distB="114300" distL="114300" distR="114300" simplePos="0" relativeHeight="251660288" behindDoc="0" locked="0" layoutInCell="1" hidden="0" allowOverlap="1">
            <wp:simplePos x="0" y="0"/>
            <wp:positionH relativeFrom="column">
              <wp:posOffset>-157162</wp:posOffset>
            </wp:positionH>
            <wp:positionV relativeFrom="paragraph">
              <wp:posOffset>114300</wp:posOffset>
            </wp:positionV>
            <wp:extent cx="3014663" cy="2524125"/>
            <wp:effectExtent l="0" t="0" r="0" b="0"/>
            <wp:wrapSquare wrapText="bothSides" distT="114300" distB="114300" distL="114300" distR="11430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3014663" cy="2524125"/>
                    </a:xfrm>
                    <a:prstGeom prst="rect">
                      <a:avLst/>
                    </a:prstGeom>
                    <a:ln/>
                  </pic:spPr>
                </pic:pic>
              </a:graphicData>
            </a:graphic>
          </wp:anchor>
        </w:drawing>
      </w:r>
    </w:p>
    <w:p w:rsidR="009F4660" w:rsidRDefault="009F4660">
      <w:pPr>
        <w:spacing w:after="160" w:line="240" w:lineRule="auto"/>
        <w:jc w:val="both"/>
        <w:rPr>
          <w:highlight w:val="white"/>
        </w:rPr>
      </w:pPr>
    </w:p>
    <w:p w:rsidR="009F4660" w:rsidRDefault="00A20B7B">
      <w:pPr>
        <w:jc w:val="both"/>
        <w:rPr>
          <w:sz w:val="18"/>
          <w:szCs w:val="18"/>
          <w:highlight w:val="white"/>
        </w:rPr>
      </w:pPr>
      <w:r>
        <w:rPr>
          <w:noProof/>
          <w:highlight w:val="white"/>
        </w:rPr>
        <w:drawing>
          <wp:inline distT="114300" distB="114300" distL="114300" distR="114300">
            <wp:extent cx="2743200" cy="22098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2743200" cy="2209800"/>
                    </a:xfrm>
                    <a:prstGeom prst="rect">
                      <a:avLst/>
                    </a:prstGeom>
                    <a:ln/>
                  </pic:spPr>
                </pic:pic>
              </a:graphicData>
            </a:graphic>
          </wp:inline>
        </w:drawing>
      </w:r>
    </w:p>
    <w:p w:rsidR="009F4660" w:rsidRDefault="00A20B7B">
      <w:pPr>
        <w:spacing w:after="160" w:line="240" w:lineRule="auto"/>
        <w:jc w:val="both"/>
        <w:rPr>
          <w:highlight w:val="white"/>
        </w:rPr>
      </w:pPr>
      <w:r>
        <w:rPr>
          <w:highlight w:val="white"/>
        </w:rPr>
        <w:t>Fig. 6: Training and validation accuracy curve for 17636 training samples.</w:t>
      </w:r>
    </w:p>
    <w:p w:rsidR="009F4660" w:rsidRDefault="009F4660">
      <w:pPr>
        <w:spacing w:after="160" w:line="240" w:lineRule="auto"/>
        <w:jc w:val="both"/>
        <w:rPr>
          <w:sz w:val="18"/>
          <w:szCs w:val="18"/>
          <w:highlight w:val="white"/>
        </w:rPr>
      </w:pPr>
    </w:p>
    <w:p w:rsidR="009F4660" w:rsidRDefault="00A20B7B">
      <w:pPr>
        <w:spacing w:after="160" w:line="240" w:lineRule="auto"/>
        <w:jc w:val="both"/>
        <w:rPr>
          <w:b/>
          <w:highlight w:val="white"/>
        </w:rPr>
      </w:pPr>
      <w:r>
        <w:rPr>
          <w:b/>
          <w:highlight w:val="white"/>
        </w:rPr>
        <w:t>Network Architecture Comparison:</w:t>
      </w:r>
    </w:p>
    <w:p w:rsidR="009F4660" w:rsidRDefault="00A20B7B">
      <w:pPr>
        <w:spacing w:after="160" w:line="240" w:lineRule="auto"/>
        <w:jc w:val="both"/>
        <w:rPr>
          <w:highlight w:val="white"/>
        </w:rPr>
      </w:pPr>
      <w:r>
        <w:rPr>
          <w:highlight w:val="white"/>
        </w:rPr>
        <w:t xml:space="preserve">We tested out two different network architectures as described in the model sections. The following accuracy curves illustrate that the complexity of the network does not improve the validation accuracy significantly (model performance), training and validation accuracy for both models is around 0.95. But as seen in figure. 4, </w:t>
      </w:r>
      <w:proofErr w:type="gramStart"/>
      <w:r>
        <w:rPr>
          <w:highlight w:val="white"/>
        </w:rPr>
        <w:t>the  complex</w:t>
      </w:r>
      <w:proofErr w:type="gramEnd"/>
      <w:r>
        <w:rPr>
          <w:highlight w:val="white"/>
        </w:rPr>
        <w:t xml:space="preserve"> architecture allows the model to train with fewer iterations and also the validation accuracy</w:t>
      </w:r>
      <w:r>
        <w:rPr>
          <w:b/>
          <w:highlight w:val="white"/>
        </w:rPr>
        <w:t xml:space="preserve"> </w:t>
      </w:r>
      <w:r>
        <w:rPr>
          <w:highlight w:val="white"/>
        </w:rPr>
        <w:t>stays more stable compared to the conv-pool-conv architecture. Hence, we proceeded forward with the conv-conv-pool architecture.</w:t>
      </w:r>
    </w:p>
    <w:p w:rsidR="009F4660" w:rsidRDefault="00A20B7B">
      <w:pPr>
        <w:jc w:val="both"/>
        <w:rPr>
          <w:highlight w:val="white"/>
        </w:rPr>
      </w:pPr>
      <w:r>
        <w:rPr>
          <w:noProof/>
          <w:highlight w:val="white"/>
        </w:rPr>
        <w:drawing>
          <wp:inline distT="114300" distB="114300" distL="114300" distR="114300">
            <wp:extent cx="2743200" cy="22098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2743200" cy="2209800"/>
                    </a:xfrm>
                    <a:prstGeom prst="rect">
                      <a:avLst/>
                    </a:prstGeom>
                    <a:ln/>
                  </pic:spPr>
                </pic:pic>
              </a:graphicData>
            </a:graphic>
          </wp:inline>
        </w:drawing>
      </w:r>
    </w:p>
    <w:p w:rsidR="009F4660" w:rsidRDefault="00A20B7B">
      <w:pPr>
        <w:spacing w:after="160" w:line="240" w:lineRule="auto"/>
        <w:jc w:val="both"/>
        <w:rPr>
          <w:highlight w:val="white"/>
        </w:rPr>
      </w:pPr>
      <w:r>
        <w:rPr>
          <w:highlight w:val="white"/>
        </w:rPr>
        <w:t>Fig. 7: Training and validation accuracy curve for conv-pool-conv Architecture.</w:t>
      </w:r>
    </w:p>
    <w:p w:rsidR="009F4660" w:rsidRDefault="009F4660">
      <w:pPr>
        <w:spacing w:after="160" w:line="240" w:lineRule="auto"/>
        <w:jc w:val="both"/>
        <w:rPr>
          <w:sz w:val="18"/>
          <w:szCs w:val="18"/>
          <w:highlight w:val="white"/>
        </w:rPr>
      </w:pPr>
    </w:p>
    <w:p w:rsidR="009F4660" w:rsidRDefault="00A20B7B">
      <w:pPr>
        <w:spacing w:after="160" w:line="240" w:lineRule="auto"/>
        <w:jc w:val="both"/>
        <w:rPr>
          <w:sz w:val="18"/>
          <w:szCs w:val="18"/>
          <w:highlight w:val="white"/>
        </w:rPr>
      </w:pPr>
      <w:r>
        <w:rPr>
          <w:noProof/>
          <w:sz w:val="18"/>
          <w:szCs w:val="18"/>
          <w:highlight w:val="white"/>
        </w:rPr>
        <w:drawing>
          <wp:inline distT="114300" distB="114300" distL="114300" distR="114300">
            <wp:extent cx="2743200" cy="19558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2743200" cy="1955800"/>
                    </a:xfrm>
                    <a:prstGeom prst="rect">
                      <a:avLst/>
                    </a:prstGeom>
                    <a:ln/>
                  </pic:spPr>
                </pic:pic>
              </a:graphicData>
            </a:graphic>
          </wp:inline>
        </w:drawing>
      </w:r>
    </w:p>
    <w:p w:rsidR="009F4660" w:rsidRDefault="00A20B7B">
      <w:pPr>
        <w:spacing w:after="160" w:line="240" w:lineRule="auto"/>
        <w:jc w:val="both"/>
        <w:rPr>
          <w:highlight w:val="white"/>
        </w:rPr>
      </w:pPr>
      <w:r>
        <w:rPr>
          <w:highlight w:val="white"/>
        </w:rPr>
        <w:t>Fig. 8: Training and validation accuracy curve for conv-conv-pool Architecture (complex).</w:t>
      </w:r>
    </w:p>
    <w:p w:rsidR="009F4660" w:rsidRDefault="00A20B7B">
      <w:pPr>
        <w:spacing w:after="160" w:line="240" w:lineRule="auto"/>
        <w:jc w:val="both"/>
        <w:rPr>
          <w:b/>
          <w:highlight w:val="white"/>
        </w:rPr>
      </w:pPr>
      <w:r>
        <w:rPr>
          <w:b/>
          <w:highlight w:val="white"/>
        </w:rPr>
        <w:lastRenderedPageBreak/>
        <w:t>Hyperparameters:</w:t>
      </w:r>
    </w:p>
    <w:p w:rsidR="009F4660" w:rsidRDefault="00A20B7B">
      <w:pPr>
        <w:spacing w:after="160" w:line="240" w:lineRule="auto"/>
        <w:jc w:val="both"/>
        <w:rPr>
          <w:highlight w:val="white"/>
        </w:rPr>
      </w:pPr>
      <w:r>
        <w:rPr>
          <w:highlight w:val="white"/>
        </w:rPr>
        <w:t xml:space="preserve">Once the training data size and network architecture were selected, we focused on tuning hyperparameters like kernel size, learning rate, momentum, decay rate for learning rate, weight initialization and optimizers. The final model that was selected after multiple iterations of different combinations of hyperparameters has kernel size of 3 x3 with 2 strides, learning rate of 0.01 with momentum of 0.9. We were able to use a high learning rate and momentum as a result of adding high dropout of 0.5 and batch normalization in the </w:t>
      </w:r>
      <w:proofErr w:type="gramStart"/>
      <w:r>
        <w:rPr>
          <w:highlight w:val="white"/>
        </w:rPr>
        <w:t>network</w:t>
      </w:r>
      <w:r>
        <w:rPr>
          <w:highlight w:val="white"/>
          <w:vertAlign w:val="superscript"/>
        </w:rPr>
        <w:t>[</w:t>
      </w:r>
      <w:proofErr w:type="gramEnd"/>
      <w:r>
        <w:rPr>
          <w:highlight w:val="white"/>
          <w:vertAlign w:val="superscript"/>
        </w:rPr>
        <w:t>7]</w:t>
      </w:r>
      <w:r>
        <w:rPr>
          <w:highlight w:val="white"/>
        </w:rPr>
        <w:t>. We applied a linear learning rate decay proportional to batch size – learning rate / batch size. We tried out two different optimizers and ‘</w:t>
      </w:r>
      <w:proofErr w:type="spellStart"/>
      <w:r>
        <w:rPr>
          <w:highlight w:val="white"/>
        </w:rPr>
        <w:t>adam</w:t>
      </w:r>
      <w:proofErr w:type="spellEnd"/>
      <w:r>
        <w:rPr>
          <w:highlight w:val="white"/>
        </w:rPr>
        <w:t>’ and ‘stochastic gradient descent’ and decided on stochastic gradient descent as it allowed to use higher learning rate as compared to ‘</w:t>
      </w:r>
      <w:proofErr w:type="spellStart"/>
      <w:r>
        <w:rPr>
          <w:highlight w:val="white"/>
        </w:rPr>
        <w:t>adam</w:t>
      </w:r>
      <w:proofErr w:type="spellEnd"/>
      <w:r>
        <w:rPr>
          <w:highlight w:val="white"/>
        </w:rPr>
        <w:t xml:space="preserve">’ and gave faster training of the model. Finally, we also used ‘He uniform’ weight initialization as it works best with </w:t>
      </w:r>
      <w:proofErr w:type="spellStart"/>
      <w:r>
        <w:rPr>
          <w:highlight w:val="white"/>
        </w:rPr>
        <w:t>relu</w:t>
      </w:r>
      <w:proofErr w:type="spellEnd"/>
      <w:r>
        <w:rPr>
          <w:highlight w:val="white"/>
        </w:rPr>
        <w:t xml:space="preserve"> activation </w:t>
      </w:r>
      <w:proofErr w:type="gramStart"/>
      <w:r>
        <w:rPr>
          <w:highlight w:val="white"/>
        </w:rPr>
        <w:t>function</w:t>
      </w:r>
      <w:r>
        <w:rPr>
          <w:highlight w:val="white"/>
          <w:vertAlign w:val="superscript"/>
        </w:rPr>
        <w:t>[</w:t>
      </w:r>
      <w:proofErr w:type="gramEnd"/>
      <w:r>
        <w:rPr>
          <w:highlight w:val="white"/>
          <w:vertAlign w:val="superscript"/>
        </w:rPr>
        <w:t>8]</w:t>
      </w:r>
      <w:r>
        <w:rPr>
          <w:highlight w:val="white"/>
        </w:rPr>
        <w:t xml:space="preserve">. </w:t>
      </w:r>
    </w:p>
    <w:p w:rsidR="009F4660" w:rsidRDefault="009F4660">
      <w:pPr>
        <w:spacing w:after="160" w:line="240" w:lineRule="auto"/>
        <w:jc w:val="both"/>
        <w:rPr>
          <w:highlight w:val="white"/>
        </w:rPr>
      </w:pPr>
    </w:p>
    <w:p w:rsidR="009F4660" w:rsidRDefault="009F4660">
      <w:pPr>
        <w:spacing w:after="160" w:line="240" w:lineRule="auto"/>
        <w:jc w:val="both"/>
        <w:rPr>
          <w:highlight w:val="white"/>
        </w:rPr>
      </w:pPr>
    </w:p>
    <w:p w:rsidR="009F4660" w:rsidRDefault="00A20B7B">
      <w:pPr>
        <w:spacing w:after="160" w:line="240" w:lineRule="auto"/>
        <w:jc w:val="both"/>
        <w:rPr>
          <w:highlight w:val="white"/>
        </w:rPr>
      </w:pPr>
      <w:r>
        <w:rPr>
          <w:highlight w:val="white"/>
        </w:rPr>
        <w:t>Fig. 9: Training and validation accuracy curve for final model with tuned hyperparameters.</w:t>
      </w:r>
      <w:r>
        <w:rPr>
          <w:noProof/>
        </w:rPr>
        <w:drawing>
          <wp:anchor distT="114300" distB="114300" distL="114300" distR="114300" simplePos="0" relativeHeight="251661312" behindDoc="0" locked="0" layoutInCell="1" hidden="0" allowOverlap="1">
            <wp:simplePos x="0" y="0"/>
            <wp:positionH relativeFrom="column">
              <wp:posOffset>19051</wp:posOffset>
            </wp:positionH>
            <wp:positionV relativeFrom="paragraph">
              <wp:posOffset>114300</wp:posOffset>
            </wp:positionV>
            <wp:extent cx="2838450" cy="1776413"/>
            <wp:effectExtent l="0" t="0" r="0" b="0"/>
            <wp:wrapSquare wrapText="bothSides" distT="114300" distB="114300" distL="114300" distR="11430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2838450" cy="1776413"/>
                    </a:xfrm>
                    <a:prstGeom prst="rect">
                      <a:avLst/>
                    </a:prstGeom>
                    <a:ln/>
                  </pic:spPr>
                </pic:pic>
              </a:graphicData>
            </a:graphic>
          </wp:anchor>
        </w:drawing>
      </w:r>
    </w:p>
    <w:p w:rsidR="009F4660" w:rsidRDefault="009F4660">
      <w:pPr>
        <w:spacing w:after="160" w:line="240" w:lineRule="auto"/>
        <w:jc w:val="both"/>
        <w:rPr>
          <w:b/>
          <w:highlight w:val="white"/>
        </w:rPr>
      </w:pPr>
    </w:p>
    <w:p w:rsidR="009F4660" w:rsidRDefault="00A20B7B">
      <w:pPr>
        <w:spacing w:after="160" w:line="240" w:lineRule="auto"/>
        <w:jc w:val="both"/>
        <w:rPr>
          <w:b/>
          <w:highlight w:val="white"/>
        </w:rPr>
      </w:pPr>
      <w:r>
        <w:rPr>
          <w:b/>
          <w:highlight w:val="white"/>
        </w:rPr>
        <w:t>PERFORMANCE:</w:t>
      </w:r>
    </w:p>
    <w:tbl>
      <w:tblPr>
        <w:tblStyle w:val="a"/>
        <w:tblW w:w="4740" w:type="dxa"/>
        <w:tblInd w:w="25" w:type="dxa"/>
        <w:tblBorders>
          <w:top w:val="nil"/>
          <w:left w:val="nil"/>
          <w:bottom w:val="nil"/>
          <w:right w:val="nil"/>
          <w:insideH w:val="nil"/>
          <w:insideV w:val="nil"/>
        </w:tblBorders>
        <w:tblLayout w:type="fixed"/>
        <w:tblLook w:val="0600" w:firstRow="0" w:lastRow="0" w:firstColumn="0" w:lastColumn="0" w:noHBand="1" w:noVBand="1"/>
      </w:tblPr>
      <w:tblGrid>
        <w:gridCol w:w="1170"/>
        <w:gridCol w:w="1020"/>
        <w:gridCol w:w="720"/>
        <w:gridCol w:w="915"/>
        <w:gridCol w:w="915"/>
      </w:tblGrid>
      <w:tr w:rsidR="009F4660">
        <w:trPr>
          <w:trHeight w:val="500"/>
        </w:trPr>
        <w:tc>
          <w:tcPr>
            <w:tcW w:w="1170" w:type="dxa"/>
            <w:tcBorders>
              <w:top w:val="nil"/>
              <w:left w:val="nil"/>
              <w:bottom w:val="nil"/>
              <w:right w:val="nil"/>
            </w:tcBorders>
            <w:tcMar>
              <w:top w:w="100" w:type="dxa"/>
              <w:left w:w="100" w:type="dxa"/>
              <w:bottom w:w="100" w:type="dxa"/>
              <w:right w:w="100" w:type="dxa"/>
            </w:tcMar>
          </w:tcPr>
          <w:p w:rsidR="009F4660" w:rsidRDefault="00A20B7B">
            <w:pPr>
              <w:jc w:val="both"/>
              <w:rPr>
                <w:b/>
                <w:color w:val="212121"/>
                <w:sz w:val="18"/>
                <w:szCs w:val="18"/>
                <w:highlight w:val="white"/>
              </w:rPr>
            </w:pPr>
            <w:r>
              <w:rPr>
                <w:b/>
                <w:color w:val="212121"/>
                <w:sz w:val="18"/>
                <w:szCs w:val="18"/>
                <w:highlight w:val="white"/>
              </w:rPr>
              <w:t xml:space="preserve"> </w:t>
            </w:r>
          </w:p>
        </w:tc>
        <w:tc>
          <w:tcPr>
            <w:tcW w:w="1020" w:type="dxa"/>
            <w:tcBorders>
              <w:top w:val="nil"/>
              <w:left w:val="nil"/>
              <w:bottom w:val="nil"/>
              <w:right w:val="nil"/>
            </w:tcBorders>
            <w:tcMar>
              <w:top w:w="100" w:type="dxa"/>
              <w:left w:w="100" w:type="dxa"/>
              <w:bottom w:w="100" w:type="dxa"/>
              <w:right w:w="100" w:type="dxa"/>
            </w:tcMar>
          </w:tcPr>
          <w:p w:rsidR="009F4660" w:rsidRDefault="00A20B7B">
            <w:pPr>
              <w:jc w:val="center"/>
              <w:rPr>
                <w:b/>
                <w:color w:val="212121"/>
                <w:sz w:val="18"/>
                <w:szCs w:val="18"/>
                <w:highlight w:val="white"/>
              </w:rPr>
            </w:pPr>
            <w:r>
              <w:rPr>
                <w:b/>
                <w:color w:val="212121"/>
                <w:sz w:val="18"/>
                <w:szCs w:val="18"/>
                <w:highlight w:val="white"/>
              </w:rPr>
              <w:t>precision</w:t>
            </w:r>
          </w:p>
        </w:tc>
        <w:tc>
          <w:tcPr>
            <w:tcW w:w="720" w:type="dxa"/>
            <w:tcBorders>
              <w:top w:val="nil"/>
              <w:left w:val="nil"/>
              <w:bottom w:val="nil"/>
              <w:right w:val="nil"/>
            </w:tcBorders>
            <w:tcMar>
              <w:top w:w="100" w:type="dxa"/>
              <w:left w:w="100" w:type="dxa"/>
              <w:bottom w:w="100" w:type="dxa"/>
              <w:right w:w="100" w:type="dxa"/>
            </w:tcMar>
          </w:tcPr>
          <w:p w:rsidR="009F4660" w:rsidRDefault="00A20B7B">
            <w:pPr>
              <w:jc w:val="center"/>
              <w:rPr>
                <w:b/>
                <w:color w:val="212121"/>
                <w:sz w:val="18"/>
                <w:szCs w:val="18"/>
                <w:highlight w:val="white"/>
              </w:rPr>
            </w:pPr>
            <w:r>
              <w:rPr>
                <w:b/>
                <w:color w:val="212121"/>
                <w:sz w:val="18"/>
                <w:szCs w:val="18"/>
                <w:highlight w:val="white"/>
              </w:rPr>
              <w:t>recall</w:t>
            </w:r>
          </w:p>
        </w:tc>
        <w:tc>
          <w:tcPr>
            <w:tcW w:w="915" w:type="dxa"/>
            <w:tcBorders>
              <w:top w:val="nil"/>
              <w:left w:val="nil"/>
              <w:bottom w:val="nil"/>
              <w:right w:val="nil"/>
            </w:tcBorders>
            <w:tcMar>
              <w:top w:w="100" w:type="dxa"/>
              <w:left w:w="100" w:type="dxa"/>
              <w:bottom w:w="100" w:type="dxa"/>
              <w:right w:w="100" w:type="dxa"/>
            </w:tcMar>
          </w:tcPr>
          <w:p w:rsidR="009F4660" w:rsidRDefault="00A20B7B">
            <w:pPr>
              <w:jc w:val="center"/>
              <w:rPr>
                <w:b/>
                <w:color w:val="212121"/>
                <w:sz w:val="18"/>
                <w:szCs w:val="18"/>
                <w:highlight w:val="white"/>
              </w:rPr>
            </w:pPr>
            <w:r>
              <w:rPr>
                <w:b/>
                <w:color w:val="212121"/>
                <w:sz w:val="18"/>
                <w:szCs w:val="18"/>
                <w:highlight w:val="white"/>
              </w:rPr>
              <w:t>f1-score</w:t>
            </w:r>
          </w:p>
        </w:tc>
        <w:tc>
          <w:tcPr>
            <w:tcW w:w="915" w:type="dxa"/>
            <w:tcBorders>
              <w:top w:val="nil"/>
              <w:left w:val="nil"/>
              <w:bottom w:val="nil"/>
              <w:right w:val="nil"/>
            </w:tcBorders>
            <w:tcMar>
              <w:top w:w="100" w:type="dxa"/>
              <w:left w:w="100" w:type="dxa"/>
              <w:bottom w:w="100" w:type="dxa"/>
              <w:right w:w="100" w:type="dxa"/>
            </w:tcMar>
          </w:tcPr>
          <w:p w:rsidR="009F4660" w:rsidRDefault="00A20B7B">
            <w:pPr>
              <w:jc w:val="center"/>
              <w:rPr>
                <w:b/>
                <w:color w:val="212121"/>
                <w:sz w:val="18"/>
                <w:szCs w:val="18"/>
                <w:highlight w:val="white"/>
              </w:rPr>
            </w:pPr>
            <w:r>
              <w:rPr>
                <w:b/>
                <w:color w:val="212121"/>
                <w:sz w:val="18"/>
                <w:szCs w:val="18"/>
                <w:highlight w:val="white"/>
              </w:rPr>
              <w:t>support</w:t>
            </w:r>
          </w:p>
        </w:tc>
      </w:tr>
      <w:tr w:rsidR="009F4660">
        <w:trPr>
          <w:trHeight w:val="500"/>
        </w:trPr>
        <w:tc>
          <w:tcPr>
            <w:tcW w:w="1170" w:type="dxa"/>
            <w:tcBorders>
              <w:top w:val="nil"/>
              <w:left w:val="nil"/>
              <w:bottom w:val="nil"/>
              <w:right w:val="nil"/>
            </w:tcBorders>
            <w:shd w:val="clear" w:color="auto" w:fill="F2F2F2"/>
            <w:tcMar>
              <w:top w:w="100" w:type="dxa"/>
              <w:left w:w="100" w:type="dxa"/>
              <w:bottom w:w="100" w:type="dxa"/>
              <w:right w:w="100" w:type="dxa"/>
            </w:tcMar>
          </w:tcPr>
          <w:p w:rsidR="009F4660" w:rsidRDefault="00A20B7B">
            <w:pPr>
              <w:jc w:val="both"/>
              <w:rPr>
                <w:b/>
                <w:color w:val="212121"/>
                <w:sz w:val="18"/>
                <w:szCs w:val="18"/>
                <w:highlight w:val="white"/>
              </w:rPr>
            </w:pPr>
            <w:r>
              <w:rPr>
                <w:b/>
                <w:color w:val="212121"/>
                <w:sz w:val="18"/>
                <w:szCs w:val="18"/>
                <w:highlight w:val="white"/>
              </w:rPr>
              <w:t>Parasitized</w:t>
            </w:r>
          </w:p>
        </w:tc>
        <w:tc>
          <w:tcPr>
            <w:tcW w:w="1020" w:type="dxa"/>
            <w:tcBorders>
              <w:top w:val="nil"/>
              <w:left w:val="nil"/>
              <w:bottom w:val="nil"/>
              <w:right w:val="nil"/>
            </w:tcBorders>
            <w:shd w:val="clear" w:color="auto" w:fill="F2F2F2"/>
            <w:tcMar>
              <w:top w:w="100" w:type="dxa"/>
              <w:left w:w="100" w:type="dxa"/>
              <w:bottom w:w="100" w:type="dxa"/>
              <w:right w:w="100" w:type="dxa"/>
            </w:tcMar>
          </w:tcPr>
          <w:p w:rsidR="009F4660" w:rsidRDefault="00A20B7B">
            <w:pPr>
              <w:jc w:val="center"/>
              <w:rPr>
                <w:color w:val="212121"/>
                <w:sz w:val="18"/>
                <w:szCs w:val="18"/>
                <w:highlight w:val="white"/>
              </w:rPr>
            </w:pPr>
            <w:r>
              <w:rPr>
                <w:color w:val="212121"/>
                <w:sz w:val="18"/>
                <w:szCs w:val="18"/>
                <w:highlight w:val="white"/>
              </w:rPr>
              <w:t>0.98</w:t>
            </w:r>
          </w:p>
        </w:tc>
        <w:tc>
          <w:tcPr>
            <w:tcW w:w="720" w:type="dxa"/>
            <w:tcBorders>
              <w:top w:val="nil"/>
              <w:left w:val="nil"/>
              <w:bottom w:val="nil"/>
              <w:right w:val="nil"/>
            </w:tcBorders>
            <w:shd w:val="clear" w:color="auto" w:fill="F2F2F2"/>
            <w:tcMar>
              <w:top w:w="100" w:type="dxa"/>
              <w:left w:w="100" w:type="dxa"/>
              <w:bottom w:w="100" w:type="dxa"/>
              <w:right w:w="100" w:type="dxa"/>
            </w:tcMar>
          </w:tcPr>
          <w:p w:rsidR="009F4660" w:rsidRDefault="00A20B7B">
            <w:pPr>
              <w:jc w:val="center"/>
              <w:rPr>
                <w:color w:val="212121"/>
                <w:sz w:val="18"/>
                <w:szCs w:val="18"/>
                <w:highlight w:val="white"/>
              </w:rPr>
            </w:pPr>
            <w:r>
              <w:rPr>
                <w:color w:val="212121"/>
                <w:sz w:val="18"/>
                <w:szCs w:val="18"/>
                <w:highlight w:val="white"/>
              </w:rPr>
              <w:t>0.94</w:t>
            </w:r>
          </w:p>
        </w:tc>
        <w:tc>
          <w:tcPr>
            <w:tcW w:w="915" w:type="dxa"/>
            <w:tcBorders>
              <w:top w:val="nil"/>
              <w:left w:val="nil"/>
              <w:bottom w:val="nil"/>
              <w:right w:val="nil"/>
            </w:tcBorders>
            <w:shd w:val="clear" w:color="auto" w:fill="F2F2F2"/>
            <w:tcMar>
              <w:top w:w="100" w:type="dxa"/>
              <w:left w:w="100" w:type="dxa"/>
              <w:bottom w:w="100" w:type="dxa"/>
              <w:right w:w="100" w:type="dxa"/>
            </w:tcMar>
          </w:tcPr>
          <w:p w:rsidR="009F4660" w:rsidRDefault="00A20B7B">
            <w:pPr>
              <w:jc w:val="center"/>
              <w:rPr>
                <w:color w:val="212121"/>
                <w:sz w:val="18"/>
                <w:szCs w:val="18"/>
                <w:highlight w:val="white"/>
              </w:rPr>
            </w:pPr>
            <w:r>
              <w:rPr>
                <w:color w:val="212121"/>
                <w:sz w:val="18"/>
                <w:szCs w:val="18"/>
                <w:highlight w:val="white"/>
              </w:rPr>
              <w:t>0.96</w:t>
            </w:r>
          </w:p>
        </w:tc>
        <w:tc>
          <w:tcPr>
            <w:tcW w:w="915" w:type="dxa"/>
            <w:tcBorders>
              <w:top w:val="nil"/>
              <w:left w:val="nil"/>
              <w:bottom w:val="nil"/>
              <w:right w:val="nil"/>
            </w:tcBorders>
            <w:shd w:val="clear" w:color="auto" w:fill="F2F2F2"/>
            <w:tcMar>
              <w:top w:w="100" w:type="dxa"/>
              <w:left w:w="100" w:type="dxa"/>
              <w:bottom w:w="100" w:type="dxa"/>
              <w:right w:w="100" w:type="dxa"/>
            </w:tcMar>
          </w:tcPr>
          <w:p w:rsidR="009F4660" w:rsidRDefault="00A20B7B">
            <w:pPr>
              <w:jc w:val="center"/>
              <w:rPr>
                <w:color w:val="212121"/>
                <w:sz w:val="18"/>
                <w:szCs w:val="18"/>
                <w:highlight w:val="white"/>
              </w:rPr>
            </w:pPr>
            <w:r>
              <w:rPr>
                <w:color w:val="212121"/>
                <w:sz w:val="18"/>
                <w:szCs w:val="18"/>
                <w:highlight w:val="white"/>
              </w:rPr>
              <w:t>2767</w:t>
            </w:r>
          </w:p>
        </w:tc>
      </w:tr>
      <w:tr w:rsidR="009F4660">
        <w:trPr>
          <w:trHeight w:val="500"/>
        </w:trPr>
        <w:tc>
          <w:tcPr>
            <w:tcW w:w="1170" w:type="dxa"/>
            <w:tcBorders>
              <w:top w:val="nil"/>
              <w:left w:val="nil"/>
              <w:bottom w:val="nil"/>
              <w:right w:val="nil"/>
            </w:tcBorders>
            <w:tcMar>
              <w:top w:w="100" w:type="dxa"/>
              <w:left w:w="100" w:type="dxa"/>
              <w:bottom w:w="100" w:type="dxa"/>
              <w:right w:w="100" w:type="dxa"/>
            </w:tcMar>
          </w:tcPr>
          <w:p w:rsidR="009F4660" w:rsidRDefault="00A20B7B">
            <w:pPr>
              <w:jc w:val="both"/>
              <w:rPr>
                <w:b/>
                <w:color w:val="212121"/>
                <w:sz w:val="18"/>
                <w:szCs w:val="18"/>
                <w:highlight w:val="white"/>
              </w:rPr>
            </w:pPr>
            <w:r>
              <w:rPr>
                <w:b/>
                <w:color w:val="212121"/>
                <w:sz w:val="18"/>
                <w:szCs w:val="18"/>
                <w:highlight w:val="white"/>
              </w:rPr>
              <w:t>Uninfected</w:t>
            </w:r>
          </w:p>
        </w:tc>
        <w:tc>
          <w:tcPr>
            <w:tcW w:w="1020" w:type="dxa"/>
            <w:tcBorders>
              <w:top w:val="nil"/>
              <w:left w:val="nil"/>
              <w:bottom w:val="nil"/>
              <w:right w:val="nil"/>
            </w:tcBorders>
            <w:tcMar>
              <w:top w:w="100" w:type="dxa"/>
              <w:left w:w="100" w:type="dxa"/>
              <w:bottom w:w="100" w:type="dxa"/>
              <w:right w:w="100" w:type="dxa"/>
            </w:tcMar>
          </w:tcPr>
          <w:p w:rsidR="009F4660" w:rsidRDefault="00A20B7B">
            <w:pPr>
              <w:jc w:val="center"/>
              <w:rPr>
                <w:color w:val="212121"/>
                <w:sz w:val="18"/>
                <w:szCs w:val="18"/>
                <w:highlight w:val="white"/>
              </w:rPr>
            </w:pPr>
            <w:r>
              <w:rPr>
                <w:color w:val="212121"/>
                <w:sz w:val="18"/>
                <w:szCs w:val="18"/>
                <w:highlight w:val="white"/>
              </w:rPr>
              <w:t>0.94</w:t>
            </w:r>
          </w:p>
        </w:tc>
        <w:tc>
          <w:tcPr>
            <w:tcW w:w="720" w:type="dxa"/>
            <w:tcBorders>
              <w:top w:val="nil"/>
              <w:left w:val="nil"/>
              <w:bottom w:val="nil"/>
              <w:right w:val="nil"/>
            </w:tcBorders>
            <w:tcMar>
              <w:top w:w="100" w:type="dxa"/>
              <w:left w:w="100" w:type="dxa"/>
              <w:bottom w:w="100" w:type="dxa"/>
              <w:right w:w="100" w:type="dxa"/>
            </w:tcMar>
          </w:tcPr>
          <w:p w:rsidR="009F4660" w:rsidRDefault="00A20B7B">
            <w:pPr>
              <w:jc w:val="center"/>
              <w:rPr>
                <w:color w:val="212121"/>
                <w:sz w:val="18"/>
                <w:szCs w:val="18"/>
                <w:highlight w:val="white"/>
              </w:rPr>
            </w:pPr>
            <w:r>
              <w:rPr>
                <w:color w:val="212121"/>
                <w:sz w:val="18"/>
                <w:szCs w:val="18"/>
                <w:highlight w:val="white"/>
              </w:rPr>
              <w:t>0.98</w:t>
            </w:r>
          </w:p>
        </w:tc>
        <w:tc>
          <w:tcPr>
            <w:tcW w:w="915" w:type="dxa"/>
            <w:tcBorders>
              <w:top w:val="nil"/>
              <w:left w:val="nil"/>
              <w:bottom w:val="nil"/>
              <w:right w:val="nil"/>
            </w:tcBorders>
            <w:tcMar>
              <w:top w:w="100" w:type="dxa"/>
              <w:left w:w="100" w:type="dxa"/>
              <w:bottom w:w="100" w:type="dxa"/>
              <w:right w:w="100" w:type="dxa"/>
            </w:tcMar>
          </w:tcPr>
          <w:p w:rsidR="009F4660" w:rsidRDefault="00A20B7B">
            <w:pPr>
              <w:jc w:val="center"/>
              <w:rPr>
                <w:color w:val="212121"/>
                <w:sz w:val="18"/>
                <w:szCs w:val="18"/>
                <w:highlight w:val="white"/>
              </w:rPr>
            </w:pPr>
            <w:r>
              <w:rPr>
                <w:color w:val="212121"/>
                <w:sz w:val="18"/>
                <w:szCs w:val="18"/>
                <w:highlight w:val="white"/>
              </w:rPr>
              <w:t>0.96</w:t>
            </w:r>
          </w:p>
        </w:tc>
        <w:tc>
          <w:tcPr>
            <w:tcW w:w="915" w:type="dxa"/>
            <w:tcBorders>
              <w:top w:val="nil"/>
              <w:left w:val="nil"/>
              <w:bottom w:val="nil"/>
              <w:right w:val="nil"/>
            </w:tcBorders>
            <w:tcMar>
              <w:top w:w="100" w:type="dxa"/>
              <w:left w:w="100" w:type="dxa"/>
              <w:bottom w:w="100" w:type="dxa"/>
              <w:right w:w="100" w:type="dxa"/>
            </w:tcMar>
          </w:tcPr>
          <w:p w:rsidR="009F4660" w:rsidRDefault="00A20B7B">
            <w:pPr>
              <w:jc w:val="center"/>
              <w:rPr>
                <w:color w:val="212121"/>
                <w:sz w:val="18"/>
                <w:szCs w:val="18"/>
                <w:highlight w:val="white"/>
              </w:rPr>
            </w:pPr>
            <w:r>
              <w:rPr>
                <w:color w:val="212121"/>
                <w:sz w:val="18"/>
                <w:szCs w:val="18"/>
                <w:highlight w:val="white"/>
              </w:rPr>
              <w:t>2745</w:t>
            </w:r>
          </w:p>
        </w:tc>
      </w:tr>
      <w:tr w:rsidR="009F4660">
        <w:trPr>
          <w:trHeight w:val="500"/>
        </w:trPr>
        <w:tc>
          <w:tcPr>
            <w:tcW w:w="1170" w:type="dxa"/>
            <w:tcBorders>
              <w:top w:val="nil"/>
              <w:left w:val="nil"/>
              <w:bottom w:val="nil"/>
              <w:right w:val="nil"/>
            </w:tcBorders>
            <w:shd w:val="clear" w:color="auto" w:fill="F2F2F2"/>
            <w:tcMar>
              <w:top w:w="100" w:type="dxa"/>
              <w:left w:w="100" w:type="dxa"/>
              <w:bottom w:w="100" w:type="dxa"/>
              <w:right w:w="100" w:type="dxa"/>
            </w:tcMar>
          </w:tcPr>
          <w:p w:rsidR="009F4660" w:rsidRDefault="00A20B7B">
            <w:pPr>
              <w:jc w:val="both"/>
              <w:rPr>
                <w:b/>
                <w:color w:val="212121"/>
                <w:sz w:val="18"/>
                <w:szCs w:val="18"/>
                <w:highlight w:val="white"/>
              </w:rPr>
            </w:pPr>
            <w:r>
              <w:rPr>
                <w:b/>
                <w:color w:val="212121"/>
                <w:sz w:val="18"/>
                <w:szCs w:val="18"/>
                <w:highlight w:val="white"/>
              </w:rPr>
              <w:t>Micro average</w:t>
            </w:r>
          </w:p>
        </w:tc>
        <w:tc>
          <w:tcPr>
            <w:tcW w:w="1020" w:type="dxa"/>
            <w:tcBorders>
              <w:top w:val="nil"/>
              <w:left w:val="nil"/>
              <w:bottom w:val="nil"/>
              <w:right w:val="nil"/>
            </w:tcBorders>
            <w:shd w:val="clear" w:color="auto" w:fill="F2F2F2"/>
            <w:tcMar>
              <w:top w:w="100" w:type="dxa"/>
              <w:left w:w="100" w:type="dxa"/>
              <w:bottom w:w="100" w:type="dxa"/>
              <w:right w:w="100" w:type="dxa"/>
            </w:tcMar>
          </w:tcPr>
          <w:p w:rsidR="009F4660" w:rsidRDefault="00A20B7B">
            <w:pPr>
              <w:jc w:val="center"/>
              <w:rPr>
                <w:color w:val="212121"/>
                <w:sz w:val="18"/>
                <w:szCs w:val="18"/>
                <w:highlight w:val="white"/>
              </w:rPr>
            </w:pPr>
            <w:r>
              <w:rPr>
                <w:color w:val="212121"/>
                <w:sz w:val="18"/>
                <w:szCs w:val="18"/>
                <w:highlight w:val="white"/>
              </w:rPr>
              <w:t>0.96</w:t>
            </w:r>
          </w:p>
        </w:tc>
        <w:tc>
          <w:tcPr>
            <w:tcW w:w="720" w:type="dxa"/>
            <w:tcBorders>
              <w:top w:val="nil"/>
              <w:left w:val="nil"/>
              <w:bottom w:val="nil"/>
              <w:right w:val="nil"/>
            </w:tcBorders>
            <w:shd w:val="clear" w:color="auto" w:fill="F2F2F2"/>
            <w:tcMar>
              <w:top w:w="100" w:type="dxa"/>
              <w:left w:w="100" w:type="dxa"/>
              <w:bottom w:w="100" w:type="dxa"/>
              <w:right w:w="100" w:type="dxa"/>
            </w:tcMar>
          </w:tcPr>
          <w:p w:rsidR="009F4660" w:rsidRDefault="00A20B7B">
            <w:pPr>
              <w:jc w:val="center"/>
              <w:rPr>
                <w:color w:val="212121"/>
                <w:sz w:val="18"/>
                <w:szCs w:val="18"/>
                <w:highlight w:val="white"/>
              </w:rPr>
            </w:pPr>
            <w:r>
              <w:rPr>
                <w:color w:val="212121"/>
                <w:sz w:val="18"/>
                <w:szCs w:val="18"/>
                <w:highlight w:val="white"/>
              </w:rPr>
              <w:t>0.96</w:t>
            </w:r>
          </w:p>
        </w:tc>
        <w:tc>
          <w:tcPr>
            <w:tcW w:w="915" w:type="dxa"/>
            <w:tcBorders>
              <w:top w:val="nil"/>
              <w:left w:val="nil"/>
              <w:bottom w:val="nil"/>
              <w:right w:val="nil"/>
            </w:tcBorders>
            <w:shd w:val="clear" w:color="auto" w:fill="F2F2F2"/>
            <w:tcMar>
              <w:top w:w="100" w:type="dxa"/>
              <w:left w:w="100" w:type="dxa"/>
              <w:bottom w:w="100" w:type="dxa"/>
              <w:right w:w="100" w:type="dxa"/>
            </w:tcMar>
          </w:tcPr>
          <w:p w:rsidR="009F4660" w:rsidRDefault="00A20B7B">
            <w:pPr>
              <w:jc w:val="center"/>
              <w:rPr>
                <w:color w:val="212121"/>
                <w:sz w:val="18"/>
                <w:szCs w:val="18"/>
                <w:highlight w:val="white"/>
              </w:rPr>
            </w:pPr>
            <w:r>
              <w:rPr>
                <w:color w:val="212121"/>
                <w:sz w:val="18"/>
                <w:szCs w:val="18"/>
                <w:highlight w:val="white"/>
              </w:rPr>
              <w:t>0.96</w:t>
            </w:r>
          </w:p>
        </w:tc>
        <w:tc>
          <w:tcPr>
            <w:tcW w:w="915" w:type="dxa"/>
            <w:tcBorders>
              <w:top w:val="nil"/>
              <w:left w:val="nil"/>
              <w:bottom w:val="nil"/>
              <w:right w:val="nil"/>
            </w:tcBorders>
            <w:shd w:val="clear" w:color="auto" w:fill="F2F2F2"/>
            <w:tcMar>
              <w:top w:w="100" w:type="dxa"/>
              <w:left w:w="100" w:type="dxa"/>
              <w:bottom w:w="100" w:type="dxa"/>
              <w:right w:w="100" w:type="dxa"/>
            </w:tcMar>
          </w:tcPr>
          <w:p w:rsidR="009F4660" w:rsidRDefault="00A20B7B">
            <w:pPr>
              <w:jc w:val="center"/>
              <w:rPr>
                <w:color w:val="212121"/>
                <w:sz w:val="18"/>
                <w:szCs w:val="18"/>
                <w:highlight w:val="white"/>
              </w:rPr>
            </w:pPr>
            <w:r>
              <w:rPr>
                <w:color w:val="212121"/>
                <w:sz w:val="18"/>
                <w:szCs w:val="18"/>
                <w:highlight w:val="white"/>
              </w:rPr>
              <w:t>5512</w:t>
            </w:r>
          </w:p>
        </w:tc>
      </w:tr>
      <w:tr w:rsidR="009F4660">
        <w:trPr>
          <w:trHeight w:val="500"/>
        </w:trPr>
        <w:tc>
          <w:tcPr>
            <w:tcW w:w="1170" w:type="dxa"/>
            <w:tcBorders>
              <w:top w:val="nil"/>
              <w:left w:val="nil"/>
              <w:bottom w:val="nil"/>
              <w:right w:val="nil"/>
            </w:tcBorders>
            <w:tcMar>
              <w:top w:w="100" w:type="dxa"/>
              <w:left w:w="100" w:type="dxa"/>
              <w:bottom w:w="100" w:type="dxa"/>
              <w:right w:w="100" w:type="dxa"/>
            </w:tcMar>
          </w:tcPr>
          <w:p w:rsidR="009F4660" w:rsidRDefault="00A20B7B">
            <w:pPr>
              <w:jc w:val="both"/>
              <w:rPr>
                <w:b/>
                <w:color w:val="212121"/>
                <w:sz w:val="18"/>
                <w:szCs w:val="18"/>
                <w:highlight w:val="white"/>
              </w:rPr>
            </w:pPr>
            <w:r>
              <w:rPr>
                <w:b/>
                <w:color w:val="212121"/>
                <w:sz w:val="18"/>
                <w:szCs w:val="18"/>
                <w:highlight w:val="white"/>
              </w:rPr>
              <w:t>Macro average</w:t>
            </w:r>
          </w:p>
        </w:tc>
        <w:tc>
          <w:tcPr>
            <w:tcW w:w="1020" w:type="dxa"/>
            <w:tcBorders>
              <w:top w:val="nil"/>
              <w:left w:val="nil"/>
              <w:bottom w:val="nil"/>
              <w:right w:val="nil"/>
            </w:tcBorders>
            <w:tcMar>
              <w:top w:w="100" w:type="dxa"/>
              <w:left w:w="100" w:type="dxa"/>
              <w:bottom w:w="100" w:type="dxa"/>
              <w:right w:w="100" w:type="dxa"/>
            </w:tcMar>
          </w:tcPr>
          <w:p w:rsidR="009F4660" w:rsidRDefault="00A20B7B">
            <w:pPr>
              <w:jc w:val="center"/>
              <w:rPr>
                <w:color w:val="212121"/>
                <w:sz w:val="18"/>
                <w:szCs w:val="18"/>
                <w:highlight w:val="white"/>
              </w:rPr>
            </w:pPr>
            <w:r>
              <w:rPr>
                <w:color w:val="212121"/>
                <w:sz w:val="18"/>
                <w:szCs w:val="18"/>
                <w:highlight w:val="white"/>
              </w:rPr>
              <w:t>0.96</w:t>
            </w:r>
          </w:p>
        </w:tc>
        <w:tc>
          <w:tcPr>
            <w:tcW w:w="720" w:type="dxa"/>
            <w:tcBorders>
              <w:top w:val="nil"/>
              <w:left w:val="nil"/>
              <w:bottom w:val="nil"/>
              <w:right w:val="nil"/>
            </w:tcBorders>
            <w:tcMar>
              <w:top w:w="100" w:type="dxa"/>
              <w:left w:w="100" w:type="dxa"/>
              <w:bottom w:w="100" w:type="dxa"/>
              <w:right w:w="100" w:type="dxa"/>
            </w:tcMar>
          </w:tcPr>
          <w:p w:rsidR="009F4660" w:rsidRDefault="00A20B7B">
            <w:pPr>
              <w:jc w:val="center"/>
              <w:rPr>
                <w:color w:val="212121"/>
                <w:sz w:val="18"/>
                <w:szCs w:val="18"/>
                <w:highlight w:val="white"/>
              </w:rPr>
            </w:pPr>
            <w:r>
              <w:rPr>
                <w:color w:val="212121"/>
                <w:sz w:val="18"/>
                <w:szCs w:val="18"/>
                <w:highlight w:val="white"/>
              </w:rPr>
              <w:t>0.96</w:t>
            </w:r>
          </w:p>
        </w:tc>
        <w:tc>
          <w:tcPr>
            <w:tcW w:w="915" w:type="dxa"/>
            <w:tcBorders>
              <w:top w:val="nil"/>
              <w:left w:val="nil"/>
              <w:bottom w:val="nil"/>
              <w:right w:val="nil"/>
            </w:tcBorders>
            <w:tcMar>
              <w:top w:w="100" w:type="dxa"/>
              <w:left w:w="100" w:type="dxa"/>
              <w:bottom w:w="100" w:type="dxa"/>
              <w:right w:w="100" w:type="dxa"/>
            </w:tcMar>
          </w:tcPr>
          <w:p w:rsidR="009F4660" w:rsidRDefault="00A20B7B">
            <w:pPr>
              <w:jc w:val="center"/>
              <w:rPr>
                <w:color w:val="212121"/>
                <w:sz w:val="18"/>
                <w:szCs w:val="18"/>
                <w:highlight w:val="white"/>
              </w:rPr>
            </w:pPr>
            <w:r>
              <w:rPr>
                <w:color w:val="212121"/>
                <w:sz w:val="18"/>
                <w:szCs w:val="18"/>
                <w:highlight w:val="white"/>
              </w:rPr>
              <w:t>0.96</w:t>
            </w:r>
          </w:p>
        </w:tc>
        <w:tc>
          <w:tcPr>
            <w:tcW w:w="915" w:type="dxa"/>
            <w:tcBorders>
              <w:top w:val="nil"/>
              <w:left w:val="nil"/>
              <w:bottom w:val="nil"/>
              <w:right w:val="nil"/>
            </w:tcBorders>
            <w:tcMar>
              <w:top w:w="100" w:type="dxa"/>
              <w:left w:w="100" w:type="dxa"/>
              <w:bottom w:w="100" w:type="dxa"/>
              <w:right w:w="100" w:type="dxa"/>
            </w:tcMar>
          </w:tcPr>
          <w:p w:rsidR="009F4660" w:rsidRDefault="00A20B7B">
            <w:pPr>
              <w:jc w:val="center"/>
              <w:rPr>
                <w:color w:val="212121"/>
                <w:sz w:val="18"/>
                <w:szCs w:val="18"/>
                <w:highlight w:val="white"/>
              </w:rPr>
            </w:pPr>
            <w:r>
              <w:rPr>
                <w:color w:val="212121"/>
                <w:sz w:val="18"/>
                <w:szCs w:val="18"/>
                <w:highlight w:val="white"/>
              </w:rPr>
              <w:t>5512</w:t>
            </w:r>
          </w:p>
        </w:tc>
      </w:tr>
      <w:tr w:rsidR="009F4660">
        <w:trPr>
          <w:trHeight w:val="500"/>
        </w:trPr>
        <w:tc>
          <w:tcPr>
            <w:tcW w:w="1170" w:type="dxa"/>
            <w:tcBorders>
              <w:top w:val="nil"/>
              <w:left w:val="nil"/>
              <w:bottom w:val="nil"/>
              <w:right w:val="nil"/>
            </w:tcBorders>
            <w:shd w:val="clear" w:color="auto" w:fill="F2F2F2"/>
            <w:tcMar>
              <w:top w:w="100" w:type="dxa"/>
              <w:left w:w="100" w:type="dxa"/>
              <w:bottom w:w="100" w:type="dxa"/>
              <w:right w:w="100" w:type="dxa"/>
            </w:tcMar>
          </w:tcPr>
          <w:p w:rsidR="009F4660" w:rsidRDefault="00A20B7B">
            <w:pPr>
              <w:jc w:val="both"/>
              <w:rPr>
                <w:b/>
                <w:color w:val="212121"/>
                <w:sz w:val="18"/>
                <w:szCs w:val="18"/>
                <w:highlight w:val="white"/>
              </w:rPr>
            </w:pPr>
            <w:r>
              <w:rPr>
                <w:b/>
                <w:color w:val="212121"/>
                <w:sz w:val="18"/>
                <w:szCs w:val="18"/>
                <w:highlight w:val="white"/>
              </w:rPr>
              <w:t>Weighted average</w:t>
            </w:r>
          </w:p>
        </w:tc>
        <w:tc>
          <w:tcPr>
            <w:tcW w:w="1020" w:type="dxa"/>
            <w:tcBorders>
              <w:top w:val="nil"/>
              <w:left w:val="nil"/>
              <w:bottom w:val="nil"/>
              <w:right w:val="nil"/>
            </w:tcBorders>
            <w:shd w:val="clear" w:color="auto" w:fill="F2F2F2"/>
            <w:tcMar>
              <w:top w:w="100" w:type="dxa"/>
              <w:left w:w="100" w:type="dxa"/>
              <w:bottom w:w="100" w:type="dxa"/>
              <w:right w:w="100" w:type="dxa"/>
            </w:tcMar>
          </w:tcPr>
          <w:p w:rsidR="009F4660" w:rsidRDefault="00A20B7B">
            <w:pPr>
              <w:jc w:val="center"/>
              <w:rPr>
                <w:color w:val="212121"/>
                <w:sz w:val="18"/>
                <w:szCs w:val="18"/>
                <w:highlight w:val="white"/>
              </w:rPr>
            </w:pPr>
            <w:r>
              <w:rPr>
                <w:color w:val="212121"/>
                <w:sz w:val="18"/>
                <w:szCs w:val="18"/>
                <w:highlight w:val="white"/>
              </w:rPr>
              <w:t>0.96</w:t>
            </w:r>
          </w:p>
        </w:tc>
        <w:tc>
          <w:tcPr>
            <w:tcW w:w="720" w:type="dxa"/>
            <w:tcBorders>
              <w:top w:val="nil"/>
              <w:left w:val="nil"/>
              <w:bottom w:val="nil"/>
              <w:right w:val="nil"/>
            </w:tcBorders>
            <w:shd w:val="clear" w:color="auto" w:fill="F2F2F2"/>
            <w:tcMar>
              <w:top w:w="100" w:type="dxa"/>
              <w:left w:w="100" w:type="dxa"/>
              <w:bottom w:w="100" w:type="dxa"/>
              <w:right w:w="100" w:type="dxa"/>
            </w:tcMar>
          </w:tcPr>
          <w:p w:rsidR="009F4660" w:rsidRDefault="00A20B7B">
            <w:pPr>
              <w:jc w:val="center"/>
              <w:rPr>
                <w:color w:val="212121"/>
                <w:sz w:val="18"/>
                <w:szCs w:val="18"/>
                <w:highlight w:val="white"/>
              </w:rPr>
            </w:pPr>
            <w:r>
              <w:rPr>
                <w:color w:val="212121"/>
                <w:sz w:val="18"/>
                <w:szCs w:val="18"/>
                <w:highlight w:val="white"/>
              </w:rPr>
              <w:t>0.96</w:t>
            </w:r>
          </w:p>
        </w:tc>
        <w:tc>
          <w:tcPr>
            <w:tcW w:w="915" w:type="dxa"/>
            <w:tcBorders>
              <w:top w:val="nil"/>
              <w:left w:val="nil"/>
              <w:bottom w:val="nil"/>
              <w:right w:val="nil"/>
            </w:tcBorders>
            <w:shd w:val="clear" w:color="auto" w:fill="F2F2F2"/>
            <w:tcMar>
              <w:top w:w="100" w:type="dxa"/>
              <w:left w:w="100" w:type="dxa"/>
              <w:bottom w:w="100" w:type="dxa"/>
              <w:right w:w="100" w:type="dxa"/>
            </w:tcMar>
          </w:tcPr>
          <w:p w:rsidR="009F4660" w:rsidRDefault="00A20B7B">
            <w:pPr>
              <w:jc w:val="center"/>
              <w:rPr>
                <w:color w:val="212121"/>
                <w:sz w:val="18"/>
                <w:szCs w:val="18"/>
                <w:highlight w:val="white"/>
              </w:rPr>
            </w:pPr>
            <w:r>
              <w:rPr>
                <w:color w:val="212121"/>
                <w:sz w:val="18"/>
                <w:szCs w:val="18"/>
                <w:highlight w:val="white"/>
              </w:rPr>
              <w:t>0.96</w:t>
            </w:r>
          </w:p>
        </w:tc>
        <w:tc>
          <w:tcPr>
            <w:tcW w:w="915" w:type="dxa"/>
            <w:tcBorders>
              <w:top w:val="nil"/>
              <w:left w:val="nil"/>
              <w:bottom w:val="nil"/>
              <w:right w:val="nil"/>
            </w:tcBorders>
            <w:shd w:val="clear" w:color="auto" w:fill="F2F2F2"/>
            <w:tcMar>
              <w:top w:w="100" w:type="dxa"/>
              <w:left w:w="100" w:type="dxa"/>
              <w:bottom w:w="100" w:type="dxa"/>
              <w:right w:w="100" w:type="dxa"/>
            </w:tcMar>
          </w:tcPr>
          <w:p w:rsidR="009F4660" w:rsidRDefault="00A20B7B">
            <w:pPr>
              <w:jc w:val="center"/>
              <w:rPr>
                <w:color w:val="212121"/>
                <w:sz w:val="18"/>
                <w:szCs w:val="18"/>
                <w:highlight w:val="white"/>
              </w:rPr>
            </w:pPr>
            <w:r>
              <w:rPr>
                <w:color w:val="212121"/>
                <w:sz w:val="18"/>
                <w:szCs w:val="18"/>
                <w:highlight w:val="white"/>
              </w:rPr>
              <w:t>5512</w:t>
            </w:r>
          </w:p>
        </w:tc>
      </w:tr>
    </w:tbl>
    <w:p w:rsidR="009F4660" w:rsidRDefault="009F4660">
      <w:pPr>
        <w:spacing w:after="160" w:line="240" w:lineRule="auto"/>
        <w:jc w:val="both"/>
        <w:rPr>
          <w:b/>
          <w:highlight w:val="white"/>
        </w:rPr>
      </w:pPr>
    </w:p>
    <w:p w:rsidR="009F4660" w:rsidRDefault="00A20B7B">
      <w:pPr>
        <w:spacing w:after="160" w:line="240" w:lineRule="auto"/>
        <w:jc w:val="both"/>
        <w:rPr>
          <w:highlight w:val="white"/>
        </w:rPr>
      </w:pPr>
      <w:r>
        <w:rPr>
          <w:highlight w:val="white"/>
        </w:rPr>
        <w:t>Table. 1: Classification report for the final model on Test data.</w:t>
      </w:r>
    </w:p>
    <w:p w:rsidR="009F4660" w:rsidRDefault="009F4660">
      <w:pPr>
        <w:spacing w:after="160" w:line="240" w:lineRule="auto"/>
        <w:jc w:val="both"/>
        <w:rPr>
          <w:rFonts w:ascii="Courier New" w:eastAsia="Courier New" w:hAnsi="Courier New" w:cs="Courier New"/>
          <w:color w:val="212121"/>
          <w:sz w:val="21"/>
          <w:szCs w:val="21"/>
          <w:highlight w:val="white"/>
        </w:rPr>
      </w:pPr>
    </w:p>
    <w:tbl>
      <w:tblPr>
        <w:tblStyle w:val="a0"/>
        <w:tblW w:w="46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620"/>
        <w:gridCol w:w="1485"/>
      </w:tblGrid>
      <w:tr w:rsidR="009F4660">
        <w:trPr>
          <w:trHeight w:val="400"/>
        </w:trPr>
        <w:tc>
          <w:tcPr>
            <w:tcW w:w="1560" w:type="dxa"/>
            <w:shd w:val="clear" w:color="auto" w:fill="auto"/>
            <w:tcMar>
              <w:top w:w="100" w:type="dxa"/>
              <w:left w:w="100" w:type="dxa"/>
              <w:bottom w:w="100" w:type="dxa"/>
              <w:right w:w="100" w:type="dxa"/>
            </w:tcMar>
          </w:tcPr>
          <w:p w:rsidR="009F4660" w:rsidRDefault="009F4660">
            <w:pPr>
              <w:widowControl w:val="0"/>
              <w:pBdr>
                <w:top w:val="nil"/>
                <w:left w:val="nil"/>
                <w:bottom w:val="nil"/>
                <w:right w:val="nil"/>
                <w:between w:val="nil"/>
              </w:pBdr>
              <w:spacing w:line="240" w:lineRule="auto"/>
              <w:rPr>
                <w:color w:val="212121"/>
                <w:highlight w:val="white"/>
              </w:rPr>
            </w:pPr>
          </w:p>
        </w:tc>
        <w:tc>
          <w:tcPr>
            <w:tcW w:w="3105" w:type="dxa"/>
            <w:gridSpan w:val="2"/>
            <w:shd w:val="clear" w:color="auto" w:fill="auto"/>
            <w:tcMar>
              <w:top w:w="100" w:type="dxa"/>
              <w:left w:w="100" w:type="dxa"/>
              <w:bottom w:w="100" w:type="dxa"/>
              <w:right w:w="100" w:type="dxa"/>
            </w:tcMar>
          </w:tcPr>
          <w:p w:rsidR="009F4660" w:rsidRDefault="00A20B7B">
            <w:pPr>
              <w:widowControl w:val="0"/>
              <w:pBdr>
                <w:top w:val="nil"/>
                <w:left w:val="nil"/>
                <w:bottom w:val="nil"/>
                <w:right w:val="nil"/>
                <w:between w:val="nil"/>
              </w:pBdr>
              <w:spacing w:line="240" w:lineRule="auto"/>
              <w:jc w:val="center"/>
              <w:rPr>
                <w:b/>
                <w:color w:val="212121"/>
                <w:highlight w:val="white"/>
              </w:rPr>
            </w:pPr>
            <w:r>
              <w:rPr>
                <w:b/>
                <w:color w:val="212121"/>
                <w:highlight w:val="white"/>
              </w:rPr>
              <w:t>Predicted</w:t>
            </w:r>
          </w:p>
        </w:tc>
      </w:tr>
      <w:tr w:rsidR="009F4660">
        <w:tc>
          <w:tcPr>
            <w:tcW w:w="1560" w:type="dxa"/>
            <w:shd w:val="clear" w:color="auto" w:fill="auto"/>
            <w:tcMar>
              <w:top w:w="100" w:type="dxa"/>
              <w:left w:w="100" w:type="dxa"/>
              <w:bottom w:w="100" w:type="dxa"/>
              <w:right w:w="100" w:type="dxa"/>
            </w:tcMar>
          </w:tcPr>
          <w:p w:rsidR="009F4660" w:rsidRDefault="00A20B7B">
            <w:pPr>
              <w:widowControl w:val="0"/>
              <w:pBdr>
                <w:top w:val="nil"/>
                <w:left w:val="nil"/>
                <w:bottom w:val="nil"/>
                <w:right w:val="nil"/>
                <w:between w:val="nil"/>
              </w:pBdr>
              <w:spacing w:line="240" w:lineRule="auto"/>
              <w:rPr>
                <w:b/>
                <w:color w:val="212121"/>
                <w:highlight w:val="white"/>
              </w:rPr>
            </w:pPr>
            <w:r>
              <w:rPr>
                <w:b/>
                <w:color w:val="212121"/>
                <w:highlight w:val="white"/>
              </w:rPr>
              <w:t>Actual</w:t>
            </w:r>
          </w:p>
        </w:tc>
        <w:tc>
          <w:tcPr>
            <w:tcW w:w="1620" w:type="dxa"/>
            <w:shd w:val="clear" w:color="auto" w:fill="auto"/>
            <w:tcMar>
              <w:top w:w="100" w:type="dxa"/>
              <w:left w:w="100" w:type="dxa"/>
              <w:bottom w:w="100" w:type="dxa"/>
              <w:right w:w="100" w:type="dxa"/>
            </w:tcMar>
          </w:tcPr>
          <w:p w:rsidR="009F4660" w:rsidRDefault="00A20B7B">
            <w:pPr>
              <w:widowControl w:val="0"/>
              <w:pBdr>
                <w:top w:val="nil"/>
                <w:left w:val="nil"/>
                <w:bottom w:val="nil"/>
                <w:right w:val="nil"/>
                <w:between w:val="nil"/>
              </w:pBdr>
              <w:spacing w:line="240" w:lineRule="auto"/>
              <w:rPr>
                <w:color w:val="212121"/>
                <w:highlight w:val="white"/>
              </w:rPr>
            </w:pPr>
            <w:r>
              <w:rPr>
                <w:color w:val="212121"/>
                <w:highlight w:val="white"/>
              </w:rPr>
              <w:t>Parasitized</w:t>
            </w:r>
          </w:p>
        </w:tc>
        <w:tc>
          <w:tcPr>
            <w:tcW w:w="1485" w:type="dxa"/>
            <w:shd w:val="clear" w:color="auto" w:fill="auto"/>
            <w:tcMar>
              <w:top w:w="100" w:type="dxa"/>
              <w:left w:w="100" w:type="dxa"/>
              <w:bottom w:w="100" w:type="dxa"/>
              <w:right w:w="100" w:type="dxa"/>
            </w:tcMar>
          </w:tcPr>
          <w:p w:rsidR="009F4660" w:rsidRDefault="00A20B7B">
            <w:pPr>
              <w:widowControl w:val="0"/>
              <w:pBdr>
                <w:top w:val="nil"/>
                <w:left w:val="nil"/>
                <w:bottom w:val="nil"/>
                <w:right w:val="nil"/>
                <w:between w:val="nil"/>
              </w:pBdr>
              <w:spacing w:line="240" w:lineRule="auto"/>
              <w:rPr>
                <w:color w:val="212121"/>
                <w:highlight w:val="white"/>
              </w:rPr>
            </w:pPr>
            <w:r>
              <w:rPr>
                <w:color w:val="212121"/>
                <w:highlight w:val="white"/>
              </w:rPr>
              <w:t>Uninfected</w:t>
            </w:r>
          </w:p>
        </w:tc>
      </w:tr>
      <w:tr w:rsidR="009F4660">
        <w:tc>
          <w:tcPr>
            <w:tcW w:w="1560" w:type="dxa"/>
            <w:shd w:val="clear" w:color="auto" w:fill="auto"/>
            <w:tcMar>
              <w:top w:w="100" w:type="dxa"/>
              <w:left w:w="100" w:type="dxa"/>
              <w:bottom w:w="100" w:type="dxa"/>
              <w:right w:w="100" w:type="dxa"/>
            </w:tcMar>
          </w:tcPr>
          <w:p w:rsidR="009F4660" w:rsidRDefault="00A20B7B">
            <w:pPr>
              <w:widowControl w:val="0"/>
              <w:pBdr>
                <w:top w:val="nil"/>
                <w:left w:val="nil"/>
                <w:bottom w:val="nil"/>
                <w:right w:val="nil"/>
                <w:between w:val="nil"/>
              </w:pBdr>
              <w:spacing w:line="240" w:lineRule="auto"/>
              <w:rPr>
                <w:color w:val="212121"/>
                <w:highlight w:val="white"/>
              </w:rPr>
            </w:pPr>
            <w:r>
              <w:rPr>
                <w:color w:val="212121"/>
                <w:highlight w:val="white"/>
              </w:rPr>
              <w:t>Parasitized</w:t>
            </w:r>
          </w:p>
        </w:tc>
        <w:tc>
          <w:tcPr>
            <w:tcW w:w="1620" w:type="dxa"/>
            <w:shd w:val="clear" w:color="auto" w:fill="auto"/>
            <w:tcMar>
              <w:top w:w="100" w:type="dxa"/>
              <w:left w:w="100" w:type="dxa"/>
              <w:bottom w:w="100" w:type="dxa"/>
              <w:right w:w="100" w:type="dxa"/>
            </w:tcMar>
          </w:tcPr>
          <w:p w:rsidR="009F4660" w:rsidRDefault="00A20B7B">
            <w:pPr>
              <w:widowControl w:val="0"/>
              <w:pBdr>
                <w:top w:val="nil"/>
                <w:left w:val="nil"/>
                <w:bottom w:val="nil"/>
                <w:right w:val="nil"/>
                <w:between w:val="nil"/>
              </w:pBdr>
              <w:spacing w:line="240" w:lineRule="auto"/>
              <w:rPr>
                <w:color w:val="212121"/>
                <w:highlight w:val="white"/>
              </w:rPr>
            </w:pPr>
            <w:r>
              <w:rPr>
                <w:color w:val="212121"/>
                <w:highlight w:val="white"/>
              </w:rPr>
              <w:t>2588</w:t>
            </w:r>
          </w:p>
        </w:tc>
        <w:tc>
          <w:tcPr>
            <w:tcW w:w="1485" w:type="dxa"/>
            <w:shd w:val="clear" w:color="auto" w:fill="auto"/>
            <w:tcMar>
              <w:top w:w="100" w:type="dxa"/>
              <w:left w:w="100" w:type="dxa"/>
              <w:bottom w:w="100" w:type="dxa"/>
              <w:right w:w="100" w:type="dxa"/>
            </w:tcMar>
          </w:tcPr>
          <w:p w:rsidR="009F4660" w:rsidRDefault="00A20B7B">
            <w:pPr>
              <w:widowControl w:val="0"/>
              <w:pBdr>
                <w:top w:val="nil"/>
                <w:left w:val="nil"/>
                <w:bottom w:val="nil"/>
                <w:right w:val="nil"/>
                <w:between w:val="nil"/>
              </w:pBdr>
              <w:spacing w:line="240" w:lineRule="auto"/>
              <w:rPr>
                <w:color w:val="212121"/>
                <w:highlight w:val="white"/>
              </w:rPr>
            </w:pPr>
            <w:r>
              <w:rPr>
                <w:color w:val="212121"/>
                <w:highlight w:val="white"/>
              </w:rPr>
              <w:t>179</w:t>
            </w:r>
          </w:p>
        </w:tc>
      </w:tr>
      <w:tr w:rsidR="009F4660">
        <w:tc>
          <w:tcPr>
            <w:tcW w:w="1560" w:type="dxa"/>
            <w:shd w:val="clear" w:color="auto" w:fill="auto"/>
            <w:tcMar>
              <w:top w:w="100" w:type="dxa"/>
              <w:left w:w="100" w:type="dxa"/>
              <w:bottom w:w="100" w:type="dxa"/>
              <w:right w:w="100" w:type="dxa"/>
            </w:tcMar>
          </w:tcPr>
          <w:p w:rsidR="009F4660" w:rsidRDefault="00A20B7B">
            <w:pPr>
              <w:widowControl w:val="0"/>
              <w:pBdr>
                <w:top w:val="nil"/>
                <w:left w:val="nil"/>
                <w:bottom w:val="nil"/>
                <w:right w:val="nil"/>
                <w:between w:val="nil"/>
              </w:pBdr>
              <w:spacing w:line="240" w:lineRule="auto"/>
              <w:rPr>
                <w:color w:val="212121"/>
                <w:highlight w:val="white"/>
              </w:rPr>
            </w:pPr>
            <w:r>
              <w:rPr>
                <w:color w:val="212121"/>
                <w:highlight w:val="white"/>
              </w:rPr>
              <w:t>Uninfected</w:t>
            </w:r>
          </w:p>
        </w:tc>
        <w:tc>
          <w:tcPr>
            <w:tcW w:w="1620" w:type="dxa"/>
            <w:shd w:val="clear" w:color="auto" w:fill="auto"/>
            <w:tcMar>
              <w:top w:w="100" w:type="dxa"/>
              <w:left w:w="100" w:type="dxa"/>
              <w:bottom w:w="100" w:type="dxa"/>
              <w:right w:w="100" w:type="dxa"/>
            </w:tcMar>
          </w:tcPr>
          <w:p w:rsidR="009F4660" w:rsidRDefault="00A20B7B">
            <w:pPr>
              <w:widowControl w:val="0"/>
              <w:pBdr>
                <w:top w:val="nil"/>
                <w:left w:val="nil"/>
                <w:bottom w:val="nil"/>
                <w:right w:val="nil"/>
                <w:between w:val="nil"/>
              </w:pBdr>
              <w:spacing w:line="240" w:lineRule="auto"/>
              <w:rPr>
                <w:color w:val="212121"/>
                <w:highlight w:val="white"/>
              </w:rPr>
            </w:pPr>
            <w:r>
              <w:rPr>
                <w:color w:val="212121"/>
                <w:highlight w:val="white"/>
              </w:rPr>
              <w:t>55</w:t>
            </w:r>
          </w:p>
        </w:tc>
        <w:tc>
          <w:tcPr>
            <w:tcW w:w="1485" w:type="dxa"/>
            <w:shd w:val="clear" w:color="auto" w:fill="auto"/>
            <w:tcMar>
              <w:top w:w="100" w:type="dxa"/>
              <w:left w:w="100" w:type="dxa"/>
              <w:bottom w:w="100" w:type="dxa"/>
              <w:right w:w="100" w:type="dxa"/>
            </w:tcMar>
          </w:tcPr>
          <w:p w:rsidR="009F4660" w:rsidRDefault="00A20B7B">
            <w:pPr>
              <w:widowControl w:val="0"/>
              <w:pBdr>
                <w:top w:val="nil"/>
                <w:left w:val="nil"/>
                <w:bottom w:val="nil"/>
                <w:right w:val="nil"/>
                <w:between w:val="nil"/>
              </w:pBdr>
              <w:spacing w:line="240" w:lineRule="auto"/>
              <w:rPr>
                <w:color w:val="212121"/>
                <w:highlight w:val="white"/>
              </w:rPr>
            </w:pPr>
            <w:r>
              <w:rPr>
                <w:color w:val="212121"/>
                <w:highlight w:val="white"/>
              </w:rPr>
              <w:t>2690</w:t>
            </w:r>
          </w:p>
        </w:tc>
      </w:tr>
    </w:tbl>
    <w:p w:rsidR="009F4660" w:rsidRDefault="009F4660">
      <w:pPr>
        <w:spacing w:after="160" w:line="240" w:lineRule="auto"/>
        <w:jc w:val="both"/>
        <w:rPr>
          <w:rFonts w:ascii="Courier New" w:eastAsia="Courier New" w:hAnsi="Courier New" w:cs="Courier New"/>
          <w:color w:val="212121"/>
          <w:sz w:val="21"/>
          <w:szCs w:val="21"/>
          <w:highlight w:val="white"/>
        </w:rPr>
      </w:pPr>
    </w:p>
    <w:p w:rsidR="009F4660" w:rsidRDefault="00A20B7B">
      <w:pPr>
        <w:spacing w:after="160" w:line="240" w:lineRule="auto"/>
        <w:jc w:val="both"/>
        <w:rPr>
          <w:highlight w:val="white"/>
        </w:rPr>
      </w:pPr>
      <w:r>
        <w:rPr>
          <w:highlight w:val="white"/>
        </w:rPr>
        <w:t>Table 2: Confusion Matrix for the final model on Test data.</w:t>
      </w:r>
    </w:p>
    <w:p w:rsidR="009F4660" w:rsidRDefault="00A20B7B">
      <w:pPr>
        <w:spacing w:after="160" w:line="240" w:lineRule="auto"/>
        <w:jc w:val="both"/>
        <w:rPr>
          <w:b/>
          <w:highlight w:val="white"/>
        </w:rPr>
      </w:pPr>
      <w:r>
        <w:rPr>
          <w:b/>
          <w:highlight w:val="white"/>
        </w:rPr>
        <w:t>VISUALIZATIONS</w:t>
      </w:r>
    </w:p>
    <w:p w:rsidR="009F4660" w:rsidRDefault="009F4660">
      <w:pPr>
        <w:spacing w:after="160" w:line="240" w:lineRule="auto"/>
        <w:jc w:val="both"/>
        <w:rPr>
          <w:b/>
          <w:highlight w:val="white"/>
        </w:rPr>
      </w:pPr>
    </w:p>
    <w:p w:rsidR="009F4660" w:rsidRDefault="00A20B7B">
      <w:pPr>
        <w:spacing w:after="160" w:line="240" w:lineRule="auto"/>
        <w:jc w:val="both"/>
        <w:rPr>
          <w:b/>
          <w:highlight w:val="white"/>
        </w:rPr>
      </w:pPr>
      <w:r>
        <w:rPr>
          <w:b/>
          <w:noProof/>
          <w:highlight w:val="white"/>
        </w:rPr>
        <w:drawing>
          <wp:inline distT="114300" distB="114300" distL="114300" distR="114300">
            <wp:extent cx="2767013" cy="2065652"/>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2767013" cy="2065652"/>
                    </a:xfrm>
                    <a:prstGeom prst="rect">
                      <a:avLst/>
                    </a:prstGeom>
                    <a:ln/>
                  </pic:spPr>
                </pic:pic>
              </a:graphicData>
            </a:graphic>
          </wp:inline>
        </w:drawing>
      </w:r>
    </w:p>
    <w:p w:rsidR="009F4660" w:rsidRDefault="00A20B7B">
      <w:pPr>
        <w:spacing w:after="160" w:line="240" w:lineRule="auto"/>
        <w:jc w:val="both"/>
        <w:rPr>
          <w:b/>
          <w:highlight w:val="white"/>
        </w:rPr>
      </w:pPr>
      <w:r>
        <w:rPr>
          <w:highlight w:val="white"/>
        </w:rPr>
        <w:t>Fig. 10: Sample of Predictions Generated</w:t>
      </w:r>
    </w:p>
    <w:p w:rsidR="009F4660" w:rsidRDefault="00A20B7B">
      <w:pPr>
        <w:spacing w:after="160" w:line="240" w:lineRule="auto"/>
        <w:jc w:val="both"/>
        <w:rPr>
          <w:b/>
          <w:highlight w:val="white"/>
        </w:rPr>
      </w:pPr>
      <w:r>
        <w:rPr>
          <w:b/>
          <w:highlight w:val="white"/>
        </w:rPr>
        <w:lastRenderedPageBreak/>
        <w:t>CONCLUSIONS</w:t>
      </w:r>
    </w:p>
    <w:p w:rsidR="009F4660" w:rsidRDefault="00A20B7B">
      <w:pPr>
        <w:spacing w:after="160" w:line="240" w:lineRule="auto"/>
        <w:jc w:val="both"/>
        <w:rPr>
          <w:highlight w:val="white"/>
        </w:rPr>
      </w:pPr>
      <w:r>
        <w:rPr>
          <w:highlight w:val="white"/>
        </w:rPr>
        <w:t xml:space="preserve">The model selected for the supervised learning task of classification of blood smear images was a stacked CNN model with two layers of convolutions and one pooling architecture. After tuning this model by changing various hyperparameters, we were able to classify the test data with 95.7% accuracy. This model is </w:t>
      </w:r>
      <w:proofErr w:type="gramStart"/>
      <w:r>
        <w:rPr>
          <w:highlight w:val="white"/>
        </w:rPr>
        <w:t>pretty robust</w:t>
      </w:r>
      <w:proofErr w:type="gramEnd"/>
      <w:r>
        <w:rPr>
          <w:highlight w:val="white"/>
        </w:rPr>
        <w:t xml:space="preserve"> with respect to augmented data because of training data automatically using the augmented images. We were also able to incorporate dropout layers, normalization and momentum for regularizing effects. The sensitivity of the model to predicting Parasitized images was 94% which shows the model can be used for effective scanning and elimination of Uninfected images/samples for building any automated application even if it is not directly used for diagnosis.</w:t>
      </w:r>
    </w:p>
    <w:p w:rsidR="009F4660" w:rsidRDefault="00A20B7B">
      <w:pPr>
        <w:spacing w:after="160" w:line="240" w:lineRule="auto"/>
        <w:jc w:val="both"/>
        <w:rPr>
          <w:b/>
          <w:highlight w:val="white"/>
        </w:rPr>
      </w:pPr>
      <w:r>
        <w:rPr>
          <w:b/>
          <w:highlight w:val="white"/>
        </w:rPr>
        <w:t>ADDITIONAL WORK AND SCOPE</w:t>
      </w:r>
    </w:p>
    <w:p w:rsidR="009F4660" w:rsidRDefault="00A20B7B">
      <w:pPr>
        <w:spacing w:after="160" w:line="240" w:lineRule="auto"/>
        <w:jc w:val="both"/>
        <w:rPr>
          <w:highlight w:val="white"/>
        </w:rPr>
      </w:pPr>
      <w:r>
        <w:rPr>
          <w:highlight w:val="white"/>
        </w:rPr>
        <w:t xml:space="preserve">This model in comparison to state of the art pretrained models such as </w:t>
      </w:r>
      <w:proofErr w:type="spellStart"/>
      <w:r>
        <w:rPr>
          <w:highlight w:val="white"/>
        </w:rPr>
        <w:t>ResNet</w:t>
      </w:r>
      <w:proofErr w:type="spellEnd"/>
      <w:r>
        <w:rPr>
          <w:highlight w:val="white"/>
        </w:rPr>
        <w:t xml:space="preserve"> 50 and other custom models for the dataset proved to be highly competitive and can be further improved with using Grid search mechanisms such as </w:t>
      </w:r>
      <w:proofErr w:type="spellStart"/>
      <w:r>
        <w:rPr>
          <w:highlight w:val="white"/>
        </w:rPr>
        <w:t>hyperopt</w:t>
      </w:r>
      <w:proofErr w:type="spellEnd"/>
      <w:r>
        <w:rPr>
          <w:highlight w:val="white"/>
        </w:rPr>
        <w:t xml:space="preserve"> and </w:t>
      </w:r>
      <w:proofErr w:type="spellStart"/>
      <w:r>
        <w:rPr>
          <w:highlight w:val="white"/>
        </w:rPr>
        <w:t>talos</w:t>
      </w:r>
      <w:proofErr w:type="spellEnd"/>
      <w:r>
        <w:rPr>
          <w:highlight w:val="white"/>
        </w:rPr>
        <w:t>. Limitations in GPU available and project duration didn’t allow us to use such mechanisms for more structured tuning.</w:t>
      </w:r>
    </w:p>
    <w:p w:rsidR="009F4660" w:rsidRDefault="00A20B7B">
      <w:pPr>
        <w:spacing w:after="160" w:line="240" w:lineRule="auto"/>
        <w:jc w:val="both"/>
        <w:rPr>
          <w:highlight w:val="white"/>
        </w:rPr>
      </w:pPr>
      <w:r>
        <w:rPr>
          <w:highlight w:val="white"/>
        </w:rPr>
        <w:t xml:space="preserve">We attempt to reduce the size of the dataset and the computation time by implementing </w:t>
      </w:r>
      <w:proofErr w:type="gramStart"/>
      <w:r>
        <w:rPr>
          <w:highlight w:val="white"/>
        </w:rPr>
        <w:t>an</w:t>
      </w:r>
      <w:proofErr w:type="gramEnd"/>
      <w:r>
        <w:rPr>
          <w:highlight w:val="white"/>
        </w:rPr>
        <w:t xml:space="preserve"> Convolutional Auto Encoder for feature learning and then using the encoded bottleneck layer as the input to a classification algorithm. This model however provided no real improvement over using a CNN directly for classification and was much slower in training than the supervised learning model. Also, the loss in information in this step would exacerbate the loss due to classification error, making worse assumptions than other models.</w:t>
      </w:r>
    </w:p>
    <w:p w:rsidR="009F4660" w:rsidRDefault="00A20B7B">
      <w:pPr>
        <w:spacing w:after="160" w:line="240" w:lineRule="auto"/>
        <w:jc w:val="both"/>
        <w:rPr>
          <w:highlight w:val="white"/>
        </w:rPr>
      </w:pPr>
      <w:r>
        <w:rPr>
          <w:highlight w:val="white"/>
        </w:rPr>
        <w:t xml:space="preserve">However, we were able to successfully train a denoising autoencoder for this dataset, i.e. a noisy image input can be successfully denoised and the original image </w:t>
      </w:r>
      <w:r>
        <w:rPr>
          <w:highlight w:val="white"/>
        </w:rPr>
        <w:t>reconstructed using an autoencoder. The model employed 3 Conv-Pool encoding layers and three Conv-</w:t>
      </w:r>
      <w:proofErr w:type="spellStart"/>
      <w:r>
        <w:rPr>
          <w:highlight w:val="white"/>
        </w:rPr>
        <w:t>Upsampling</w:t>
      </w:r>
      <w:proofErr w:type="spellEnd"/>
      <w:r>
        <w:rPr>
          <w:highlight w:val="white"/>
        </w:rPr>
        <w:t xml:space="preserve"> decoding layers during training. The activation function for the hidden layers was as earlier, ‘</w:t>
      </w:r>
      <w:proofErr w:type="spellStart"/>
      <w:r>
        <w:rPr>
          <w:highlight w:val="white"/>
        </w:rPr>
        <w:t>ReLU</w:t>
      </w:r>
      <w:proofErr w:type="spellEnd"/>
      <w:r>
        <w:rPr>
          <w:highlight w:val="white"/>
        </w:rPr>
        <w:t>’ and output function was ‘sigmoid’. This was trained on mean squared error loss and optimized using RMS Prop.</w:t>
      </w:r>
    </w:p>
    <w:p w:rsidR="009F4660" w:rsidRDefault="00A20B7B">
      <w:pPr>
        <w:spacing w:after="160" w:line="240" w:lineRule="auto"/>
        <w:jc w:val="both"/>
        <w:rPr>
          <w:highlight w:val="white"/>
        </w:rPr>
      </w:pPr>
      <w:r>
        <w:rPr>
          <w:noProof/>
          <w:highlight w:val="white"/>
        </w:rPr>
        <w:drawing>
          <wp:inline distT="114300" distB="114300" distL="114300" distR="114300">
            <wp:extent cx="2743200" cy="14478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2743200" cy="1447800"/>
                    </a:xfrm>
                    <a:prstGeom prst="rect">
                      <a:avLst/>
                    </a:prstGeom>
                    <a:ln/>
                  </pic:spPr>
                </pic:pic>
              </a:graphicData>
            </a:graphic>
          </wp:inline>
        </w:drawing>
      </w:r>
    </w:p>
    <w:p w:rsidR="009F4660" w:rsidRDefault="00A20B7B">
      <w:pPr>
        <w:spacing w:after="160" w:line="240" w:lineRule="auto"/>
        <w:jc w:val="both"/>
        <w:rPr>
          <w:highlight w:val="white"/>
        </w:rPr>
      </w:pPr>
      <w:r>
        <w:rPr>
          <w:noProof/>
          <w:highlight w:val="white"/>
        </w:rPr>
        <w:drawing>
          <wp:inline distT="114300" distB="114300" distL="114300" distR="114300">
            <wp:extent cx="2743200" cy="17272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2743200" cy="1727200"/>
                    </a:xfrm>
                    <a:prstGeom prst="rect">
                      <a:avLst/>
                    </a:prstGeom>
                    <a:ln/>
                  </pic:spPr>
                </pic:pic>
              </a:graphicData>
            </a:graphic>
          </wp:inline>
        </w:drawing>
      </w:r>
    </w:p>
    <w:p w:rsidR="009F4660" w:rsidRDefault="00A20B7B">
      <w:pPr>
        <w:spacing w:after="160" w:line="240" w:lineRule="auto"/>
        <w:jc w:val="both"/>
        <w:rPr>
          <w:highlight w:val="white"/>
        </w:rPr>
      </w:pPr>
      <w:r>
        <w:rPr>
          <w:highlight w:val="white"/>
        </w:rPr>
        <w:t>We hope to improve our methodology here or to use it for tasks where feature extraction using a CAE would be a more relevant path to take.</w:t>
      </w:r>
    </w:p>
    <w:p w:rsidR="009F4660" w:rsidRDefault="00A20B7B">
      <w:pPr>
        <w:spacing w:after="160" w:line="240" w:lineRule="auto"/>
        <w:jc w:val="both"/>
        <w:rPr>
          <w:b/>
          <w:highlight w:val="white"/>
        </w:rPr>
      </w:pPr>
      <w:r>
        <w:rPr>
          <w:b/>
          <w:highlight w:val="white"/>
        </w:rPr>
        <w:t>REFERENCES</w:t>
      </w:r>
    </w:p>
    <w:p w:rsidR="009F4660" w:rsidRDefault="009F4660">
      <w:pPr>
        <w:spacing w:after="160" w:line="240" w:lineRule="auto"/>
        <w:jc w:val="both"/>
        <w:rPr>
          <w:b/>
          <w:highlight w:val="white"/>
        </w:rPr>
      </w:pPr>
    </w:p>
    <w:p w:rsidR="009F4660" w:rsidRDefault="00A20B7B">
      <w:pPr>
        <w:numPr>
          <w:ilvl w:val="0"/>
          <w:numId w:val="1"/>
        </w:numPr>
        <w:spacing w:line="240" w:lineRule="auto"/>
        <w:jc w:val="both"/>
        <w:rPr>
          <w:sz w:val="18"/>
          <w:szCs w:val="18"/>
          <w:highlight w:val="white"/>
        </w:rPr>
      </w:pPr>
      <w:r>
        <w:rPr>
          <w:sz w:val="18"/>
          <w:szCs w:val="18"/>
          <w:highlight w:val="white"/>
        </w:rPr>
        <w:t xml:space="preserve">World malaria report 2017. Geneva: World Health Organization; 2017. </w:t>
      </w:r>
      <w:proofErr w:type="spellStart"/>
      <w:r>
        <w:rPr>
          <w:sz w:val="18"/>
          <w:szCs w:val="18"/>
          <w:highlight w:val="white"/>
        </w:rPr>
        <w:t>Licence</w:t>
      </w:r>
      <w:proofErr w:type="spellEnd"/>
      <w:r>
        <w:rPr>
          <w:sz w:val="18"/>
          <w:szCs w:val="18"/>
          <w:highlight w:val="white"/>
        </w:rPr>
        <w:t>: CC BY-NC-SA 3.0 IGO.</w:t>
      </w:r>
    </w:p>
    <w:p w:rsidR="009F4660" w:rsidRDefault="00A20B7B">
      <w:pPr>
        <w:numPr>
          <w:ilvl w:val="0"/>
          <w:numId w:val="1"/>
        </w:numPr>
        <w:spacing w:line="240" w:lineRule="auto"/>
        <w:jc w:val="both"/>
        <w:rPr>
          <w:sz w:val="18"/>
          <w:szCs w:val="18"/>
          <w:highlight w:val="white"/>
        </w:rPr>
      </w:pPr>
      <w:r>
        <w:rPr>
          <w:sz w:val="18"/>
          <w:szCs w:val="18"/>
          <w:highlight w:val="white"/>
        </w:rPr>
        <w:t xml:space="preserve">D. </w:t>
      </w:r>
      <w:proofErr w:type="spellStart"/>
      <w:r>
        <w:rPr>
          <w:sz w:val="18"/>
          <w:szCs w:val="18"/>
          <w:highlight w:val="white"/>
        </w:rPr>
        <w:t>Bibin</w:t>
      </w:r>
      <w:proofErr w:type="spellEnd"/>
      <w:r>
        <w:rPr>
          <w:sz w:val="18"/>
          <w:szCs w:val="18"/>
          <w:highlight w:val="white"/>
        </w:rPr>
        <w:t xml:space="preserve"> et al.: Malaria Parasite Detection </w:t>
      </w:r>
      <w:proofErr w:type="gramStart"/>
      <w:r>
        <w:rPr>
          <w:sz w:val="18"/>
          <w:szCs w:val="18"/>
          <w:highlight w:val="white"/>
        </w:rPr>
        <w:t>From</w:t>
      </w:r>
      <w:proofErr w:type="gramEnd"/>
      <w:r>
        <w:rPr>
          <w:sz w:val="18"/>
          <w:szCs w:val="18"/>
          <w:highlight w:val="white"/>
        </w:rPr>
        <w:t xml:space="preserve"> Peripheral Blood Smear Images Using DBN </w:t>
      </w:r>
    </w:p>
    <w:p w:rsidR="009F4660" w:rsidRDefault="00A20B7B">
      <w:pPr>
        <w:numPr>
          <w:ilvl w:val="0"/>
          <w:numId w:val="1"/>
        </w:numPr>
        <w:spacing w:line="240" w:lineRule="auto"/>
        <w:jc w:val="both"/>
        <w:rPr>
          <w:sz w:val="18"/>
          <w:szCs w:val="18"/>
          <w:highlight w:val="white"/>
        </w:rPr>
      </w:pPr>
      <w:r>
        <w:rPr>
          <w:sz w:val="18"/>
          <w:szCs w:val="18"/>
          <w:highlight w:val="white"/>
        </w:rPr>
        <w:t>Luis Rosado et al. Automated Detection of Malaria Parasites on Thick Blood Smears via Mobile Devices</w:t>
      </w:r>
    </w:p>
    <w:p w:rsidR="009F4660" w:rsidRDefault="00A20B7B">
      <w:pPr>
        <w:numPr>
          <w:ilvl w:val="0"/>
          <w:numId w:val="1"/>
        </w:numPr>
        <w:spacing w:line="240" w:lineRule="auto"/>
        <w:jc w:val="both"/>
        <w:rPr>
          <w:sz w:val="18"/>
          <w:szCs w:val="18"/>
          <w:highlight w:val="white"/>
        </w:rPr>
      </w:pPr>
      <w:proofErr w:type="spellStart"/>
      <w:r>
        <w:rPr>
          <w:sz w:val="18"/>
          <w:szCs w:val="18"/>
          <w:highlight w:val="white"/>
        </w:rPr>
        <w:t>Najeed</w:t>
      </w:r>
      <w:proofErr w:type="spellEnd"/>
      <w:r>
        <w:rPr>
          <w:sz w:val="18"/>
          <w:szCs w:val="18"/>
          <w:highlight w:val="white"/>
        </w:rPr>
        <w:t xml:space="preserve"> Ahmed Khan et al. Unsupervised identification of malaria parasites using computer vision</w:t>
      </w:r>
    </w:p>
    <w:p w:rsidR="009F4660" w:rsidRDefault="00A20B7B">
      <w:pPr>
        <w:numPr>
          <w:ilvl w:val="0"/>
          <w:numId w:val="1"/>
        </w:numPr>
        <w:spacing w:line="240" w:lineRule="auto"/>
        <w:jc w:val="both"/>
        <w:rPr>
          <w:sz w:val="18"/>
          <w:szCs w:val="18"/>
          <w:highlight w:val="white"/>
        </w:rPr>
      </w:pPr>
      <w:proofErr w:type="spellStart"/>
      <w:r>
        <w:rPr>
          <w:sz w:val="18"/>
          <w:szCs w:val="18"/>
          <w:highlight w:val="white"/>
        </w:rPr>
        <w:t>Rajaraman</w:t>
      </w:r>
      <w:proofErr w:type="spellEnd"/>
      <w:r>
        <w:rPr>
          <w:sz w:val="18"/>
          <w:szCs w:val="18"/>
          <w:highlight w:val="white"/>
        </w:rPr>
        <w:t xml:space="preserve"> S, </w:t>
      </w:r>
      <w:proofErr w:type="spellStart"/>
      <w:r>
        <w:rPr>
          <w:sz w:val="18"/>
          <w:szCs w:val="18"/>
          <w:highlight w:val="white"/>
        </w:rPr>
        <w:t>Antani</w:t>
      </w:r>
      <w:proofErr w:type="spellEnd"/>
      <w:r>
        <w:rPr>
          <w:sz w:val="18"/>
          <w:szCs w:val="18"/>
          <w:highlight w:val="white"/>
        </w:rPr>
        <w:t xml:space="preserve"> SK, </w:t>
      </w:r>
      <w:proofErr w:type="spellStart"/>
      <w:r>
        <w:rPr>
          <w:sz w:val="18"/>
          <w:szCs w:val="18"/>
          <w:highlight w:val="white"/>
        </w:rPr>
        <w:t>Poostchi</w:t>
      </w:r>
      <w:proofErr w:type="spellEnd"/>
      <w:r>
        <w:rPr>
          <w:sz w:val="18"/>
          <w:szCs w:val="18"/>
          <w:highlight w:val="white"/>
        </w:rPr>
        <w:t xml:space="preserve"> M, </w:t>
      </w:r>
      <w:proofErr w:type="spellStart"/>
      <w:r>
        <w:rPr>
          <w:sz w:val="18"/>
          <w:szCs w:val="18"/>
          <w:highlight w:val="white"/>
        </w:rPr>
        <w:t>Silamut</w:t>
      </w:r>
      <w:proofErr w:type="spellEnd"/>
      <w:r>
        <w:rPr>
          <w:sz w:val="18"/>
          <w:szCs w:val="18"/>
          <w:highlight w:val="white"/>
        </w:rPr>
        <w:t xml:space="preserve"> K, Hossain MA, Maude RJ, Jaeger S, </w:t>
      </w:r>
      <w:proofErr w:type="spellStart"/>
      <w:r>
        <w:rPr>
          <w:sz w:val="18"/>
          <w:szCs w:val="18"/>
          <w:highlight w:val="white"/>
        </w:rPr>
        <w:t>Thoma</w:t>
      </w:r>
      <w:proofErr w:type="spellEnd"/>
      <w:r>
        <w:rPr>
          <w:sz w:val="18"/>
          <w:szCs w:val="18"/>
          <w:highlight w:val="white"/>
        </w:rPr>
        <w:t xml:space="preserve"> GR. 2018. Pre-trained convolutional neural networks as feature extractors toward </w:t>
      </w:r>
      <w:r>
        <w:rPr>
          <w:sz w:val="18"/>
          <w:szCs w:val="18"/>
          <w:highlight w:val="white"/>
        </w:rPr>
        <w:lastRenderedPageBreak/>
        <w:t xml:space="preserve">improved malaria parasite detection in thin blood smear images. </w:t>
      </w:r>
      <w:proofErr w:type="spellStart"/>
      <w:r>
        <w:rPr>
          <w:sz w:val="18"/>
          <w:szCs w:val="18"/>
          <w:highlight w:val="white"/>
        </w:rPr>
        <w:t>PeerJ</w:t>
      </w:r>
      <w:proofErr w:type="spellEnd"/>
      <w:r>
        <w:rPr>
          <w:sz w:val="18"/>
          <w:szCs w:val="18"/>
          <w:highlight w:val="white"/>
        </w:rPr>
        <w:t xml:space="preserve"> </w:t>
      </w:r>
      <w:proofErr w:type="gramStart"/>
      <w:r>
        <w:rPr>
          <w:sz w:val="18"/>
          <w:szCs w:val="18"/>
          <w:highlight w:val="white"/>
        </w:rPr>
        <w:t>6:e</w:t>
      </w:r>
      <w:proofErr w:type="gramEnd"/>
      <w:r>
        <w:rPr>
          <w:sz w:val="18"/>
          <w:szCs w:val="18"/>
          <w:highlight w:val="white"/>
        </w:rPr>
        <w:t xml:space="preserve">4568 </w:t>
      </w:r>
      <w:hyperlink r:id="rId22">
        <w:r>
          <w:rPr>
            <w:color w:val="1155CC"/>
            <w:sz w:val="18"/>
            <w:szCs w:val="18"/>
            <w:highlight w:val="white"/>
            <w:u w:val="single"/>
          </w:rPr>
          <w:t>https://doi.org/10.7717/peerj.4568</w:t>
        </w:r>
      </w:hyperlink>
    </w:p>
    <w:p w:rsidR="009F4660" w:rsidRDefault="00A20B7B">
      <w:pPr>
        <w:numPr>
          <w:ilvl w:val="0"/>
          <w:numId w:val="1"/>
        </w:numPr>
        <w:spacing w:line="240" w:lineRule="auto"/>
        <w:jc w:val="both"/>
        <w:rPr>
          <w:sz w:val="18"/>
          <w:szCs w:val="18"/>
          <w:highlight w:val="white"/>
        </w:rPr>
      </w:pPr>
      <w:r>
        <w:rPr>
          <w:sz w:val="18"/>
          <w:szCs w:val="18"/>
          <w:highlight w:val="white"/>
        </w:rPr>
        <w:t>Nicholas Sia et al. A Literature Review on Histogram Equalization and Its Variations for Digital Image Enhancement, 2013</w:t>
      </w:r>
    </w:p>
    <w:p w:rsidR="009F4660" w:rsidRDefault="00A20B7B">
      <w:pPr>
        <w:numPr>
          <w:ilvl w:val="0"/>
          <w:numId w:val="1"/>
        </w:numPr>
        <w:spacing w:line="240" w:lineRule="auto"/>
        <w:jc w:val="both"/>
        <w:rPr>
          <w:sz w:val="18"/>
          <w:szCs w:val="18"/>
          <w:highlight w:val="white"/>
        </w:rPr>
      </w:pPr>
      <w:r>
        <w:rPr>
          <w:sz w:val="18"/>
          <w:szCs w:val="18"/>
          <w:highlight w:val="white"/>
        </w:rPr>
        <w:t xml:space="preserve">Nitish </w:t>
      </w:r>
      <w:proofErr w:type="gramStart"/>
      <w:r>
        <w:rPr>
          <w:sz w:val="18"/>
          <w:szCs w:val="18"/>
          <w:highlight w:val="white"/>
        </w:rPr>
        <w:t>Srivastava ,</w:t>
      </w:r>
      <w:proofErr w:type="gramEnd"/>
      <w:r>
        <w:rPr>
          <w:sz w:val="18"/>
          <w:szCs w:val="18"/>
          <w:highlight w:val="white"/>
        </w:rPr>
        <w:t xml:space="preserve"> Geoffrey Hinton , Alex </w:t>
      </w:r>
      <w:proofErr w:type="spellStart"/>
      <w:r>
        <w:rPr>
          <w:sz w:val="18"/>
          <w:szCs w:val="18"/>
          <w:highlight w:val="white"/>
        </w:rPr>
        <w:t>Krizhevsky</w:t>
      </w:r>
      <w:proofErr w:type="spellEnd"/>
      <w:r>
        <w:rPr>
          <w:sz w:val="18"/>
          <w:szCs w:val="18"/>
          <w:highlight w:val="white"/>
        </w:rPr>
        <w:t xml:space="preserve">, Ilya </w:t>
      </w:r>
      <w:proofErr w:type="spellStart"/>
      <w:r>
        <w:rPr>
          <w:sz w:val="18"/>
          <w:szCs w:val="18"/>
          <w:highlight w:val="white"/>
        </w:rPr>
        <w:t>Sutskever</w:t>
      </w:r>
      <w:proofErr w:type="spellEnd"/>
      <w:r>
        <w:rPr>
          <w:sz w:val="18"/>
          <w:szCs w:val="18"/>
          <w:highlight w:val="white"/>
        </w:rPr>
        <w:t xml:space="preserve">, Ruslan </w:t>
      </w:r>
      <w:proofErr w:type="spellStart"/>
      <w:r>
        <w:rPr>
          <w:sz w:val="18"/>
          <w:szCs w:val="18"/>
          <w:highlight w:val="white"/>
        </w:rPr>
        <w:t>Salakhutdinov</w:t>
      </w:r>
      <w:proofErr w:type="spellEnd"/>
      <w:r>
        <w:rPr>
          <w:sz w:val="18"/>
          <w:szCs w:val="18"/>
          <w:highlight w:val="white"/>
        </w:rPr>
        <w:t xml:space="preserve">. Dropout: A Simple Way to Prevent Neural Networks from Overfitting. </w:t>
      </w:r>
    </w:p>
    <w:p w:rsidR="009F4660" w:rsidRDefault="00047884">
      <w:pPr>
        <w:numPr>
          <w:ilvl w:val="0"/>
          <w:numId w:val="1"/>
        </w:numPr>
        <w:spacing w:after="160" w:line="240" w:lineRule="auto"/>
        <w:jc w:val="both"/>
        <w:rPr>
          <w:sz w:val="18"/>
          <w:szCs w:val="18"/>
          <w:highlight w:val="white"/>
        </w:rPr>
      </w:pPr>
      <w:hyperlink r:id="rId23">
        <w:r w:rsidR="00A20B7B">
          <w:rPr>
            <w:sz w:val="18"/>
            <w:szCs w:val="18"/>
            <w:highlight w:val="white"/>
            <w:u w:val="single"/>
          </w:rPr>
          <w:t>https://towardsdatascience.com/hyper-parameters-in-action-part-ii-weight-initializers-35aee1a28404</w:t>
        </w:r>
      </w:hyperlink>
      <w:r w:rsidR="00A20B7B">
        <w:rPr>
          <w:sz w:val="18"/>
          <w:szCs w:val="18"/>
          <w:highlight w:val="white"/>
        </w:rPr>
        <w:t>.</w:t>
      </w:r>
    </w:p>
    <w:sectPr w:rsidR="009F4660">
      <w:type w:val="continuous"/>
      <w:pgSz w:w="12240" w:h="15840"/>
      <w:pgMar w:top="1440" w:right="1440" w:bottom="1440" w:left="1440" w:header="720" w:footer="720" w:gutter="0"/>
      <w:cols w:num="2" w:space="720" w:equalWidth="0">
        <w:col w:w="4320" w:space="720"/>
        <w:col w:w="432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auto"/>
    <w:pitch w:val="default"/>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80EC0"/>
    <w:multiLevelType w:val="multilevel"/>
    <w:tmpl w:val="1FAAFE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84F0B28"/>
    <w:multiLevelType w:val="multilevel"/>
    <w:tmpl w:val="64301B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660"/>
    <w:rsid w:val="00047884"/>
    <w:rsid w:val="0037698F"/>
    <w:rsid w:val="00617976"/>
    <w:rsid w:val="009F4660"/>
    <w:rsid w:val="00A20B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71B06"/>
  <w15:docId w15:val="{FCA77ACA-032E-48E6-A2D2-E1F199D6C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37698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698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towardsdatascience.com/hyper-parameters-in-action-part-ii-weight-initializers-35aee1a28404"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i.org/10.7717/peerj.456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TotalTime>
  <Pages>8</Pages>
  <Words>2279</Words>
  <Characters>12994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Nayan Patel</cp:lastModifiedBy>
  <cp:revision>4</cp:revision>
  <dcterms:created xsi:type="dcterms:W3CDTF">2019-05-03T14:28:00Z</dcterms:created>
  <dcterms:modified xsi:type="dcterms:W3CDTF">2019-05-09T19:43:00Z</dcterms:modified>
</cp:coreProperties>
</file>