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>
          <w:sz w:val="44"/>
          <w:b/>
          <w:sz w:val="44"/>
          <w:b/>
          <w:szCs w:val="44"/>
          <w:bCs/>
        </w:rPr>
      </w:pPr>
      <w:r>
        <w:rPr/>
        <w:t>Assumptions of ANOVA</w:t>
      </w:r>
      <w:r/>
    </w:p>
    <w:p>
      <w:pPr>
        <w:pStyle w:val="Style12"/>
        <w:rPr/>
      </w:pPr>
      <w:r>
        <w:rPr/>
      </w:r>
      <w:r/>
    </w:p>
    <w:p>
      <w:pPr>
        <w:pStyle w:val="1"/>
      </w:pPr>
      <w:r>
        <w:rPr/>
        <w:t>Hypothesis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Null hypothesis: Average age is the same across all categories.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Alternative hypothesis: Average age varies across categories</w:t>
      </w:r>
      <w:r/>
    </w:p>
    <w:p>
      <w:pPr>
        <w:pStyle w:val="1"/>
      </w:pPr>
      <w:r>
        <w:rPr/>
        <w:t>ANOVA of age</w:t>
      </w:r>
      <w:r/>
    </w:p>
    <w:p>
      <w:pPr>
        <w:pStyle w:val="ListParagraph"/>
        <w:numPr>
          <w:ilvl w:val="0"/>
          <w:numId w:val="0"/>
        </w:numPr>
        <w:rPr/>
      </w:pPr>
      <w:r>
        <w:rPr/>
        <w:t>Average age</w:t>
      </w:r>
      <w:r/>
    </w:p>
    <w:p>
      <w:pPr>
        <w:pStyle w:val="ListParagraph"/>
        <w:ind w:left="360" w:hanging="0"/>
        <w:rPr/>
      </w:pPr>
      <w:r>
        <w:rPr/>
      </w:r>
      <w:r/>
    </w:p>
    <w:p>
      <w:pPr>
        <w:pStyle w:val="ListParagraph"/>
        <w:ind w:left="360" w:hanging="0"/>
      </w:pPr>
      <w:bookmarkStart w:id="0" w:name="_GoBack"/>
      <w:bookmarkEnd w:id="0"/>
      <w:r>
        <w:rPr/>
        <w:drawing>
          <wp:inline distT="0" distB="0" distL="0" distR="0">
            <wp:extent cx="5270500" cy="39528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ind w:left="480" w:hanging="0"/>
        <w:rPr/>
      </w:pPr>
      <w:r>
        <w:rPr/>
      </w:r>
      <w:r/>
    </w:p>
    <w:p>
      <w:pPr>
        <w:pStyle w:val="ListParagraph"/>
        <w:numPr>
          <w:ilvl w:val="0"/>
          <w:numId w:val="2"/>
        </w:numPr>
        <w:rPr/>
      </w:pPr>
      <w:r>
        <w:rPr/>
        <w:t>Average age components</w:t>
      </w:r>
      <w:r/>
    </w:p>
    <w:p>
      <w:pPr>
        <w:pStyle w:val="ListParagraph"/>
        <w:ind w:left="360" w:hanging="0"/>
      </w:pPr>
      <w:r>
        <w:rPr/>
        <w:drawing>
          <wp:inline distT="0" distB="0" distL="0" distR="0">
            <wp:extent cx="5270500" cy="79057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90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tbl>
      <w:tblPr>
        <w:tblStyle w:val="a5"/>
        <w:tblW w:w="829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920"/>
        <w:gridCol w:w="922"/>
        <w:gridCol w:w="921"/>
        <w:gridCol w:w="922"/>
        <w:gridCol w:w="921"/>
        <w:gridCol w:w="921"/>
        <w:gridCol w:w="921"/>
        <w:gridCol w:w="922"/>
      </w:tblGrid>
      <w:tr>
        <w:trPr/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9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4</w:t>
            </w:r>
            <w:r/>
          </w:p>
        </w:tc>
        <w:tc>
          <w:tcPr>
            <w:tcW w:w="92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92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Max</w:t>
            </w:r>
            <w:r/>
          </w:p>
        </w:tc>
        <w:tc>
          <w:tcPr>
            <w:tcW w:w="92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Min</w:t>
            </w:r>
            <w:r/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Ratio</w:t>
            </w:r>
            <w:r/>
          </w:p>
        </w:tc>
      </w:tr>
      <w:tr>
        <w:trPr/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Variance</w:t>
            </w:r>
            <w:r/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24.19</w:t>
            </w:r>
            <w:r/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27.13</w:t>
            </w:r>
            <w:r/>
          </w:p>
        </w:tc>
        <w:tc>
          <w:tcPr>
            <w:tcW w:w="9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6.48</w:t>
            </w:r>
            <w:r/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25.93</w:t>
            </w:r>
            <w:r/>
          </w:p>
        </w:tc>
        <w:tc>
          <w:tcPr>
            <w:tcW w:w="92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9.10</w:t>
            </w:r>
            <w:r/>
          </w:p>
        </w:tc>
        <w:tc>
          <w:tcPr>
            <w:tcW w:w="92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  <w:r/>
          </w:p>
        </w:tc>
        <w:tc>
          <w:tcPr>
            <w:tcW w:w="92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Std. Dev</w:t>
            </w:r>
            <w:r/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4.92</w:t>
            </w:r>
            <w:r/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5.21</w:t>
            </w:r>
            <w:r/>
          </w:p>
        </w:tc>
        <w:tc>
          <w:tcPr>
            <w:tcW w:w="9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2.55</w:t>
            </w:r>
            <w:r/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5.09</w:t>
            </w:r>
            <w:r/>
          </w:p>
        </w:tc>
        <w:tc>
          <w:tcPr>
            <w:tcW w:w="92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3.02</w:t>
            </w:r>
            <w:r/>
          </w:p>
        </w:tc>
        <w:tc>
          <w:tcPr>
            <w:tcW w:w="92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5.21</w:t>
            </w:r>
            <w:r/>
          </w:p>
        </w:tc>
        <w:tc>
          <w:tcPr>
            <w:tcW w:w="92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2.55</w:t>
            </w:r>
            <w:r/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2.04</w:t>
            </w:r>
            <w:r/>
          </w:p>
        </w:tc>
      </w:tr>
    </w:tbl>
    <w:p>
      <w:pPr>
        <w:pStyle w:val="Normal"/>
      </w:pPr>
      <w:r>
        <w:rPr/>
        <w:t>Max and Min standard deviation ratio is 2.04. Although not strictly, it satisfies the thumb rule that the ratio should be less than 2.</w:t>
      </w:r>
      <w:r/>
    </w:p>
    <w:p>
      <w:pPr>
        <w:pStyle w:val="1"/>
      </w:pPr>
      <w:r>
        <w:rPr/>
        <w:t>Other columns</w:t>
      </w:r>
      <w:r/>
    </w:p>
    <w:p>
      <w:pPr>
        <w:pStyle w:val="ListParagraph"/>
        <w:numPr>
          <w:ilvl w:val="0"/>
          <w:numId w:val="3"/>
        </w:numPr>
        <w:rPr/>
      </w:pPr>
      <w:r>
        <w:rPr/>
        <w:t>Number of members</w:t>
      </w:r>
      <w:r/>
    </w:p>
    <w:p>
      <w:pPr>
        <w:pStyle w:val="ListParagraph"/>
        <w:ind w:left="360" w:hanging="0"/>
      </w:pPr>
      <w:r>
        <w:rPr/>
        <w:drawing>
          <wp:inline distT="0" distB="0" distL="0" distR="0">
            <wp:extent cx="5270500" cy="395287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numPr>
          <w:ilvl w:val="0"/>
          <w:numId w:val="3"/>
        </w:numPr>
        <w:rPr/>
      </w:pPr>
      <w:r>
        <w:rPr/>
        <w:t>Number of messages</w:t>
      </w:r>
      <w:r/>
    </w:p>
    <w:p>
      <w:pPr>
        <w:pStyle w:val="Normal"/>
        <w:ind w:left="360" w:hanging="0"/>
        <w:rPr/>
      </w:pPr>
      <w:r>
        <w:rPr/>
      </w:r>
      <w:r/>
    </w:p>
    <w:p>
      <w:pPr>
        <w:pStyle w:val="Normal"/>
        <w:ind w:left="360" w:hanging="0"/>
      </w:pPr>
      <w:r>
        <w:rPr/>
        <w:drawing>
          <wp:inline distT="0" distB="0" distL="0" distR="0">
            <wp:extent cx="5270500" cy="395287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rPr/>
      </w:pPr>
      <w:r>
        <w:rPr/>
      </w:r>
      <w:r/>
    </w:p>
    <w:p>
      <w:pPr>
        <w:pStyle w:val="ListParagraph"/>
        <w:rPr/>
      </w:pPr>
      <w:r>
        <w:rPr/>
      </w:r>
      <w:r/>
    </w:p>
    <w:p>
      <w:pPr>
        <w:pStyle w:val="ListParagraph"/>
        <w:rPr/>
      </w:pPr>
      <w:r>
        <w:rPr/>
      </w:r>
      <w:r/>
    </w:p>
    <w:tbl>
      <w:tblPr>
        <w:tblStyle w:val="a5"/>
        <w:tblW w:w="829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920"/>
        <w:gridCol w:w="922"/>
        <w:gridCol w:w="921"/>
        <w:gridCol w:w="922"/>
        <w:gridCol w:w="921"/>
        <w:gridCol w:w="921"/>
        <w:gridCol w:w="921"/>
        <w:gridCol w:w="923"/>
      </w:tblGrid>
      <w:tr>
        <w:trPr/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  <w:r/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/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  <w:r/>
          </w:p>
        </w:tc>
        <w:tc>
          <w:tcPr>
            <w:tcW w:w="9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</w:t>
            </w:r>
            <w:r/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</w:t>
            </w:r>
            <w:r/>
          </w:p>
        </w:tc>
        <w:tc>
          <w:tcPr>
            <w:tcW w:w="92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</w:t>
            </w:r>
            <w:r/>
          </w:p>
        </w:tc>
        <w:tc>
          <w:tcPr>
            <w:tcW w:w="92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Max</w:t>
            </w:r>
            <w:r/>
          </w:p>
        </w:tc>
        <w:tc>
          <w:tcPr>
            <w:tcW w:w="92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Min</w:t>
            </w:r>
            <w:r/>
          </w:p>
        </w:tc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Ratio</w:t>
            </w:r>
            <w:r/>
          </w:p>
        </w:tc>
      </w:tr>
      <w:tr>
        <w:trPr/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Variance</w:t>
            </w:r>
            <w:r/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8.98</w:t>
            </w:r>
            <w:r/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7.72</w:t>
            </w:r>
            <w:r/>
          </w:p>
        </w:tc>
        <w:tc>
          <w:tcPr>
            <w:tcW w:w="9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5.90</w:t>
            </w:r>
            <w:r/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5.58</w:t>
            </w:r>
            <w:r/>
          </w:p>
        </w:tc>
        <w:tc>
          <w:tcPr>
            <w:tcW w:w="92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4.17</w:t>
            </w:r>
            <w:r/>
          </w:p>
        </w:tc>
        <w:tc>
          <w:tcPr>
            <w:tcW w:w="92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  <w:r/>
          </w:p>
        </w:tc>
        <w:tc>
          <w:tcPr>
            <w:tcW w:w="92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  <w:r/>
          </w:p>
        </w:tc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  <w:r/>
          </w:p>
        </w:tc>
      </w:tr>
      <w:tr>
        <w:trPr/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Std. Dev</w:t>
            </w:r>
            <w:r/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3.00</w:t>
            </w:r>
            <w:r/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2.78</w:t>
            </w:r>
            <w:r/>
          </w:p>
        </w:tc>
        <w:tc>
          <w:tcPr>
            <w:tcW w:w="9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2.43</w:t>
            </w:r>
            <w:r/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2.36</w:t>
            </w:r>
            <w:r/>
          </w:p>
        </w:tc>
        <w:tc>
          <w:tcPr>
            <w:tcW w:w="92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2.04</w:t>
            </w:r>
            <w:r/>
          </w:p>
        </w:tc>
        <w:tc>
          <w:tcPr>
            <w:tcW w:w="92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3.00</w:t>
            </w:r>
            <w:r/>
          </w:p>
        </w:tc>
        <w:tc>
          <w:tcPr>
            <w:tcW w:w="92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2.04</w:t>
            </w:r>
            <w:r/>
          </w:p>
        </w:tc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1.47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ListParagraph"/>
        <w:numPr>
          <w:ilvl w:val="0"/>
          <w:numId w:val="3"/>
        </w:numPr>
        <w:rPr/>
      </w:pPr>
      <w:r>
        <w:rPr/>
        <w:t>Number of conversations</w:t>
      </w:r>
      <w:r/>
    </w:p>
    <w:p>
      <w:pPr>
        <w:pStyle w:val="ListParagraph"/>
        <w:ind w:left="360" w:hanging="0"/>
      </w:pPr>
      <w:r>
        <w:rPr/>
        <w:drawing>
          <wp:inline distT="0" distB="0" distL="0" distR="0">
            <wp:extent cx="5270500" cy="395287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ind w:left="360" w:hanging="0"/>
        <w:rPr/>
      </w:pPr>
      <w:r>
        <w:rPr/>
      </w:r>
      <w:r/>
    </w:p>
    <w:p>
      <w:pPr>
        <w:pStyle w:val="1"/>
      </w:pPr>
      <w:r>
        <w:rPr/>
        <w:t>ANOVA for non-Gaussian</w:t>
      </w:r>
      <w:r/>
    </w:p>
    <w:p>
      <w:pPr>
        <w:pStyle w:val="Style12"/>
        <w:rPr/>
      </w:pPr>
      <w:r>
        <w:rPr/>
        <w:t>1,</w:t>
      </w:r>
      <w:r/>
    </w:p>
    <w:p>
      <w:pPr>
        <w:pStyle w:val="Style12"/>
        <w:rPr/>
      </w:pPr>
      <w:r>
        <w:rPr/>
        <w:t>One-way ANOVA is considered a “robust” test against the normality  assumption. When used directly for non-Gaussian data, only produce a small effect on the Type I error rate</w:t>
      </w:r>
      <w:r/>
    </w:p>
    <w:p>
      <w:pPr>
        <w:pStyle w:val="Style12"/>
      </w:pPr>
      <w:r>
        <w:rPr/>
        <w:t xml:space="preserve">Non-parametric methods. </w:t>
      </w:r>
      <w:r/>
    </w:p>
    <w:p>
      <w:pPr>
        <w:pStyle w:val="Style12"/>
      </w:pPr>
      <w:r>
        <w:rPr>
          <w:b/>
          <w:lang w:val="en-US"/>
        </w:rPr>
        <w:t xml:space="preserve">Kruskal–Wallis </w:t>
      </w:r>
      <w:r>
        <w:rPr>
          <w:b/>
          <w:lang w:val="en-US"/>
        </w:rPr>
        <w:t>H test</w:t>
      </w:r>
      <w:r/>
    </w:p>
    <w:p>
      <w:pPr>
        <w:pStyle w:val="Style12"/>
      </w:pPr>
      <w:r>
        <w:rPr>
          <w:b/>
          <w:lang w:val="en-US"/>
        </w:rPr>
        <w:t>Mann–Whitney U test (when only two groups for testing)</w:t>
      </w:r>
      <w:r/>
    </w:p>
    <w:p>
      <w:pPr>
        <w:pStyle w:val="Style12"/>
        <w:rPr>
          <w:b/>
        </w:rPr>
      </w:pPr>
      <w:r>
        <w:rPr>
          <w:b/>
        </w:rPr>
        <w:t>Friedman test</w:t>
      </w:r>
      <w:r/>
    </w:p>
    <w:p>
      <w:pPr>
        <w:pStyle w:val="Style12"/>
        <w:rPr>
          <w:b/>
        </w:rPr>
      </w:pPr>
      <w:r>
        <w:rPr>
          <w:b/>
        </w:rPr>
        <w:t>Kendall's W test (normalization of Friedman test)</w:t>
      </w:r>
      <w:r/>
    </w:p>
    <w:p>
      <w:pPr>
        <w:pStyle w:val="Style12"/>
        <w:rPr>
          <w:lang w:val="en-US"/>
        </w:rPr>
      </w:pPr>
      <w:r>
        <w:rPr>
          <w:b/>
        </w:rPr>
      </w:r>
      <w:r/>
    </w:p>
    <w:p>
      <w:pPr>
        <w:pStyle w:val="Style12"/>
        <w:rPr>
          <w:lang w:val="en-US"/>
        </w:rPr>
      </w:pPr>
      <w:r>
        <w:rPr>
          <w:b/>
        </w:rPr>
      </w:r>
      <w:r/>
    </w:p>
    <w:p>
      <w:pPr>
        <w:pStyle w:val="Style12"/>
        <w:rPr>
          <w:lang w:val="en-US"/>
        </w:rPr>
      </w:pPr>
      <w:r>
        <w:rPr/>
      </w:r>
      <w:r/>
    </w:p>
    <w:p>
      <w:pPr>
        <w:pStyle w:val="Style12"/>
        <w:rPr>
          <w:lang w:val="en-US"/>
        </w:rPr>
      </w:pPr>
      <w:r>
        <w:rPr/>
      </w:r>
      <w:r/>
    </w:p>
    <w:p>
      <w:pPr>
        <w:pStyle w:val="Style12"/>
        <w:rPr/>
      </w:pPr>
      <w:r>
        <w:rPr/>
      </w:r>
      <w:r/>
    </w:p>
    <w:p>
      <w:pPr>
        <w:pStyle w:val="Style12"/>
        <w:rPr/>
      </w:pPr>
      <w:r>
        <w:rPr/>
      </w:r>
      <w:r/>
    </w:p>
    <w:p>
      <w:pPr>
        <w:pStyle w:val="Style12"/>
        <w:spacing w:before="0" w:after="140"/>
        <w:rPr/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paragraph" w:styleId="1">
    <w:name w:val="标题 1"/>
    <w:basedOn w:val="Normal"/>
    <w:link w:val="10"/>
    <w:uiPriority w:val="9"/>
    <w:qFormat/>
    <w:rsid w:val="0060048a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2">
    <w:name w:val="标题 2"/>
    <w:basedOn w:val="Style11"/>
    <w:pPr/>
    <w:rPr/>
  </w:style>
  <w:style w:type="paragraph" w:styleId="3">
    <w:name w:val="标题 3"/>
    <w:basedOn w:val="Style11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标题 1字符"/>
    <w:basedOn w:val="DefaultParagraphFont"/>
    <w:link w:val="1"/>
    <w:uiPriority w:val="9"/>
    <w:rsid w:val="0060048a"/>
    <w:rPr>
      <w:b/>
      <w:bCs/>
      <w:sz w:val="44"/>
      <w:szCs w:val="44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60048a"/>
    <w:pPr>
      <w:ind w:firstLine="420"/>
    </w:pPr>
    <w:rPr/>
  </w:style>
  <w:style w:type="paragraph" w:styleId="NoSpacing">
    <w:name w:val="No Spacing"/>
    <w:uiPriority w:val="1"/>
    <w:qFormat/>
    <w:rsid w:val="00db3d5e"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paragraph" w:styleId="Style16">
    <w:name w:val="引用"/>
    <w:basedOn w:val="Normal"/>
    <w:pPr/>
    <w:rPr/>
  </w:style>
  <w:style w:type="paragraph" w:styleId="Style17">
    <w:name w:val="大标题"/>
    <w:basedOn w:val="Style11"/>
    <w:pPr/>
    <w:rPr/>
  </w:style>
  <w:style w:type="paragraph" w:styleId="Style18">
    <w:name w:val="分标题"/>
    <w:basedOn w:val="Style11"/>
    <w:pPr/>
    <w:rPr/>
  </w:style>
  <w:style w:type="paragraph" w:styleId="Style19">
    <w:name w:val="表格内容"/>
    <w:basedOn w:val="Normal"/>
    <w:pPr/>
    <w:rPr/>
  </w:style>
  <w:style w:type="paragraph" w:styleId="Style20">
    <w:name w:val="表格标题"/>
    <w:basedOn w:val="Style19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db3d5e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Application>LibreOffice/4.3.3.2$Linux_X86_64 LibreOffice_project/430m0$Build-2</Application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2015-04-22T01:40:00Z</dcterms:created>
  <dc:creator>Daniel Wang</dc:creator>
  <dc:language>zh-CN</dc:language>
  <dcterms:modified xsi:type="dcterms:W3CDTF">2015-04-26T20:48:41Z</dcterms:modified>
  <cp:revision>25</cp:revision>
</cp:coreProperties>
</file>