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检索参数调优手册</w:t>
      </w:r>
    </w:p>
    <w:p>
      <w:r>
        <w:t>本文说明检索参数的含义与调整原则，所有调整都应以评测集为准，禁止凭直觉修改。</w:t>
      </w:r>
    </w:p>
    <w:p>
      <w:pPr>
        <w:pStyle w:val="Heading2"/>
      </w:pPr>
      <w:r>
        <w:t>一、权重配置</w:t>
      </w:r>
    </w:p>
    <w:p>
      <w:r>
        <w:t>向量权重与 BM25 权重之和应为 1。向量偏重语义近似，BM25 偏重精确术语与编号。</w:t>
      </w:r>
    </w:p>
    <w:p>
      <w:pPr>
        <w:pStyle w:val="Heading2"/>
      </w:pPr>
      <w:r>
        <w:t>二、参数对照表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默认值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</w:tr>
      <w:tr>
        <w:tc>
          <w:tcPr>
            <w:tcW w:type="dxa" w:w="2880"/>
          </w:tcPr>
          <w:p>
            <w:r>
              <w:t>向量权重</w:t>
            </w:r>
          </w:p>
        </w:tc>
        <w:tc>
          <w:tcPr>
            <w:tcW w:type="dxa" w:w="2880"/>
          </w:tcPr>
          <w:p>
            <w:r>
              <w:t>0.6</w:t>
            </w:r>
          </w:p>
        </w:tc>
        <w:tc>
          <w:tcPr>
            <w:tcW w:type="dxa" w:w="2880"/>
          </w:tcPr>
          <w:p>
            <w:r>
              <w:t>语义召回占比</w:t>
            </w:r>
          </w:p>
        </w:tc>
      </w:tr>
      <w:tr>
        <w:tc>
          <w:tcPr>
            <w:tcW w:type="dxa" w:w="2880"/>
          </w:tcPr>
          <w:p>
            <w:r>
              <w:t>top_k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返回片段数</w:t>
            </w:r>
          </w:p>
        </w:tc>
      </w:tr>
    </w:tbl>
    <w:p>
      <w:pPr>
        <w:pStyle w:val="Heading2"/>
      </w:pPr>
      <w:r>
        <w:t>三、调参禁忌</w:t>
      </w:r>
    </w:p>
    <w:p>
      <w:r>
        <w:t>不要为了单个查询调参。参数变更后必须重跑评测套件，确认 hit_rate 与 MRR 同时不下降。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