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</w:rPr>
        <w:t xml:space="preserve">FICHE DE GESTION DE CHANGEMENT</w:t>
      </w:r>
    </w:p>
    <w:p>
      <w:pPr>
        <w:jc w:val="center"/>
      </w:pPr>
      <w:r>
        <w:rPr>
          <w:b/>
        </w:rPr>
        <w:t xml:space="preserve">Demande de Validation — Mise à jour applicative</w:t>
      </w:r>
    </w:p>
    <w:p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500"/>
        <w:gridCol w:w="6500"/>
      </w:tblGrid>
      <w:tr>
        <w:tc>
          <w:tcPr>
            <w:tcW w:w="3500" w:type="dxa"/>
          </w:tcPr>
          <w:p>
            <w:pPr/>
            <w:r>
              <w:t xml:space="preserve">Référence ISO</w:t>
            </w:r>
          </w:p>
        </w:tc>
        <w:tc>
          <w:tcPr>
            <w:tcW w:w="6500" w:type="dxa"/>
          </w:tcPr>
          <w:p>
            <w:pPr/>
            <w:r>
              <w:t xml:space="preserve">Réf : MO/POP/INF/XX-XX</w:t>
            </w:r>
          </w:p>
        </w:tc>
      </w:tr>
      <w:tr>
        <w:tc>
          <w:tcPr>
            <w:tcW w:w="3500" w:type="dxa"/>
          </w:tcPr>
          <w:p>
            <w:pPr/>
            <w:r>
              <w:t xml:space="preserve">Système / Module concerné</w:t>
            </w:r>
          </w:p>
        </w:tc>
        <w:tc>
          <w:tcPr>
            <w:tcW w:w="6500" w:type="dxa"/>
          </w:tcPr>
          <w:p>
            <w:pPr/>
            <w:r>
              <w:t xml:space="preserve">E-Facture — module FNE/DGI (backend Node/Express + frontend React)</w:t>
            </w:r>
          </w:p>
        </w:tc>
      </w:tr>
      <w:tr>
        <w:tc>
          <w:tcPr>
            <w:tcW w:w="3500" w:type="dxa"/>
          </w:tcPr>
          <w:p>
            <w:pPr/>
            <w:r>
              <w:t xml:space="preserve">Version actuelle</w:t>
            </w:r>
          </w:p>
        </w:tc>
        <w:tc>
          <w:tcPr>
            <w:tcW w:w="6500" w:type="dxa"/>
          </w:tcPr>
          <w:p>
            <w:pPr/>
            <w:r>
              <w:t xml:space="preserve">v1.0.0 (production au 23/04/2026)</w:t>
            </w:r>
          </w:p>
        </w:tc>
      </w:tr>
      <w:tr>
        <w:tc>
          <w:tcPr>
            <w:tcW w:w="3500" w:type="dxa"/>
          </w:tcPr>
          <w:p>
            <w:pPr/>
            <w:r>
              <w:t xml:space="preserve">Version cible</w:t>
            </w:r>
          </w:p>
        </w:tc>
        <w:tc>
          <w:tcPr>
            <w:tcW w:w="6500" w:type="dxa"/>
          </w:tcPr>
          <w:p>
            <w:pPr/>
            <w:r>
              <w:t xml:space="preserve">v1.1.0 (snapshot 05/05/2026)</w:t>
            </w:r>
          </w:p>
        </w:tc>
      </w:tr>
      <w:tr>
        <w:tc>
          <w:tcPr>
            <w:tcW w:w="3500" w:type="dxa"/>
          </w:tcPr>
          <w:p>
            <w:pPr/>
            <w:r>
              <w:t xml:space="preserve">Porteur du changement</w:t>
            </w:r>
          </w:p>
        </w:tc>
        <w:tc>
          <w:tcPr>
            <w:tcW w:w="6500" w:type="dxa"/>
          </w:tcPr>
          <w:p>
            <w:pPr/>
            <w:r>
              <w:t xml:space="preserve">Yannick Atse — Équipe Développement / DSI</w:t>
            </w:r>
          </w:p>
        </w:tc>
      </w:tr>
      <w:tr>
        <w:tc>
          <w:tcPr>
            <w:tcW w:w="3500" w:type="dxa"/>
          </w:tcPr>
          <w:p>
            <w:pPr/>
            <w:r>
              <w:t xml:space="preserve">Date de rédaction</w:t>
            </w:r>
          </w:p>
        </w:tc>
        <w:tc>
          <w:tcPr>
            <w:tcW w:w="6500" w:type="dxa"/>
          </w:tcPr>
          <w:p>
            <w:pPr/>
            <w:r>
              <w:t xml:space="preserve">12/05/2026</w:t>
            </w:r>
          </w:p>
        </w:tc>
      </w:tr>
      <w:tr>
        <w:tc>
          <w:tcPr>
            <w:tcW w:w="3500" w:type="dxa"/>
          </w:tcPr>
          <w:p>
            <w:pPr/>
            <w:r>
              <w:t xml:space="preserve">Date de déploiement souhaitée</w:t>
            </w:r>
          </w:p>
        </w:tc>
        <w:tc>
          <w:tcPr>
            <w:tcW w:w="6500" w:type="dxa"/>
          </w:tcPr>
          <w:p>
            <w:pPr/>
            <w:r>
              <w:t xml:space="preserve">[JJ/MM/AAAA] — Créneau : [heure début – heure fin]</w:t>
            </w:r>
          </w:p>
        </w:tc>
      </w:tr>
      <w:tr>
        <w:tc>
          <w:tcPr>
            <w:tcW w:w="3500" w:type="dxa"/>
          </w:tcPr>
          <w:p>
            <w:pPr/>
            <w:r>
              <w:t xml:space="preserve">Niveau de priorité</w:t>
            </w:r>
          </w:p>
        </w:tc>
        <w:tc>
          <w:tcPr>
            <w:tcW w:w="6500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3500" w:type="dxa"/>
          </w:tcPr>
          <w:p>
            <w:pPr/>
            <w:r>
              <w:t xml:space="preserve">Statut</w:t>
            </w:r>
          </w:p>
        </w:tc>
        <w:tc>
          <w:tcPr>
            <w:tcW w:w="6500" w:type="dxa"/>
          </w:tcPr>
          <w:p>
            <w:pPr/>
            <w:r>
              <w:t xml:space="preserve">En attente de validation</w:t>
            </w:r>
          </w:p>
        </w:tc>
      </w:tr>
    </w:tbl>
    <w:p/>
    <w:p>
      <w:pPr/>
      <w:r>
        <w:rPr>
          <w:b/>
        </w:rPr>
        <w:t xml:space="preserve">1. CONTEXTE ET JUSTIFICATION DU CHANGEMENT</w:t>
      </w:r>
    </w:p>
    <w:p>
      <w:pPr/>
      <w:r>
        <w:rPr>
          <w:b/>
        </w:rPr>
        <w:t xml:space="preserve">1.1 Pourquoi cette mise à jour est-elle nécessaire ?</w:t>
      </w:r>
    </w:p>
    <w:p>
      <w:pPr/>
      <w:r>
        <w:t xml:space="preserve">La version actuellement en production gère uniquement l'émission de factures vers la FNE/DGI. Plusieurs constats opérationnels ont conduit à étendre le périmètre : (i) absence de contrôle de cohérence entre les avoirs et leurs factures initiales, (ii) absence de typage invoice/refund en base, (iii) expérience utilisateur frontend obsolète basée sur des alert() natifs.</w:t>
      </w:r>
    </w:p>
    <w:p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500"/>
        <w:gridCol w:w="6500"/>
      </w:tblGrid>
      <w:tr>
        <w:tc>
          <w:tcPr>
            <w:tcW w:w="3500" w:type="dxa"/>
            <w:shd w:val="clear" w:color="auto" w:fill="D9E1F2"/>
          </w:tcPr>
          <w:p>
            <w:pPr/>
            <w:r>
              <w:rPr>
                <w:b/>
              </w:rPr>
              <w:t xml:space="preserve">Catégorie</w:t>
            </w:r>
          </w:p>
        </w:tc>
        <w:tc>
          <w:tcPr>
            <w:tcW w:w="6500" w:type="dxa"/>
            <w:shd w:val="clear" w:color="auto" w:fill="D9E1F2"/>
          </w:tcPr>
          <w:p>
            <w:pPr/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3500" w:type="dxa"/>
          </w:tcPr>
          <w:p>
            <w:pPr/>
            <w:r>
              <w:t xml:space="preserve">Problème identifié</w:t>
            </w:r>
          </w:p>
        </w:tc>
        <w:tc>
          <w:tcPr>
            <w:tcW w:w="6500" w:type="dxa"/>
          </w:tcPr>
          <w:p>
            <w:pPr/>
            <w:r>
              <w:t xml:space="preserve">Gestion incomplète des avoirs FNE (pas de typage, pas de contrôle de cohérence avec facture initiale, pas de notification opérateur sur blocage). UX frontend obsolète basée sur alert().</w:t>
            </w:r>
          </w:p>
        </w:tc>
      </w:tr>
      <w:tr>
        <w:tc>
          <w:tcPr>
            <w:tcW w:w="3500" w:type="dxa"/>
          </w:tcPr>
          <w:p>
            <w:pPr/>
            <w:r>
              <w:t xml:space="preserve">Impact métier actuel</w:t>
            </w:r>
          </w:p>
        </w:tc>
        <w:tc>
          <w:tcPr>
            <w:tcW w:w="6500" w:type="dxa"/>
          </w:tcPr>
          <w:p>
            <w:pPr/>
            <w:r>
              <w:t xml:space="preserve">Risque de non-conformité réglementaire DGI sur les avoirs ; impossibilité d'auditer correctement les flux refunds ; ergonomie utilisateur dégradée.</w:t>
            </w:r>
          </w:p>
        </w:tc>
      </w:tr>
      <w:tr>
        <w:tc>
          <w:tcPr>
            <w:tcW w:w="3500" w:type="dxa"/>
          </w:tcPr>
          <w:p>
            <w:pPr/>
            <w:r>
              <w:t xml:space="preserve">Origine / Source</w:t>
            </w:r>
          </w:p>
        </w:tc>
        <w:tc>
          <w:tcPr>
            <w:tcW w:w="6500" w:type="dxa"/>
          </w:tcPr>
          <w:p>
            <w:pPr/>
            <w:r>
              <w:t xml:space="preserve">Audit interne FNE (avril 2026) + demande métier comptabilité.</w:t>
            </w:r>
          </w:p>
        </w:tc>
      </w:tr>
      <w:tr>
        <w:tc>
          <w:tcPr>
            <w:tcW w:w="3500" w:type="dxa"/>
          </w:tcPr>
          <w:p>
            <w:pPr/>
            <w:r>
              <w:t xml:space="preserve">Référence ticket / incident</w:t>
            </w:r>
          </w:p>
        </w:tc>
        <w:tc>
          <w:tcPr>
            <w:tcW w:w="6500" w:type="dxa"/>
          </w:tcPr>
          <w:p>
            <w:pPr/>
            <w:r>
              <w:t xml:space="preserve">N/A</w:t>
            </w:r>
          </w:p>
        </w:tc>
      </w:tr>
      <w:tr>
        <w:tc>
          <w:tcPr>
            <w:tcW w:w="3500" w:type="dxa"/>
          </w:tcPr>
          <w:p>
            <w:pPr/>
            <w:r>
              <w:t xml:space="preserve">Conséquence du non-changement</w:t>
            </w:r>
          </w:p>
        </w:tc>
        <w:tc>
          <w:tcPr>
            <w:tcW w:w="6500" w:type="dxa"/>
          </w:tcPr>
          <w:p>
            <w:pPr/>
            <w:r>
              <w:t xml:space="preserve">Maintien du risque réglementaire sur les avoirs ; pas de traçabilité audit ; insatisfaction utilisateurs sur l'ergonomie.</w:t>
            </w:r>
          </w:p>
        </w:tc>
      </w:tr>
    </w:tbl>
    <w:p/>
    <w:p>
      <w:pPr/>
      <w:r>
        <w:rPr>
          <w:b/>
        </w:rPr>
        <w:t xml:space="preserve">2. NATURE ET PÉRIMÈTRE DU CHANGEMENT</w:t>
      </w:r>
    </w:p>
    <w:p>
      <w:pPr/>
      <w:r>
        <w:rPr>
          <w:b/>
        </w:rPr>
        <w:t xml:space="preserve">2.1 Ce qui a été modifié</w:t>
      </w:r>
    </w:p>
    <w:p>
      <w:pPr/>
      <w:r>
        <w:t xml:space="preserve">Liste des composants techniques et fonctionnels concernés par cette mise à jour, regroupés par périmètre (Backend Node/Express + Frontend React).</w:t>
      </w:r>
    </w:p>
    <w:p/>
    <w:p>
      <w:pPr/>
      <w:r>
        <w:rPr>
          <w:b/>
        </w:rPr>
        <w:t xml:space="preserve">Backend — backend_efacture/</w:t>
      </w:r>
    </w:p>
    <w:p/>
    <w:p>
      <w:pPr/>
      <w:r>
        <w:rPr>
          <w:b/>
        </w:rPr>
        <w:t xml:space="preserve">Migrations base de données (2 nouvelles) :</w:t>
      </w:r>
    </w:p>
    <w:p>
      <w:pPr>
        <w:pStyle w:val="Paragraphedeliste"/>
      </w:pPr>
      <w:r>
        <w:t xml:space="preserve">20260504000000-add-role-avoir-fetch-initial.js — Crée le rôle avoir.fetch_initial permettant de restreindre la récupération automatique de la facture initiale d'un avoir bloqué.</w:t>
      </w:r>
    </w:p>
    <w:p>
      <w:pPr>
        <w:pStyle w:val="Paragraphedeliste"/>
      </w:pPr>
      <w:r>
        <w:t xml:space="preserve">20260505000000-add-type-to-fne-invoices.js — Ajoute la colonne type ENUM('invoice','refund') à la table fne_invoices (+ index). Toutes les entrées existantes sont rétrofitées à 'invoice'.</w:t>
      </w:r>
    </w:p>
    <w:p/>
    <w:p>
      <w:pPr/>
      <w:r>
        <w:rPr>
          <w:b/>
        </w:rPr>
        <w:t xml:space="preserve">Modèle modifié :</w:t>
      </w:r>
    </w:p>
    <w:p>
      <w:pPr>
        <w:pStyle w:val="Paragraphedeliste"/>
      </w:pPr>
      <w:r>
        <w:t xml:space="preserve">models/FneInvoice.js — Ajout du champ type (ENUM 'invoice' | 'refund', défaut 'invoice').</w:t>
      </w:r>
    </w:p>
    <w:p/>
    <w:p>
      <w:pPr/>
      <w:r>
        <w:rPr>
          <w:b/>
        </w:rPr>
        <w:t xml:space="preserve">Controller modifié — controllers/fneInvoiceController.js (+57 lignes) :</w:t>
      </w:r>
    </w:p>
    <w:p>
      <w:pPr>
        <w:pStyle w:val="Paragraphedeliste"/>
      </w:pPr>
      <w:r>
        <w:t xml:space="preserve">sendRefund() : bloque l'envoi si la facture initiale n'a pas été préalablement téléchargée ni envoyée à la FNE ; enregistre désormais l'avoir avec type='refund' dans fne_invoices et logs_actions (invoice_type='refund') ; gère les variantes de réponse API FNE (invoice.id, refund_id, credit_note_id).</w:t>
      </w:r>
    </w:p>
    <w:p>
      <w:pPr>
        <w:pStyle w:val="Paragraphedeliste"/>
      </w:pPr>
      <w:r>
        <w:t xml:space="preserve">manualRegisterFne() : permet de recycler un log d'envoi échoué en succès manuel ; crée l'entrée FneInvoice correspondante avec le type adéquat.</w:t>
      </w:r>
    </w:p>
    <w:p>
      <w:pPr>
        <w:pStyle w:val="Paragraphedeliste"/>
      </w:pPr>
      <w:r>
        <w:t xml:space="preserve">Logging détaillé : numéro d'avoir, facture initiale, temps de réponse FNE, utilisateur opérateur.</w:t>
      </w:r>
    </w:p>
    <w:p/>
    <w:p>
      <w:pPr/>
      <w:r>
        <w:rPr>
          <w:b/>
        </w:rPr>
        <w:t xml:space="preserve">Service ajouté :</w:t>
      </w:r>
    </w:p>
    <w:p>
      <w:pPr>
        <w:pStyle w:val="Paragraphedeliste"/>
      </w:pPr>
      <w:r>
        <w:t xml:space="preserve">services/notifyAvoirBlocked.js — Notifie les opérateurs lors du blocage d'un avoir incohérent avec sa facture initiale. Génère un HTML formaté (tables avoir/items, taux de matching), envoie via POST JSON avec retry (3 tentatives, délai 5 s).</w:t>
      </w:r>
    </w:p>
    <w:p/>
    <w:p>
      <w:pPr/>
      <w:r>
        <w:rPr>
          <w:b/>
        </w:rPr>
        <w:t xml:space="preserve">Scripts utilitaires ajoutés :</w:t>
      </w:r>
    </w:p>
    <w:p>
      <w:pPr>
        <w:pStyle w:val="Paragraphedeliste"/>
      </w:pPr>
      <w:r>
        <w:t xml:space="preserve">scripts/check_avoir_prod.js — Diagnostic ponctuel en PROD (recherche par numéro dans logs_actions, fne_invoices, downloaded_invoices).</w:t>
      </w:r>
    </w:p>
    <w:p>
      <w:pPr>
        <w:pStyle w:val="Paragraphedeliste"/>
      </w:pPr>
      <w:r>
        <w:t xml:space="preserve">scripts/repair_refund_fne_invoices.js + repair_refund_fne_invoices_prod.js — Crée rétroactivement les entrées fne_invoices manquantes pour les avoirs envoyés avec succès avant la migration (mode dry-run / --apply).</w:t>
      </w:r>
    </w:p>
    <w:p>
      <w:pPr>
        <w:pStyle w:val="Paragraphedeliste"/>
      </w:pPr>
      <w:r>
        <w:t xml:space="preserve">scripts/diag_avoir_via_bapi.js, inspect_feuil2.js, inspect_xlsx.js, concordance_*.js — Scripts d'audit et de concordance des avoirs avec les données SAP.</w:t>
      </w:r>
    </w:p>
    <w:p/>
    <w:p>
      <w:pPr/>
      <w:r>
        <w:rPr>
          <w:b/>
        </w:rPr>
        <w:t xml:space="preserve">Endpoints (inchangés) :</w:t>
      </w:r>
    </w:p>
    <w:p>
      <w:pPr/>
      <w:r>
        <w:t xml:space="preserve">routes/fneInvoiceRoutes.js conserve ses 5 endpoints : GET /by-sap-number/:numeroFacture, GET /:fneInvoiceId, POST /refund, POST /items/by-ids, POST /manual-register.</w:t>
      </w:r>
    </w:p>
    <w:p/>
    <w:p>
      <w:pPr/>
      <w:r>
        <w:rPr>
          <w:b/>
        </w:rPr>
        <w:t xml:space="preserve">Sécurité / configuration :</w:t>
      </w:r>
    </w:p>
    <w:p>
      <w:pPr/>
      <w:r>
        <w:t xml:space="preserve">middleware/auth.js, middleware/requireRole.js, index.js, configuration CORS : aucun changement.</w:t>
      </w:r>
    </w:p>
    <w:p/>
    <w:p>
      <w:pPr/>
      <w:r>
        <w:rPr>
          <w:b/>
        </w:rPr>
        <w:t xml:space="preserve">Frontend — frontend_efacture/</w:t>
      </w:r>
    </w:p>
    <w:p/>
    <w:p>
      <w:pPr/>
      <w:r>
        <w:rPr>
          <w:b/>
        </w:rPr>
        <w:t xml:space="preserve">Contexte ajouté :</w:t>
      </w:r>
    </w:p>
    <w:p>
      <w:pPr>
        <w:pStyle w:val="Paragraphedeliste"/>
      </w:pPr>
      <w:r>
        <w:t xml:space="preserve">src/contexts/NotificationContext.js — Système centralisé de notifications/confirmations (modales) avec détection automatique du type (info, succès, avertissement, erreur) et support des boîtes de confirmation utilisateur.</w:t>
      </w:r>
    </w:p>
    <w:p/>
    <w:p>
      <w:pPr/>
      <w:r>
        <w:rPr>
          <w:b/>
        </w:rPr>
        <w:t xml:space="preserve">Fichiers modifiés :</w:t>
      </w:r>
    </w:p>
    <w:p>
      <w:pPr>
        <w:pStyle w:val="Paragraphedeliste"/>
      </w:pPr>
      <w:r>
        <w:t xml:space="preserve">src/index.js — NotificationProvider enveloppe l'application (placé avant AuthProvider pour exposer useNotify() partout).</w:t>
      </w:r>
    </w:p>
    <w:p>
      <w:pPr>
        <w:pStyle w:val="Paragraphedeliste"/>
      </w:pPr>
      <w:r>
        <w:t xml:space="preserve">src/App.js (+1143 lignes : 7767 → 8910) — Intégration massive du hook useNotify() (60+ appels à notify()/confirm()) ; remplacement systématique des alert() et console.log() utilisateur ; détection des sévérités côté notification.</w:t>
      </w:r>
    </w:p>
    <w:p>
      <w:pPr>
        <w:pStyle w:val="Paragraphedeliste"/>
      </w:pPr>
      <w:r>
        <w:t xml:space="preserve">src/pages/FneCancellationsPage.js (+127 lignes : 323 → 450) — Nouvelle barre de recherche/filtrage (par numéro de facture, référence FNE, catégorie) ; fonction formatMontant() : division par 10 + formatage fr-FR pour affichage correct des montants FNE.</w:t>
      </w:r>
    </w:p>
    <w:p/>
    <w:p>
      <w:pPr/>
      <w:r>
        <w:rPr>
          <w:b/>
        </w:rPr>
        <w:t xml:space="preserve">Inchangés :</w:t>
      </w:r>
    </w:p>
    <w:p>
      <w:pPr/>
      <w:r>
        <w:t xml:space="preserve">AuthContext.js, config/api.js, Login.js, SettingsPage.js, HomePage.js, Sidebar.js, utilitaires, styles : aucune modification → rétrocompatibilité maximale, aucun nouvel appel API, aucun changement d'authentification.</w:t>
      </w:r>
    </w:p>
    <w:p/>
    <w:p>
      <w:pPr/>
      <w:r>
        <w:rPr>
          <w:b/>
        </w:rPr>
        <w:t xml:space="preserve">3. IMPACT ATTENDU</w:t>
      </w:r>
    </w:p>
    <w:p>
      <w:pPr/>
      <w:r>
        <w:rPr>
          <w:b/>
        </w:rPr>
        <w:t xml:space="preserve">3.1 Impacts positifs</w:t>
      </w:r>
    </w:p>
    <w:p/>
    <w:p>
      <w:pPr/>
      <w:r>
        <w:rPr>
          <w:b/>
        </w:rPr>
        <w:t xml:space="preserve">Impact 1 — Conformité réglementaire des avoirs</w:t>
      </w:r>
    </w:p>
    <w:p>
      <w:pPr/>
      <w:r>
        <w:rPr>
          <w:b/>
        </w:rPr>
        <w:t xml:space="preserve">Avant : </w:t>
      </w:r>
      <w:r>
        <w:t xml:space="preserve">Avoirs envoyés à la FNE sans contrôle de cohérence avec la facture initiale ; pas de typage en base.</w:t>
      </w:r>
    </w:p>
    <w:p>
      <w:pPr/>
      <w:r>
        <w:rPr>
          <w:b/>
        </w:rPr>
        <w:t xml:space="preserve">Après : </w:t>
      </w:r>
      <w:r>
        <w:t xml:space="preserve">Blocage automatique des avoirs incohérents ; typage invoice/refund dans fne_invoices ; notification opérateur en cas de blocage.</w:t>
      </w:r>
    </w:p>
    <w:p/>
    <w:p>
      <w:pPr/>
      <w:r>
        <w:rPr>
          <w:b/>
        </w:rPr>
        <w:t xml:space="preserve">Impact 2 — Traçabilité et audit</w:t>
      </w:r>
    </w:p>
    <w:p>
      <w:pPr/>
      <w:r>
        <w:rPr>
          <w:b/>
        </w:rPr>
        <w:t xml:space="preserve">Avant : </w:t>
      </w:r>
      <w:r>
        <w:t xml:space="preserve">Impossible de distinguer factures et avoirs dans les rapports.</w:t>
      </w:r>
    </w:p>
    <w:p>
      <w:pPr/>
      <w:r>
        <w:rPr>
          <w:b/>
        </w:rPr>
        <w:t xml:space="preserve">Après : </w:t>
      </w:r>
      <w:r>
        <w:t xml:space="preserve">Colonne type indexée ; scripts d'audit (check_avoir_prod, repair_refund_fne_invoices) permettant la réparation rétroactive et le diagnostic.</w:t>
      </w:r>
    </w:p>
    <w:p/>
    <w:p>
      <w:pPr/>
      <w:r>
        <w:rPr>
          <w:b/>
        </w:rPr>
        <w:t xml:space="preserve">Impact 3 — Expérience utilisateur frontend</w:t>
      </w:r>
    </w:p>
    <w:p>
      <w:pPr/>
      <w:r>
        <w:rPr>
          <w:b/>
        </w:rPr>
        <w:t xml:space="preserve">Avant : </w:t>
      </w:r>
      <w:r>
        <w:t xml:space="preserve">alert() natifs, peu lisibles, pas de niveaux de sévérité.</w:t>
      </w:r>
    </w:p>
    <w:p>
      <w:pPr/>
      <w:r>
        <w:rPr>
          <w:b/>
        </w:rPr>
        <w:t xml:space="preserve">Après : </w:t>
      </w:r>
      <w:r>
        <w:t xml:space="preserve">Notifications contextuelles unifiées (succès / erreur / avertissement) + confirmations modales + recherche/filtrage sur la page doublons FNE.</w:t>
      </w:r>
    </w:p>
    <w:p/>
    <w:p>
      <w:pPr/>
      <w:r>
        <w:rPr>
          <w:b/>
        </w:rPr>
        <w:t xml:space="preserve">3.2 Risques et impacts négatifs potentiels</w:t>
      </w:r>
    </w:p>
    <w:p/>
    <w:p>
      <w:pPr/>
      <w:r>
        <w:rPr>
          <w:b/>
        </w:rPr>
        <w:t xml:space="preserve">Risque identifié : </w:t>
      </w:r>
      <w:r>
        <w:t xml:space="preserve">Migration add-type-to-fne-invoices sur la table fne_invoices en production.</w:t>
      </w:r>
    </w:p>
    <w:p>
      <w:pPr/>
      <w:r>
        <w:rPr>
          <w:b/>
        </w:rPr>
        <w:t xml:space="preserve">Mesure d'atténuation : </w:t>
      </w:r>
      <w:r>
        <w:t xml:space="preserve">Migration testée en UAT ; sauvegarde complète avant déploiement ; rollback Sequelize disponible (db:migrate:undo).</w:t>
      </w:r>
    </w:p>
    <w:p>
      <w:pPr/>
      <w:r>
        <w:t xml:space="preserve">Probabilité : Faible</w:t>
      </w:r>
    </w:p>
    <w:p>
      <w:pPr/>
      <w:r>
        <w:t xml:space="preserve">Sévérité : Moyenne</w:t>
      </w:r>
    </w:p>
    <w:p/>
    <w:p>
      <w:pPr/>
      <w:r>
        <w:rPr>
          <w:b/>
        </w:rPr>
        <w:t xml:space="preserve">Risque identifié : </w:t>
      </w:r>
      <w:r>
        <w:t xml:space="preserve">Régression UX sur les écrans utilisant alert() → notify().</w:t>
      </w:r>
    </w:p>
    <w:p>
      <w:pPr/>
      <w:r>
        <w:rPr>
          <w:b/>
        </w:rPr>
        <w:t xml:space="preserve">Mesure d'atténuation : </w:t>
      </w:r>
      <w:r>
        <w:t xml:space="preserve">Tests utilisateurs en recette ; couverture des 60+ points d'appel notify() ; possibilité de basculer un écran sur l'ancien comportement via redéploiement partiel.</w:t>
      </w:r>
    </w:p>
    <w:p>
      <w:pPr/>
      <w:r>
        <w:t xml:space="preserve">Probabilité : Moyenne</w:t>
      </w:r>
    </w:p>
    <w:p>
      <w:pPr/>
      <w:r>
        <w:t xml:space="preserve">Sévérité : Faible</w:t>
      </w:r>
    </w:p>
    <w:p/>
    <w:p>
      <w:pPr/>
      <w:r>
        <w:rPr>
          <w:b/>
        </w:rPr>
        <w:t xml:space="preserve">Risque identifié : </w:t>
      </w:r>
      <w:r>
        <w:t xml:space="preserve">Avoirs déjà envoyés à la FNE avant la migration, non typés 'refund' en base.</w:t>
      </w:r>
    </w:p>
    <w:p>
      <w:pPr/>
      <w:r>
        <w:rPr>
          <w:b/>
        </w:rPr>
        <w:t xml:space="preserve">Mesure d'atténuation : </w:t>
      </w:r>
      <w:r>
        <w:t xml:space="preserve">Exécution du script repair_refund_fne_invoices_prod.js post-déploiement (mode --apply après validation dry-run) pour rétrofiter les entrées manquantes.</w:t>
      </w:r>
    </w:p>
    <w:p>
      <w:pPr/>
      <w:r>
        <w:t xml:space="preserve">Probabilité : Elevée (existence confirmée par audit)</w:t>
      </w:r>
    </w:p>
    <w:p>
      <w:pPr/>
      <w:r>
        <w:t xml:space="preserve">Sévérité : Faible (réparation scriptée)</w:t>
      </w:r>
    </w:p>
    <w:p/>
    <w:p>
      <w:pPr/>
      <w:r>
        <w:rPr>
          <w:b/>
        </w:rPr>
        <w:t xml:space="preserve">4. PROPOSITIONS ET MODALITÉS DE DÉPLOIEMENT</w:t>
      </w:r>
    </w:p>
    <w:p>
      <w:pPr/>
      <w:r>
        <w:rPr>
          <w:b/>
        </w:rPr>
        <w:t xml:space="preserve">4.1 Plan de déploiement recommandé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800"/>
        <w:gridCol w:w="5500"/>
        <w:gridCol w:w="2200"/>
        <w:gridCol w:w="1500"/>
      </w:tblGrid>
      <w:tr>
        <w:tc>
          <w:tcPr>
            <w:tcW w:w="800" w:type="dxa"/>
            <w:shd w:val="clear" w:color="auto" w:fill="D9E1F2"/>
          </w:tcPr>
          <w:p>
            <w:pPr/>
            <w:r>
              <w:rPr>
                <w:b/>
              </w:rPr>
              <w:t xml:space="preserve">Étape</w:t>
            </w:r>
          </w:p>
        </w:tc>
        <w:tc>
          <w:tcPr>
            <w:tcW w:w="5500" w:type="dxa"/>
            <w:shd w:val="clear" w:color="auto" w:fill="D9E1F2"/>
          </w:tcPr>
          <w:p>
            <w:pPr/>
            <w:r>
              <w:rPr>
                <w:b/>
              </w:rPr>
              <w:t xml:space="preserve">Action</w:t>
            </w:r>
          </w:p>
        </w:tc>
        <w:tc>
          <w:tcPr>
            <w:tcW w:w="2200" w:type="dxa"/>
            <w:shd w:val="clear" w:color="auto" w:fill="D9E1F2"/>
          </w:tcPr>
          <w:p>
            <w:pPr/>
            <w:r>
              <w:rPr>
                <w:b/>
              </w:rPr>
              <w:t xml:space="preserve">Responsable</w:t>
            </w:r>
          </w:p>
        </w:tc>
        <w:tc>
          <w:tcPr>
            <w:tcW w:w="1500" w:type="dxa"/>
            <w:shd w:val="clear" w:color="auto" w:fill="D9E1F2"/>
          </w:tcPr>
          <w:p>
            <w:pPr/>
            <w:r>
              <w:rPr>
                <w:b/>
              </w:rPr>
              <w:t xml:space="preserve">Délai estimé</w:t>
            </w:r>
          </w:p>
        </w:tc>
      </w:tr>
      <w:tr>
        <w:tc>
          <w:tcPr>
            <w:tcW w:w="800" w:type="dxa"/>
          </w:tcPr>
          <w:p>
            <w:pPr/>
            <w:r>
              <w:t xml:space="preserve">1</w:t>
            </w:r>
          </w:p>
        </w:tc>
        <w:tc>
          <w:tcPr>
            <w:tcW w:w="5500" w:type="dxa"/>
          </w:tcPr>
          <w:p>
            <w:pPr/>
            <w:r>
              <w:t xml:space="preserve">Sauvegarde complète de la base de production (pg_dump) et du code backend + frontend déployés</w:t>
            </w:r>
          </w:p>
        </w:tc>
        <w:tc>
          <w:tcPr>
            <w:tcW w:w="2200" w:type="dxa"/>
          </w:tcPr>
          <w:p>
            <w:pPr/>
            <w:r>
              <w:t xml:space="preserve">Équipe infrastructure</w:t>
            </w:r>
          </w:p>
        </w:tc>
        <w:tc>
          <w:tcPr>
            <w:tcW w:w="1500" w:type="dxa"/>
          </w:tcPr>
          <w:p>
            <w:pPr/>
            <w:r>
              <w:t xml:space="preserve">30 min</w:t>
            </w:r>
          </w:p>
        </w:tc>
      </w:tr>
      <w:tr>
        <w:tc>
          <w:tcPr>
            <w:tcW w:w="800" w:type="dxa"/>
          </w:tcPr>
          <w:p>
            <w:pPr/>
            <w:r>
              <w:t xml:space="preserve">2</w:t>
            </w:r>
          </w:p>
        </w:tc>
        <w:tc>
          <w:tcPr>
            <w:tcW w:w="5500" w:type="dxa"/>
          </w:tcPr>
          <w:p>
            <w:pPr/>
            <w:r>
              <w:t xml:space="preserve">Déploiement en environnement UAT (backend_efacture_05052026 + frontend_efacture_05052026) + exécution des migrations</w:t>
            </w:r>
          </w:p>
        </w:tc>
        <w:tc>
          <w:tcPr>
            <w:tcW w:w="2200" w:type="dxa"/>
          </w:tcPr>
          <w:p>
            <w:pPr/>
            <w:r>
              <w:t xml:space="preserve">Équipe développement</w:t>
            </w:r>
          </w:p>
        </w:tc>
        <w:tc>
          <w:tcPr>
            <w:tcW w:w="1500" w:type="dxa"/>
          </w:tcPr>
          <w:p>
            <w:pPr/>
            <w:r>
              <w:t xml:space="preserve">1 h</w:t>
            </w:r>
          </w:p>
        </w:tc>
      </w:tr>
      <w:tr>
        <w:tc>
          <w:tcPr>
            <w:tcW w:w="800" w:type="dxa"/>
          </w:tcPr>
          <w:p>
            <w:pPr/>
            <w:r>
              <w:t xml:space="preserve">3</w:t>
            </w:r>
          </w:p>
        </w:tc>
        <w:tc>
          <w:tcPr>
            <w:tcW w:w="5500" w:type="dxa"/>
          </w:tcPr>
          <w:p>
            <w:pPr/>
            <w:r>
              <w:t xml:space="preserve">Tests fonctionnels : émission facture, émission avoir cohérent, tentative d'avoir incohérent (blocage attendu), notifications UX</w:t>
            </w:r>
          </w:p>
        </w:tc>
        <w:tc>
          <w:tcPr>
            <w:tcW w:w="2200" w:type="dxa"/>
          </w:tcPr>
          <w:p>
            <w:pPr/>
            <w:r>
              <w:t xml:space="preserve">Équipe QA + comptabilité</w:t>
            </w:r>
          </w:p>
        </w:tc>
        <w:tc>
          <w:tcPr>
            <w:tcW w:w="1500" w:type="dxa"/>
          </w:tcPr>
          <w:p>
            <w:pPr/>
            <w:r>
              <w:t xml:space="preserve">2 h</w:t>
            </w:r>
          </w:p>
        </w:tc>
      </w:tr>
      <w:tr>
        <w:tc>
          <w:tcPr>
            <w:tcW w:w="800" w:type="dxa"/>
          </w:tcPr>
          <w:p>
            <w:pPr/>
            <w:r>
              <w:t xml:space="preserve">4</w:t>
            </w:r>
          </w:p>
        </w:tc>
        <w:tc>
          <w:tcPr>
            <w:tcW w:w="5500" w:type="dxa"/>
          </w:tcPr>
          <w:p>
            <w:pPr/>
            <w:r>
              <w:t xml:space="preserve">Go/No-Go — validation des parties prenantes (DSI, Responsable Informatique, métier)</w:t>
            </w:r>
          </w:p>
        </w:tc>
        <w:tc>
          <w:tcPr>
            <w:tcW w:w="2200" w:type="dxa"/>
          </w:tcPr>
          <w:p>
            <w:pPr/>
            <w:r>
              <w:t xml:space="preserve">Chef de projet + validateurs</w:t>
            </w:r>
          </w:p>
        </w:tc>
        <w:tc>
          <w:tcPr>
            <w:tcW w:w="1500" w:type="dxa"/>
          </w:tcPr>
          <w:p>
            <w:pPr/>
            <w:r>
              <w:t xml:space="preserve">30 min</w:t>
            </w:r>
          </w:p>
        </w:tc>
      </w:tr>
      <w:tr>
        <w:tc>
          <w:tcPr>
            <w:tcW w:w="800" w:type="dxa"/>
          </w:tcPr>
          <w:p>
            <w:pPr/>
            <w:r>
              <w:t xml:space="preserve">5</w:t>
            </w:r>
          </w:p>
        </w:tc>
        <w:tc>
          <w:tcPr>
            <w:tcW w:w="5500" w:type="dxa"/>
          </w:tcPr>
          <w:p>
            <w:pPr/>
            <w:r>
              <w:t xml:space="preserve">Déploiement production : pm2 stop → mise à jour code → npm install → sequelize db:migrate → pm2 restart → monitoring</w:t>
            </w:r>
          </w:p>
        </w:tc>
        <w:tc>
          <w:tcPr>
            <w:tcW w:w="2200" w:type="dxa"/>
          </w:tcPr>
          <w:p>
            <w:pPr/>
            <w:r>
              <w:t xml:space="preserve">Équipe infrastructure + support</w:t>
            </w:r>
          </w:p>
        </w:tc>
        <w:tc>
          <w:tcPr>
            <w:tcW w:w="1500" w:type="dxa"/>
          </w:tcPr>
          <w:p>
            <w:pPr/>
            <w:r>
              <w:t xml:space="preserve">1 h</w:t>
            </w:r>
          </w:p>
        </w:tc>
      </w:tr>
      <w:tr>
        <w:tc>
          <w:tcPr>
            <w:tcW w:w="800" w:type="dxa"/>
          </w:tcPr>
          <w:p>
            <w:pPr/>
            <w:r>
              <w:t xml:space="preserve">6</w:t>
            </w:r>
          </w:p>
        </w:tc>
        <w:tc>
          <w:tcPr>
            <w:tcW w:w="5500" w:type="dxa"/>
          </w:tcPr>
          <w:p>
            <w:pPr/>
            <w:r>
              <w:t xml:space="preserve">Exécution du script repair_refund_fne_invoices_prod.js --apply pour rétrofiter les avoirs antérieurs</w:t>
            </w:r>
          </w:p>
        </w:tc>
        <w:tc>
          <w:tcPr>
            <w:tcW w:w="2200" w:type="dxa"/>
          </w:tcPr>
          <w:p>
            <w:pPr/>
            <w:r>
              <w:t xml:space="preserve">Équipe développement</w:t>
            </w:r>
          </w:p>
        </w:tc>
        <w:tc>
          <w:tcPr>
            <w:tcW w:w="1500" w:type="dxa"/>
          </w:tcPr>
          <w:p>
            <w:pPr/>
            <w:r>
              <w:t xml:space="preserve">30 min</w:t>
            </w:r>
          </w:p>
        </w:tc>
      </w:tr>
    </w:tbl>
    <w:p/>
    <w:p>
      <w:pPr/>
      <w:r>
        <w:rPr>
          <w:b/>
        </w:rPr>
        <w:t xml:space="preserve">4.2 Plan de rollback</w:t>
      </w:r>
    </w:p>
    <w:p>
      <w:pPr>
        <w:pStyle w:val="Paragraphedeliste"/>
      </w:pPr>
      <w:r>
        <w:t xml:space="preserve">Condition de déclenchement : échec des tests post-déploiement (envoi FNE en erreur &gt; 5 %, blocage frontal des notifications, échec migration).</w:t>
      </w:r>
    </w:p>
    <w:p>
      <w:pPr>
        <w:pStyle w:val="Paragraphedeliste"/>
      </w:pPr>
      <w:r>
        <w:t xml:space="preserve">Procédure : pm2 stop efacture-backend → sequelize db:migrate:undo --to 20260423000002-add-fne-response-time-to-logs.js → restauration code backend + frontend v1.0.0 → pm2 restart → vérification émission facture standard. Délai estimé : 20 minutes.</w:t>
      </w:r>
    </w:p>
    <w:p>
      <w:pPr>
        <w:pStyle w:val="Paragraphedeliste"/>
      </w:pPr>
      <w:r>
        <w:t xml:space="preserve">Responsable du rollback : Équipe développement (Yannick Atse) + Équipe infrastructure.</w:t>
      </w:r>
    </w:p>
    <w:p>
      <w:pPr>
        <w:pStyle w:val="Paragraphedeliste"/>
      </w:pPr>
      <w:r>
        <w:t xml:space="preserve">Communication en cas de rollback : email + canal Teams DSI immédiatement, comptabilité dans l'heure.</w:t>
      </w:r>
    </w:p>
    <w:p/>
    <w:p>
      <w:pPr/>
      <w:r>
        <w:rPr>
          <w:b/>
        </w:rPr>
        <w:t xml:space="preserve">4.3 Plan de communication</w:t>
      </w:r>
    </w:p>
    <w:p>
      <w:pPr>
        <w:pStyle w:val="Paragraphedeliste"/>
      </w:pPr>
      <w:r>
        <w:t xml:space="preserve">Communication préalable aux utilisateurs : J-3, email + affichage intranet (DSI → utilisateurs comptables et facturation).</w:t>
      </w:r>
    </w:p>
    <w:p>
      <w:pPr>
        <w:pStyle w:val="Paragraphedeliste"/>
      </w:pPr>
      <w:r>
        <w:t xml:space="preserve">Notification en cas d'interruption de service : bannière intranet + email comptable si &gt; 15 min.</w:t>
      </w:r>
    </w:p>
    <w:p>
      <w:pPr>
        <w:pStyle w:val="Paragraphedeliste"/>
      </w:pPr>
      <w:r>
        <w:t xml:space="preserve">Information post-déploiement (succès ou rollback) : email récapitulatif à J+0, dans les 2 h suivant la fin du déploiement.</w:t>
      </w:r>
    </w:p>
    <w:p/>
    <w:p>
      <w:pPr/>
      <w:r>
        <w:rPr>
          <w:b/>
        </w:rPr>
        <w:t xml:space="preserve">5. VALIDATION ET APPROBATION</w:t>
      </w:r>
    </w:p>
    <w:p>
      <w:pPr/>
      <w:r>
        <w:rPr>
          <w:b/>
        </w:rPr>
        <w:t xml:space="preserve">5.1 Validation hiérarchique — Signatures requises</w:t>
      </w:r>
    </w:p>
    <w:p>
      <w:pPr/>
      <w:r>
        <w:t xml:space="preserve">Les signataires ci-dessous attestent avoir pris connaissance du présent document et autorisent (ou refusent) le déploiement de la mise à jour décrite.</w:t>
      </w:r>
    </w:p>
    <w:p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333"/>
        <w:gridCol w:w="3333"/>
        <w:gridCol w:w="3334"/>
      </w:tblGrid>
      <w:tr>
        <w:tc>
          <w:tcPr>
            <w:tcW w:w="3333" w:type="dxa"/>
          </w:tcPr>
          <w:p>
            <w:pPr/>
            <w:r>
              <w:rPr>
                <w:b/>
              </w:rPr>
              <w:t xml:space="preserve">Chef de Département</w:t>
            </w:r>
          </w:p>
          <w:p/>
          <w:p>
            <w:pPr/>
            <w:r>
              <w:t xml:space="preserve">Date : ____/ ____/ ____</w:t>
            </w:r>
          </w:p>
          <w:p/>
          <w:p>
            <w:pPr/>
            <w:r>
              <w:t xml:space="preserve">Signature :</w:t>
            </w:r>
          </w:p>
        </w:tc>
        <w:tc>
          <w:tcPr>
            <w:tcW w:w="3333" w:type="dxa"/>
          </w:tcPr>
          <w:p>
            <w:pPr/>
            <w:r>
              <w:rPr>
                <w:b/>
              </w:rPr>
              <w:t xml:space="preserve">Responsable Informatique</w:t>
            </w:r>
          </w:p>
          <w:p/>
          <w:p>
            <w:pPr/>
            <w:r>
              <w:t xml:space="preserve">Date : ____/ ____/ ____</w:t>
            </w:r>
          </w:p>
          <w:p/>
          <w:p>
            <w:pPr/>
            <w:r>
              <w:t xml:space="preserve">Signature :</w:t>
            </w:r>
          </w:p>
        </w:tc>
        <w:tc>
          <w:tcPr>
            <w:tcW w:w="3334" w:type="dxa"/>
          </w:tcPr>
          <w:p>
            <w:pPr/>
            <w:r>
              <w:rPr>
                <w:b/>
              </w:rPr>
              <w:t xml:space="preserve">DSI / Directeur SI</w:t>
            </w:r>
          </w:p>
          <w:p/>
          <w:p>
            <w:pPr/>
            <w:r>
              <w:t xml:space="preserve">Date : ____/ ____/ ____</w:t>
            </w:r>
          </w:p>
          <w:p/>
          <w:p>
            <w:pPr/>
            <w:r>
              <w:t xml:space="preserve">Signature :</w:t>
            </w:r>
          </w:p>
        </w:tc>
      </w:tr>
    </w:tbl>
    <w:p/>
    <w:p>
      <w:pPr/>
      <w:r>
        <w:rPr>
          <w:b/>
        </w:rPr>
        <w:t xml:space="preserve">5.2 Commentaires / Conditions de validation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0000"/>
      </w:tblGrid>
      <w:tr>
        <w:tc>
          <w:tcPr>
            <w:tcW w:w="10000" w:type="dxa"/>
          </w:tcPr>
          <w:p>
            <w:pPr/>
            <w:r>
              <w:t xml:space="preserve">Commentaires libres, réserves ou conditions posées par les validateurs :</w:t>
            </w:r>
          </w:p>
          <w:p/>
          <w:p/>
          <w:p/>
          <w:p/>
          <w:p/>
        </w:tc>
      </w:tr>
    </w:tbl>
    <w:sectPr w:rsidR="004C6C27" w:rsidRPr="004C6C27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B4E77" w14:textId="77777777" w:rsidR="00545A99" w:rsidRDefault="00545A99">
      <w:r>
        <w:separator/>
      </w:r>
    </w:p>
  </w:endnote>
  <w:endnote w:type="continuationSeparator" w:id="0">
    <w:p w14:paraId="7AFAFE3E" w14:textId="77777777" w:rsidR="00545A99" w:rsidRDefault="00545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A6130" w14:textId="6953C280" w:rsidR="00AA1E7D" w:rsidRPr="00AA1E7D" w:rsidRDefault="00AA1E7D" w:rsidP="00AA1E7D">
    <w:pPr>
      <w:pStyle w:val="Pieddepage"/>
      <w:jc w:val="both"/>
      <w:rPr>
        <w:sz w:val="18"/>
        <w:szCs w:val="18"/>
      </w:rPr>
    </w:pPr>
    <w:r>
      <w:rPr>
        <w:color w:val="808080"/>
        <w:sz w:val="16"/>
        <w:szCs w:val="16"/>
      </w:rPr>
      <w:t>Document à archiver dans le dossier changements — Toute modification après signature invalide le présent document.</w:t>
    </w:r>
    <w:r w:rsidR="004C6C27" w:rsidRPr="004C6C27">
      <w:rPr>
        <w:sz w:val="18"/>
        <w:szCs w:val="18"/>
      </w:rPr>
      <w:t xml:space="preserve">                       </w:t>
    </w:r>
    <w:sdt>
      <w:sdtPr>
        <w:rPr>
          <w:sz w:val="18"/>
          <w:szCs w:val="18"/>
        </w:rPr>
        <w:id w:val="-402920276"/>
        <w:docPartObj>
          <w:docPartGallery w:val="Page Numbers (Bottom of Page)"/>
          <w:docPartUnique/>
        </w:docPartObj>
      </w:sdtPr>
      <w:sdtContent>
        <w:r w:rsidR="004C6C27" w:rsidRPr="004C6C27">
          <w:rPr>
            <w:sz w:val="18"/>
            <w:szCs w:val="18"/>
          </w:rPr>
          <w:fldChar w:fldCharType="begin"/>
        </w:r>
        <w:r w:rsidR="004C6C27" w:rsidRPr="004C6C27">
          <w:rPr>
            <w:sz w:val="18"/>
            <w:szCs w:val="18"/>
          </w:rPr>
          <w:instrText>PAGE   \* MERGEFORMAT</w:instrText>
        </w:r>
        <w:r w:rsidR="004C6C27" w:rsidRPr="004C6C27">
          <w:rPr>
            <w:sz w:val="18"/>
            <w:szCs w:val="18"/>
          </w:rPr>
          <w:fldChar w:fldCharType="separate"/>
        </w:r>
        <w:r w:rsidR="004C6C27" w:rsidRPr="004C6C27">
          <w:rPr>
            <w:sz w:val="18"/>
            <w:szCs w:val="18"/>
          </w:rPr>
          <w:t>2</w:t>
        </w:r>
        <w:r w:rsidR="004C6C27" w:rsidRPr="004C6C27">
          <w:rPr>
            <w:sz w:val="18"/>
            <w:szCs w:val="18"/>
          </w:rPr>
          <w:fldChar w:fldCharType="end"/>
        </w:r>
      </w:sdtContent>
    </w:sdt>
  </w:p>
  <w:p w14:paraId="1DFE2EA9" w14:textId="42F36DDE" w:rsidR="00D823DB" w:rsidRPr="004C6C27" w:rsidRDefault="00D823DB" w:rsidP="004C6C2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AFB50" w14:textId="77777777" w:rsidR="00545A99" w:rsidRDefault="00545A99">
      <w:r>
        <w:separator/>
      </w:r>
    </w:p>
  </w:footnote>
  <w:footnote w:type="continuationSeparator" w:id="0">
    <w:p w14:paraId="14CB3441" w14:textId="77777777" w:rsidR="00545A99" w:rsidRDefault="00545A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00"/>
      <w:gridCol w:w="3438"/>
    </w:tblGrid>
    <w:tr w:rsidR="006B768A" w14:paraId="6EB3FB20" w14:textId="77777777" w:rsidTr="00202BA3">
      <w:tc>
        <w:tcPr>
          <w:tcW w:w="6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691D944" w14:textId="468E3397" w:rsidR="006B768A" w:rsidRDefault="006B768A" w:rsidP="006B768A">
          <w:r>
            <w:rPr>
              <w:b/>
              <w:bCs/>
              <w:sz w:val="18"/>
              <w:szCs w:val="18"/>
            </w:rPr>
            <w:t>FICHE GESTION DE CHANGEMENT</w:t>
          </w:r>
          <w:r>
            <w:rPr>
              <w:color w:val="808080"/>
              <w:sz w:val="18"/>
              <w:szCs w:val="18"/>
            </w:rPr>
            <w:t xml:space="preserve"> </w:t>
          </w:r>
          <w:proofErr w:type="gramStart"/>
          <w:r>
            <w:rPr>
              <w:color w:val="808080"/>
              <w:sz w:val="18"/>
              <w:szCs w:val="18"/>
            </w:rPr>
            <w:t xml:space="preserve">|  </w:t>
          </w:r>
          <w:r w:rsidR="001E06AB" w:rsidRPr="001E06AB">
            <w:rPr>
              <w:color w:val="808080"/>
              <w:sz w:val="18"/>
              <w:szCs w:val="18"/>
            </w:rPr>
            <w:t>MO</w:t>
          </w:r>
          <w:proofErr w:type="gramEnd"/>
          <w:r w:rsidR="001E06AB" w:rsidRPr="001E06AB">
            <w:rPr>
              <w:color w:val="808080"/>
              <w:sz w:val="18"/>
              <w:szCs w:val="18"/>
            </w:rPr>
            <w:t>/POP/INF/XX- XX</w:t>
          </w:r>
        </w:p>
      </w:tc>
      <w:tc>
        <w:tcPr>
          <w:tcW w:w="34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448FA38" w14:textId="77777777" w:rsidR="006B768A" w:rsidRDefault="006B768A" w:rsidP="006B768A">
          <w:pPr>
            <w:jc w:val="right"/>
          </w:pPr>
          <w:r>
            <w:rPr>
              <w:b/>
              <w:bCs/>
              <w:sz w:val="16"/>
              <w:szCs w:val="16"/>
            </w:rPr>
            <w:t>CONFIDENTIEL — USAGE INTERNE</w:t>
          </w:r>
        </w:p>
      </w:tc>
    </w:tr>
  </w:tbl>
  <w:p w14:paraId="482EBE0F" w14:textId="77777777" w:rsidR="00D823DB" w:rsidRPr="006B768A" w:rsidRDefault="00D823DB" w:rsidP="006B768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F2E38"/>
    <w:multiLevelType w:val="hybridMultilevel"/>
    <w:tmpl w:val="BF0EF926"/>
    <w:lvl w:ilvl="0" w:tplc="C118438C">
      <w:start w:val="1"/>
      <w:numFmt w:val="bullet"/>
      <w:lvlText w:val="•"/>
      <w:lvlJc w:val="left"/>
      <w:pPr>
        <w:ind w:left="720" w:hanging="360"/>
      </w:pPr>
    </w:lvl>
    <w:lvl w:ilvl="1" w:tplc="DC6C9EEC">
      <w:numFmt w:val="decimal"/>
      <w:lvlText w:val=""/>
      <w:lvlJc w:val="left"/>
    </w:lvl>
    <w:lvl w:ilvl="2" w:tplc="5A46A586">
      <w:numFmt w:val="decimal"/>
      <w:lvlText w:val=""/>
      <w:lvlJc w:val="left"/>
    </w:lvl>
    <w:lvl w:ilvl="3" w:tplc="9AAE9950">
      <w:numFmt w:val="decimal"/>
      <w:lvlText w:val=""/>
      <w:lvlJc w:val="left"/>
    </w:lvl>
    <w:lvl w:ilvl="4" w:tplc="2E70C8D8">
      <w:numFmt w:val="decimal"/>
      <w:lvlText w:val=""/>
      <w:lvlJc w:val="left"/>
    </w:lvl>
    <w:lvl w:ilvl="5" w:tplc="A880DA4A">
      <w:numFmt w:val="decimal"/>
      <w:lvlText w:val=""/>
      <w:lvlJc w:val="left"/>
    </w:lvl>
    <w:lvl w:ilvl="6" w:tplc="F3967572">
      <w:numFmt w:val="decimal"/>
      <w:lvlText w:val=""/>
      <w:lvlJc w:val="left"/>
    </w:lvl>
    <w:lvl w:ilvl="7" w:tplc="1D36229C">
      <w:numFmt w:val="decimal"/>
      <w:lvlText w:val=""/>
      <w:lvlJc w:val="left"/>
    </w:lvl>
    <w:lvl w:ilvl="8" w:tplc="31FCD62C">
      <w:numFmt w:val="decimal"/>
      <w:lvlText w:val=""/>
      <w:lvlJc w:val="left"/>
    </w:lvl>
  </w:abstractNum>
  <w:abstractNum w:abstractNumId="1" w15:restartNumberingAfterBreak="0">
    <w:nsid w:val="544A65CB"/>
    <w:multiLevelType w:val="hybridMultilevel"/>
    <w:tmpl w:val="2BDCE1E4"/>
    <w:lvl w:ilvl="0" w:tplc="040C0019">
      <w:start w:val="1"/>
      <w:numFmt w:val="lowerLetter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762E1DFD"/>
    <w:multiLevelType w:val="hybridMultilevel"/>
    <w:tmpl w:val="50A67F86"/>
    <w:lvl w:ilvl="0" w:tplc="96BEA12C">
      <w:start w:val="1"/>
      <w:numFmt w:val="bullet"/>
      <w:lvlText w:val="●"/>
      <w:lvlJc w:val="left"/>
      <w:pPr>
        <w:ind w:left="720" w:hanging="360"/>
      </w:pPr>
    </w:lvl>
    <w:lvl w:ilvl="1" w:tplc="BCEAE8DA">
      <w:start w:val="1"/>
      <w:numFmt w:val="bullet"/>
      <w:lvlText w:val="○"/>
      <w:lvlJc w:val="left"/>
      <w:pPr>
        <w:ind w:left="1440" w:hanging="360"/>
      </w:pPr>
    </w:lvl>
    <w:lvl w:ilvl="2" w:tplc="A0C2ABD8">
      <w:start w:val="1"/>
      <w:numFmt w:val="bullet"/>
      <w:lvlText w:val="■"/>
      <w:lvlJc w:val="left"/>
      <w:pPr>
        <w:ind w:left="2160" w:hanging="360"/>
      </w:pPr>
    </w:lvl>
    <w:lvl w:ilvl="3" w:tplc="15C822E8">
      <w:start w:val="1"/>
      <w:numFmt w:val="bullet"/>
      <w:lvlText w:val="●"/>
      <w:lvlJc w:val="left"/>
      <w:pPr>
        <w:ind w:left="2880" w:hanging="360"/>
      </w:pPr>
    </w:lvl>
    <w:lvl w:ilvl="4" w:tplc="718CAC52">
      <w:start w:val="1"/>
      <w:numFmt w:val="bullet"/>
      <w:lvlText w:val="○"/>
      <w:lvlJc w:val="left"/>
      <w:pPr>
        <w:ind w:left="3600" w:hanging="360"/>
      </w:pPr>
    </w:lvl>
    <w:lvl w:ilvl="5" w:tplc="3E3AA3B0">
      <w:start w:val="1"/>
      <w:numFmt w:val="bullet"/>
      <w:lvlText w:val="■"/>
      <w:lvlJc w:val="left"/>
      <w:pPr>
        <w:ind w:left="4320" w:hanging="360"/>
      </w:pPr>
    </w:lvl>
    <w:lvl w:ilvl="6" w:tplc="46A6B4E0">
      <w:start w:val="1"/>
      <w:numFmt w:val="bullet"/>
      <w:lvlText w:val="●"/>
      <w:lvlJc w:val="left"/>
      <w:pPr>
        <w:ind w:left="5040" w:hanging="360"/>
      </w:pPr>
    </w:lvl>
    <w:lvl w:ilvl="7" w:tplc="7C5C68FC">
      <w:start w:val="1"/>
      <w:numFmt w:val="bullet"/>
      <w:lvlText w:val="●"/>
      <w:lvlJc w:val="left"/>
      <w:pPr>
        <w:ind w:left="5760" w:hanging="360"/>
      </w:pPr>
    </w:lvl>
    <w:lvl w:ilvl="8" w:tplc="2D80D8CE">
      <w:start w:val="1"/>
      <w:numFmt w:val="bullet"/>
      <w:lvlText w:val="●"/>
      <w:lvlJc w:val="left"/>
      <w:pPr>
        <w:ind w:left="6480" w:hanging="360"/>
      </w:pPr>
    </w:lvl>
  </w:abstractNum>
  <w:num w:numId="1" w16cid:durableId="932010490">
    <w:abstractNumId w:val="2"/>
    <w:lvlOverride w:ilvl="0">
      <w:startOverride w:val="1"/>
    </w:lvlOverride>
  </w:num>
  <w:num w:numId="2" w16cid:durableId="1568806258">
    <w:abstractNumId w:val="0"/>
    <w:lvlOverride w:ilvl="0">
      <w:startOverride w:val="1"/>
    </w:lvlOverride>
  </w:num>
  <w:num w:numId="3" w16cid:durableId="1021322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3DB"/>
    <w:rsid w:val="001E06AB"/>
    <w:rsid w:val="003705D4"/>
    <w:rsid w:val="00480936"/>
    <w:rsid w:val="00480C04"/>
    <w:rsid w:val="004C6C27"/>
    <w:rsid w:val="00545A99"/>
    <w:rsid w:val="00655DE2"/>
    <w:rsid w:val="006B768A"/>
    <w:rsid w:val="009F55B0"/>
    <w:rsid w:val="00A34A53"/>
    <w:rsid w:val="00A8054C"/>
    <w:rsid w:val="00AA1E7D"/>
    <w:rsid w:val="00BA16D7"/>
    <w:rsid w:val="00D560E1"/>
    <w:rsid w:val="00D823DB"/>
    <w:rsid w:val="00EA3D4D"/>
    <w:rsid w:val="00F9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8EFEC1"/>
  <w15:docId w15:val="{56155131-E7FB-478A-B74F-32F06E3B9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B768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B768A"/>
  </w:style>
  <w:style w:type="paragraph" w:styleId="Pieddepage">
    <w:name w:val="footer"/>
    <w:basedOn w:val="Normal"/>
    <w:link w:val="PieddepageCar"/>
    <w:uiPriority w:val="99"/>
    <w:unhideWhenUsed/>
    <w:rsid w:val="006B768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B7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6010B-E9B9-49B7-B142-D0DE4E6FE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637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Yannick Atse</cp:lastModifiedBy>
  <cp:revision>2</cp:revision>
  <dcterms:created xsi:type="dcterms:W3CDTF">2026-05-12T13:11:00Z</dcterms:created>
  <dcterms:modified xsi:type="dcterms:W3CDTF">2026-05-12T13:11:00Z</dcterms:modified>
</cp:coreProperties>
</file>