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DD266B" w14:textId="77777777" w:rsidR="00027BBF" w:rsidRDefault="00027BBF">
      <w:pPr>
        <w:pStyle w:val="Titre1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Intégration SAP — Application Fond de Caisse</w:t>
      </w:r>
    </w:p>
    <w:p w14:paraId="4517A8EB" w14:textId="77777777" w:rsidR="00027BBF" w:rsidRDefault="00027BBF">
      <w:pPr>
        <w:pStyle w:val="meta"/>
        <w:rPr>
          <w:rFonts w:ascii="Calibri" w:hAnsi="Calibri" w:cs="Calibri"/>
        </w:rPr>
      </w:pPr>
      <w:r>
        <w:rPr>
          <w:rFonts w:ascii="Calibri" w:hAnsi="Calibri" w:cs="Calibri"/>
        </w:rPr>
        <w:t>NPG Gandour • Document technique à destination de l'équipe SAP et de la comptabilité</w:t>
      </w:r>
      <w:r>
        <w:rPr>
          <w:rFonts w:ascii="Calibri" w:hAnsi="Calibri" w:cs="Calibri"/>
        </w:rPr>
        <w:br/>
        <w:t xml:space="preserve">Établi le 31 juillet 2026 </w:t>
      </w:r>
    </w:p>
    <w:p w14:paraId="37B8153D" w14:textId="77777777" w:rsidR="00027BBF" w:rsidRDefault="00027BBF">
      <w:pPr>
        <w:pStyle w:val="Titre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1. Objet</w:t>
      </w:r>
    </w:p>
    <w:p w14:paraId="2C13A525" w14:textId="77777777" w:rsidR="00027BBF" w:rsidRDefault="00027BBF">
      <w:pPr>
        <w:pStyle w:val="NormalWeb"/>
        <w:rPr>
          <w:rFonts w:ascii="Calibri" w:hAnsi="Calibri" w:cs="Calibri"/>
          <w:color w:val="1A1A1A"/>
          <w:sz w:val="22"/>
          <w:szCs w:val="22"/>
        </w:rPr>
      </w:pPr>
      <w:r>
        <w:rPr>
          <w:rFonts w:ascii="Calibri" w:hAnsi="Calibri" w:cs="Calibri"/>
          <w:color w:val="1A1A1A"/>
          <w:sz w:val="22"/>
          <w:szCs w:val="22"/>
        </w:rPr>
        <w:t xml:space="preserve">L'application </w:t>
      </w:r>
      <w:r>
        <w:rPr>
          <w:rStyle w:val="lev"/>
          <w:rFonts w:ascii="Calibri" w:hAnsi="Calibri" w:cs="Calibri"/>
          <w:color w:val="1A1A1A"/>
          <w:sz w:val="22"/>
          <w:szCs w:val="22"/>
        </w:rPr>
        <w:t>Fond de Caisse</w:t>
      </w:r>
      <w:r>
        <w:rPr>
          <w:rFonts w:ascii="Calibri" w:hAnsi="Calibri" w:cs="Calibri"/>
          <w:color w:val="1A1A1A"/>
          <w:sz w:val="22"/>
          <w:szCs w:val="22"/>
        </w:rPr>
        <w:t xml:space="preserve"> (gestion des caisses, bons de décaissement, portefeuilles et crédits employés) transmet automatiquement ses opérations financières à SAP sous forme de pièces comptables. Ce document décrit </w:t>
      </w:r>
      <w:r>
        <w:rPr>
          <w:rStyle w:val="lev"/>
          <w:rFonts w:ascii="Calibri" w:hAnsi="Calibri" w:cs="Calibri"/>
          <w:color w:val="1A1A1A"/>
          <w:sz w:val="22"/>
          <w:szCs w:val="22"/>
        </w:rPr>
        <w:t>ce qui est envoyé</w:t>
      </w:r>
      <w:r>
        <w:rPr>
          <w:rFonts w:ascii="Calibri" w:hAnsi="Calibri" w:cs="Calibri"/>
          <w:color w:val="1A1A1A"/>
          <w:sz w:val="22"/>
          <w:szCs w:val="22"/>
        </w:rPr>
        <w:t xml:space="preserve">, </w:t>
      </w:r>
      <w:r>
        <w:rPr>
          <w:rStyle w:val="lev"/>
          <w:rFonts w:ascii="Calibri" w:hAnsi="Calibri" w:cs="Calibri"/>
          <w:color w:val="1A1A1A"/>
          <w:sz w:val="22"/>
          <w:szCs w:val="22"/>
        </w:rPr>
        <w:t>par quels moyens techniques</w:t>
      </w:r>
      <w:r>
        <w:rPr>
          <w:rFonts w:ascii="Calibri" w:hAnsi="Calibri" w:cs="Calibri"/>
          <w:color w:val="1A1A1A"/>
          <w:sz w:val="22"/>
          <w:szCs w:val="22"/>
        </w:rPr>
        <w:t xml:space="preserve">, et liste les </w:t>
      </w:r>
      <w:r>
        <w:rPr>
          <w:rStyle w:val="lev"/>
          <w:rFonts w:ascii="Calibri" w:hAnsi="Calibri" w:cs="Calibri"/>
          <w:color w:val="1A1A1A"/>
          <w:sz w:val="22"/>
          <w:szCs w:val="22"/>
        </w:rPr>
        <w:t>points restant à valider</w:t>
      </w:r>
      <w:r>
        <w:rPr>
          <w:rFonts w:ascii="Calibri" w:hAnsi="Calibri" w:cs="Calibri"/>
          <w:color w:val="1A1A1A"/>
          <w:sz w:val="22"/>
          <w:szCs w:val="22"/>
        </w:rPr>
        <w:t xml:space="preserve"> avec l'équipe SAP et la comptabilité. </w:t>
      </w:r>
    </w:p>
    <w:p w14:paraId="08B34A12" w14:textId="77777777" w:rsidR="00027BBF" w:rsidRDefault="00027BBF">
      <w:pPr>
        <w:pStyle w:val="Titre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2. Environnement de connexion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03"/>
        <w:gridCol w:w="6169"/>
      </w:tblGrid>
      <w:tr w:rsidR="00000000" w14:paraId="00D719F6" w14:textId="77777777">
        <w:tc>
          <w:tcPr>
            <w:tcW w:w="1600" w:type="pct"/>
            <w:shd w:val="clear" w:color="auto" w:fill="0F4C81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612D4EE8" w14:textId="77777777" w:rsidR="00027BBF" w:rsidRDefault="00027BBF">
            <w:pPr>
              <w:spacing w:before="150" w:after="24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Paramètre</w:t>
            </w:r>
          </w:p>
        </w:tc>
        <w:tc>
          <w:tcPr>
            <w:tcW w:w="0" w:type="auto"/>
            <w:shd w:val="clear" w:color="auto" w:fill="0F4C81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2239073B" w14:textId="77777777" w:rsidR="00027BBF" w:rsidRDefault="00027BBF">
            <w:pPr>
              <w:spacing w:before="150" w:after="24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Valeur</w:t>
            </w:r>
          </w:p>
        </w:tc>
      </w:tr>
      <w:tr w:rsidR="00000000" w14:paraId="10A2A791" w14:textId="77777777"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570B9655" w14:textId="77777777" w:rsidR="00027BBF" w:rsidRDefault="00027BBF">
            <w:pPr>
              <w:spacing w:before="15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Serveur applicatif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72931BE9" w14:textId="77777777" w:rsidR="00027BBF" w:rsidRDefault="00027BBF">
            <w:pPr>
              <w:spacing w:before="15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Style w:val="CodeHTML"/>
                <w:color w:val="1A1A1A"/>
              </w:rPr>
              <w:t>10.200.200.200</w:t>
            </w: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 xml:space="preserve"> — </w:t>
            </w:r>
            <w:r>
              <w:rPr>
                <w:rStyle w:val="lev"/>
                <w:rFonts w:ascii="Calibri" w:eastAsia="Times New Roman" w:hAnsi="Calibri" w:cs="Calibri"/>
                <w:color w:val="1A1A1A"/>
                <w:sz w:val="20"/>
                <w:szCs w:val="20"/>
              </w:rPr>
              <w:t>système clone (test)</w:t>
            </w:r>
          </w:p>
        </w:tc>
      </w:tr>
      <w:tr w:rsidR="00000000" w14:paraId="6DF15D40" w14:textId="77777777"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4B032B22" w14:textId="77777777" w:rsidR="00027BBF" w:rsidRDefault="00027BBF">
            <w:pPr>
              <w:spacing w:before="15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Système / version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539A9FCD" w14:textId="77777777" w:rsidR="00027BBF" w:rsidRDefault="00027BBF">
            <w:pPr>
              <w:spacing w:before="15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 xml:space="preserve">SID </w:t>
            </w:r>
            <w:r>
              <w:rPr>
                <w:rStyle w:val="CodeHTML"/>
                <w:color w:val="1A1A1A"/>
              </w:rPr>
              <w:t>PN0</w:t>
            </w: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 xml:space="preserve"> — SAP R/3 Release 731</w:t>
            </w:r>
          </w:p>
        </w:tc>
      </w:tr>
      <w:tr w:rsidR="00000000" w14:paraId="75139BA7" w14:textId="77777777"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5F936206" w14:textId="77777777" w:rsidR="00027BBF" w:rsidRDefault="00027BBF">
            <w:pPr>
              <w:spacing w:before="15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Numéro d'instance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34247119" w14:textId="77777777" w:rsidR="00027BBF" w:rsidRDefault="00027BBF">
            <w:pPr>
              <w:spacing w:before="15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Style w:val="CodeHTML"/>
                <w:color w:val="1A1A1A"/>
              </w:rPr>
              <w:t>00</w:t>
            </w:r>
          </w:p>
        </w:tc>
      </w:tr>
      <w:tr w:rsidR="00000000" w14:paraId="06DFCD4E" w14:textId="77777777"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0C475221" w14:textId="77777777" w:rsidR="00027BBF" w:rsidRDefault="00027BBF">
            <w:pPr>
              <w:spacing w:before="15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Mandant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2726643A" w14:textId="77777777" w:rsidR="00027BBF" w:rsidRDefault="00027BBF">
            <w:pPr>
              <w:spacing w:before="15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Style w:val="CodeHTML"/>
                <w:color w:val="1A1A1A"/>
              </w:rPr>
              <w:t>100</w:t>
            </w: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 xml:space="preserve"> (libellé « NPG PROD », hérité du clonage)</w:t>
            </w:r>
          </w:p>
        </w:tc>
      </w:tr>
      <w:tr w:rsidR="00000000" w14:paraId="7DAFFE7F" w14:textId="77777777"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52D3E0B5" w14:textId="77777777" w:rsidR="00027BBF" w:rsidRDefault="00027BBF">
            <w:pPr>
              <w:spacing w:before="15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Utilisateur RFC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25606283" w14:textId="77777777" w:rsidR="00027BBF" w:rsidRDefault="00027BBF">
            <w:pPr>
              <w:spacing w:before="15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Style w:val="CodeHTML"/>
                <w:color w:val="1A1A1A"/>
              </w:rPr>
              <w:t>SYSAUTO</w:t>
            </w:r>
          </w:p>
        </w:tc>
      </w:tr>
      <w:tr w:rsidR="00000000" w14:paraId="3BCDB8B4" w14:textId="77777777"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63C35634" w14:textId="77777777" w:rsidR="00027BBF" w:rsidRDefault="00027BBF">
            <w:pPr>
              <w:spacing w:before="15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Langue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57CF03B2" w14:textId="77777777" w:rsidR="00027BBF" w:rsidRDefault="00027BBF">
            <w:pPr>
              <w:spacing w:before="15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Style w:val="CodeHTML"/>
                <w:color w:val="1A1A1A"/>
              </w:rPr>
              <w:t>FR</w:t>
            </w:r>
          </w:p>
        </w:tc>
      </w:tr>
      <w:tr w:rsidR="00000000" w14:paraId="2EC6D0BA" w14:textId="77777777"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5E33A097" w14:textId="77777777" w:rsidR="00027BBF" w:rsidRDefault="00027BBF">
            <w:pPr>
              <w:spacing w:before="15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Connecteur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7DA49A77" w14:textId="77777777" w:rsidR="00027BBF" w:rsidRDefault="00027BBF">
            <w:pPr>
              <w:spacing w:before="15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Style w:val="CodeHTML"/>
                <w:color w:val="1A1A1A"/>
              </w:rPr>
              <w:t>node-rfc</w:t>
            </w: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 xml:space="preserve"> (SAP NetWeaver RFC SDK)</w:t>
            </w:r>
          </w:p>
        </w:tc>
      </w:tr>
      <w:tr w:rsidR="00000000" w14:paraId="27981BCE" w14:textId="77777777"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1C422F09" w14:textId="77777777" w:rsidR="00027BBF" w:rsidRDefault="00027BBF">
            <w:pPr>
              <w:spacing w:before="15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Société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32134057" w14:textId="77777777" w:rsidR="00027BBF" w:rsidRDefault="00027BBF">
            <w:pPr>
              <w:spacing w:before="15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Style w:val="CodeHTML"/>
                <w:color w:val="1A1A1A"/>
              </w:rPr>
              <w:t>2251</w:t>
            </w: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 xml:space="preserve">  •  Plan comptable </w:t>
            </w:r>
            <w:r>
              <w:rPr>
                <w:rStyle w:val="lev"/>
                <w:rFonts w:ascii="Calibri" w:eastAsia="Times New Roman" w:hAnsi="Calibri" w:cs="Calibri"/>
                <w:color w:val="1A1A1A"/>
                <w:sz w:val="20"/>
                <w:szCs w:val="20"/>
              </w:rPr>
              <w:t>PCGG</w:t>
            </w:r>
          </w:p>
        </w:tc>
      </w:tr>
    </w:tbl>
    <w:p w14:paraId="116F6B48" w14:textId="77777777" w:rsidR="00027BBF" w:rsidRDefault="00027BBF">
      <w:pPr>
        <w:pStyle w:val="NormalWeb"/>
        <w:rPr>
          <w:rFonts w:ascii="Calibri" w:hAnsi="Calibri" w:cs="Calibri"/>
          <w:color w:val="1A1A1A"/>
          <w:sz w:val="22"/>
          <w:szCs w:val="22"/>
        </w:rPr>
      </w:pPr>
      <w:r>
        <w:rPr>
          <w:rStyle w:val="lev"/>
          <w:rFonts w:ascii="Calibri" w:hAnsi="Calibri" w:cs="Calibri"/>
          <w:color w:val="1A1A1A"/>
          <w:sz w:val="22"/>
          <w:szCs w:val="22"/>
        </w:rPr>
        <w:t>Point d'attention :</w:t>
      </w:r>
      <w:r>
        <w:rPr>
          <w:rFonts w:ascii="Calibri" w:hAnsi="Calibri" w:cs="Calibri"/>
          <w:color w:val="1A1A1A"/>
          <w:sz w:val="22"/>
          <w:szCs w:val="22"/>
        </w:rPr>
        <w:t xml:space="preserve"> le mandant 100 porte le libellé « NPG PROD » et le système l'identifiant </w:t>
      </w:r>
      <w:r>
        <w:rPr>
          <w:rStyle w:val="CodeHTML"/>
          <w:color w:val="1A1A1A"/>
        </w:rPr>
        <w:t>PN0</w:t>
      </w:r>
      <w:r>
        <w:rPr>
          <w:rFonts w:ascii="Calibri" w:hAnsi="Calibri" w:cs="Calibri"/>
          <w:color w:val="1A1A1A"/>
          <w:sz w:val="22"/>
          <w:szCs w:val="22"/>
        </w:rPr>
        <w:t xml:space="preserve">, alors qu'il s'agit d'un </w:t>
      </w:r>
      <w:r>
        <w:rPr>
          <w:rStyle w:val="lev"/>
          <w:rFonts w:ascii="Calibri" w:hAnsi="Calibri" w:cs="Calibri"/>
          <w:color w:val="1A1A1A"/>
          <w:sz w:val="22"/>
          <w:szCs w:val="22"/>
        </w:rPr>
        <w:t>clone de test</w:t>
      </w:r>
      <w:r>
        <w:rPr>
          <w:rFonts w:ascii="Calibri" w:hAnsi="Calibri" w:cs="Calibri"/>
          <w:color w:val="1A1A1A"/>
          <w:sz w:val="22"/>
          <w:szCs w:val="22"/>
        </w:rPr>
        <w:t xml:space="preserve">. Ces libellés, hérités de la copie, ne doivent pas être interprétés comme une désignation de production. </w:t>
      </w:r>
    </w:p>
    <w:p w14:paraId="7A735A88" w14:textId="77777777" w:rsidR="00027BBF" w:rsidRDefault="00027BBF">
      <w:pPr>
        <w:pStyle w:val="Titre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3. Fonctions SAP appelées</w:t>
      </w:r>
    </w:p>
    <w:p w14:paraId="36650825" w14:textId="77777777" w:rsidR="00027BBF" w:rsidRDefault="00027BBF">
      <w:pPr>
        <w:pStyle w:val="Titre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3.1 Écriture comptable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66"/>
        <w:gridCol w:w="4536"/>
        <w:gridCol w:w="1270"/>
      </w:tblGrid>
      <w:tr w:rsidR="00000000" w14:paraId="25B4FE15" w14:textId="77777777">
        <w:tc>
          <w:tcPr>
            <w:tcW w:w="1800" w:type="pct"/>
            <w:shd w:val="clear" w:color="auto" w:fill="0F4C81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5CF64D47" w14:textId="77777777" w:rsidR="00027BBF" w:rsidRDefault="00027BBF">
            <w:pPr>
              <w:spacing w:before="150" w:after="24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lastRenderedPageBreak/>
              <w:t>Fonction</w:t>
            </w:r>
          </w:p>
        </w:tc>
        <w:tc>
          <w:tcPr>
            <w:tcW w:w="0" w:type="auto"/>
            <w:shd w:val="clear" w:color="auto" w:fill="0F4C81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6FFF94D3" w14:textId="77777777" w:rsidR="00027BBF" w:rsidRDefault="00027BBF">
            <w:pPr>
              <w:spacing w:before="150" w:after="24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Rôle</w:t>
            </w:r>
          </w:p>
        </w:tc>
        <w:tc>
          <w:tcPr>
            <w:tcW w:w="700" w:type="pct"/>
            <w:shd w:val="clear" w:color="auto" w:fill="0F4C81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3AFD6268" w14:textId="77777777" w:rsidR="00027BBF" w:rsidRDefault="00027BBF">
            <w:pPr>
              <w:spacing w:before="150" w:after="24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Écrit ?</w:t>
            </w:r>
          </w:p>
        </w:tc>
      </w:tr>
      <w:tr w:rsidR="00000000" w14:paraId="2E9E93AF" w14:textId="77777777"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2B843E5A" w14:textId="77777777" w:rsidR="00027BBF" w:rsidRDefault="00027BBF">
            <w:pPr>
              <w:spacing w:before="15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Style w:val="CodeHTML"/>
                <w:color w:val="1A1A1A"/>
              </w:rPr>
              <w:t>BAPI_ACC_DOCUMENT_CHECK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0B58CA8E" w14:textId="77777777" w:rsidR="00027BBF" w:rsidRDefault="00027BBF">
            <w:pPr>
              <w:spacing w:before="15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Soumet une pièce au contrôle de SAP et récupère les messages d'erreur, sans rien enregistrer.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685F647A" w14:textId="77777777" w:rsidR="00027BBF" w:rsidRDefault="00027BBF">
            <w:pPr>
              <w:spacing w:before="15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Non</w:t>
            </w:r>
          </w:p>
        </w:tc>
      </w:tr>
      <w:tr w:rsidR="00000000" w14:paraId="5668BC8E" w14:textId="77777777"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1494619D" w14:textId="77777777" w:rsidR="00027BBF" w:rsidRDefault="00027BBF">
            <w:pPr>
              <w:spacing w:before="15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Style w:val="CodeHTML"/>
                <w:color w:val="1A1A1A"/>
              </w:rPr>
              <w:t>BAPI_ACC_DOCUMENT_POST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1B7190FD" w14:textId="77777777" w:rsidR="00027BBF" w:rsidRDefault="00027BBF">
            <w:pPr>
              <w:spacing w:before="15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Crée la pièce comptable.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6ED4024A" w14:textId="77777777" w:rsidR="00027BBF" w:rsidRDefault="00027BBF">
            <w:pPr>
              <w:spacing w:before="15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Oui, après validation</w:t>
            </w:r>
          </w:p>
        </w:tc>
      </w:tr>
      <w:tr w:rsidR="00000000" w14:paraId="00ECA8D6" w14:textId="77777777"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0B166E2E" w14:textId="77777777" w:rsidR="00027BBF" w:rsidRDefault="00027BBF">
            <w:pPr>
              <w:spacing w:before="15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Style w:val="CodeHTML"/>
                <w:color w:val="1A1A1A"/>
              </w:rPr>
              <w:t>BAPI_TRANSACTION_COMMIT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768D7EF9" w14:textId="77777777" w:rsidR="00027BBF" w:rsidRDefault="00027BBF">
            <w:pPr>
              <w:spacing w:before="15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Rend l'écriture définitive.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2D4D135D" w14:textId="77777777" w:rsidR="00027BBF" w:rsidRDefault="00027BBF">
            <w:pPr>
              <w:spacing w:before="15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—</w:t>
            </w:r>
          </w:p>
        </w:tc>
      </w:tr>
      <w:tr w:rsidR="00000000" w14:paraId="51029F0F" w14:textId="77777777"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1215C940" w14:textId="77777777" w:rsidR="00027BBF" w:rsidRDefault="00027BBF">
            <w:pPr>
              <w:spacing w:before="15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Style w:val="CodeHTML"/>
                <w:color w:val="1A1A1A"/>
              </w:rPr>
              <w:t>BAPI_TRANSACTION_ROLLBACK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68D655DE" w14:textId="77777777" w:rsidR="00027BBF" w:rsidRDefault="00027BBF">
            <w:pPr>
              <w:spacing w:before="15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Annule l'opération lorsque SAP a renvoyé une erreur.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01A92525" w14:textId="77777777" w:rsidR="00027BBF" w:rsidRDefault="00027BBF">
            <w:pPr>
              <w:spacing w:before="15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—</w:t>
            </w:r>
          </w:p>
        </w:tc>
      </w:tr>
      <w:tr w:rsidR="00000000" w14:paraId="67E859AB" w14:textId="77777777"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6C9CD924" w14:textId="77777777" w:rsidR="00027BBF" w:rsidRDefault="00027BBF">
            <w:pPr>
              <w:spacing w:before="15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Style w:val="CodeHTML"/>
                <w:color w:val="1A1A1A"/>
              </w:rPr>
              <w:t>BAPI_ACC_DOCUMENT_REV_POST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58432573" w14:textId="77777777" w:rsidR="00027BBF" w:rsidRDefault="00027BBF">
            <w:pPr>
              <w:spacing w:before="15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Contrepasse une pièce déjà comptabilisée.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230091DC" w14:textId="77777777" w:rsidR="00027BBF" w:rsidRDefault="00027BBF">
            <w:pPr>
              <w:spacing w:before="15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Oui</w:t>
            </w:r>
          </w:p>
        </w:tc>
      </w:tr>
    </w:tbl>
    <w:p w14:paraId="57C4F087" w14:textId="77777777" w:rsidR="00027BBF" w:rsidRDefault="00027BBF">
      <w:pPr>
        <w:pStyle w:val="NormalWeb"/>
        <w:rPr>
          <w:rFonts w:ascii="Calibri" w:hAnsi="Calibri" w:cs="Calibri"/>
          <w:color w:val="1A1A1A"/>
          <w:sz w:val="22"/>
          <w:szCs w:val="22"/>
        </w:rPr>
      </w:pPr>
      <w:r>
        <w:rPr>
          <w:rStyle w:val="CodeHTML"/>
          <w:color w:val="1A1A1A"/>
        </w:rPr>
        <w:t>BAPI_ACC_DOCUMENT_POST</w:t>
      </w:r>
      <w:r>
        <w:rPr>
          <w:rFonts w:ascii="Calibri" w:hAnsi="Calibri" w:cs="Calibri"/>
          <w:color w:val="1A1A1A"/>
          <w:sz w:val="22"/>
          <w:szCs w:val="22"/>
        </w:rPr>
        <w:t xml:space="preserve"> n'enregistre rien à elle seule : l'application enchaîne </w:t>
      </w:r>
      <w:r>
        <w:rPr>
          <w:rStyle w:val="CodeHTML"/>
          <w:color w:val="1A1A1A"/>
        </w:rPr>
        <w:t>BAPI_TRANSACTION_COMMIT</w:t>
      </w:r>
      <w:r>
        <w:rPr>
          <w:rFonts w:ascii="Calibri" w:hAnsi="Calibri" w:cs="Calibri"/>
          <w:color w:val="1A1A1A"/>
          <w:sz w:val="22"/>
          <w:szCs w:val="22"/>
        </w:rPr>
        <w:t xml:space="preserve"> en cas de succès, ou </w:t>
      </w:r>
      <w:r>
        <w:rPr>
          <w:rStyle w:val="CodeHTML"/>
          <w:color w:val="1A1A1A"/>
        </w:rPr>
        <w:t>BAPI_TRANSACTION_ROLLBACK</w:t>
      </w:r>
      <w:r>
        <w:rPr>
          <w:rFonts w:ascii="Calibri" w:hAnsi="Calibri" w:cs="Calibri"/>
          <w:color w:val="1A1A1A"/>
          <w:sz w:val="22"/>
          <w:szCs w:val="22"/>
        </w:rPr>
        <w:t xml:space="preserve"> dès qu'un message de type </w:t>
      </w:r>
      <w:r>
        <w:rPr>
          <w:rStyle w:val="Accentuation"/>
          <w:rFonts w:ascii="Calibri" w:hAnsi="Calibri" w:cs="Calibri"/>
          <w:color w:val="1A1A1A"/>
          <w:sz w:val="22"/>
          <w:szCs w:val="22"/>
        </w:rPr>
        <w:t>E</w:t>
      </w:r>
      <w:r>
        <w:rPr>
          <w:rFonts w:ascii="Calibri" w:hAnsi="Calibri" w:cs="Calibri"/>
          <w:color w:val="1A1A1A"/>
          <w:sz w:val="22"/>
          <w:szCs w:val="22"/>
        </w:rPr>
        <w:t xml:space="preserve"> ou </w:t>
      </w:r>
      <w:r>
        <w:rPr>
          <w:rStyle w:val="Accentuation"/>
          <w:rFonts w:ascii="Calibri" w:hAnsi="Calibri" w:cs="Calibri"/>
          <w:color w:val="1A1A1A"/>
          <w:sz w:val="22"/>
          <w:szCs w:val="22"/>
        </w:rPr>
        <w:t>A</w:t>
      </w:r>
      <w:r>
        <w:rPr>
          <w:rFonts w:ascii="Calibri" w:hAnsi="Calibri" w:cs="Calibri"/>
          <w:color w:val="1A1A1A"/>
          <w:sz w:val="22"/>
          <w:szCs w:val="22"/>
        </w:rPr>
        <w:t xml:space="preserve"> est retourné. Une pièce refusée ne laisse donc aucune trace. </w:t>
      </w:r>
    </w:p>
    <w:p w14:paraId="394C4B1A" w14:textId="77777777" w:rsidR="00027BBF" w:rsidRDefault="00027BBF">
      <w:pPr>
        <w:pStyle w:val="Titre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3.2 Vérifications pendant la saisie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66"/>
        <w:gridCol w:w="5806"/>
      </w:tblGrid>
      <w:tr w:rsidR="00000000" w14:paraId="7A7F24D7" w14:textId="77777777">
        <w:tc>
          <w:tcPr>
            <w:tcW w:w="1800" w:type="pct"/>
            <w:shd w:val="clear" w:color="auto" w:fill="0F4C81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3EE9F90A" w14:textId="77777777" w:rsidR="00027BBF" w:rsidRDefault="00027BBF">
            <w:pPr>
              <w:spacing w:before="150" w:after="24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Fonction</w:t>
            </w:r>
          </w:p>
        </w:tc>
        <w:tc>
          <w:tcPr>
            <w:tcW w:w="0" w:type="auto"/>
            <w:shd w:val="clear" w:color="auto" w:fill="0F4C81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3103D13F" w14:textId="77777777" w:rsidR="00027BBF" w:rsidRDefault="00027BBF">
            <w:pPr>
              <w:spacing w:before="150" w:after="24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Rôle dans l'application</w:t>
            </w:r>
          </w:p>
        </w:tc>
      </w:tr>
      <w:tr w:rsidR="00000000" w14:paraId="05676EF5" w14:textId="77777777"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7AB54CD4" w14:textId="77777777" w:rsidR="00027BBF" w:rsidRDefault="00027BBF">
            <w:pPr>
              <w:spacing w:before="15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Style w:val="CodeHTML"/>
                <w:color w:val="1A1A1A"/>
              </w:rPr>
              <w:t>BAPI_CUSTOMER_GETDETAIL2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1851639E" w14:textId="77777777" w:rsidR="00027BBF" w:rsidRDefault="00027BBF">
            <w:pPr>
              <w:spacing w:before="15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Contrôle l'existence d'un client (KUNNR) lors de la saisie d'un bon.</w:t>
            </w:r>
          </w:p>
        </w:tc>
      </w:tr>
      <w:tr w:rsidR="00000000" w14:paraId="13497181" w14:textId="77777777"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6C185636" w14:textId="77777777" w:rsidR="00027BBF" w:rsidRDefault="00027BBF">
            <w:pPr>
              <w:spacing w:before="15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Style w:val="CodeHTML"/>
                <w:color w:val="1A1A1A"/>
              </w:rPr>
              <w:t>BAPI_VENDOR_GETDETAIL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7CB05212" w14:textId="77777777" w:rsidR="00027BBF" w:rsidRDefault="00027BBF">
            <w:pPr>
              <w:spacing w:before="15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Contrôle l'existence d'un fournisseur (LIFNR), également à la création d'un partenaire.</w:t>
            </w:r>
          </w:p>
        </w:tc>
      </w:tr>
      <w:tr w:rsidR="00000000" w14:paraId="583A86C9" w14:textId="77777777"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03942A2C" w14:textId="77777777" w:rsidR="00027BBF" w:rsidRDefault="00027BBF">
            <w:pPr>
              <w:spacing w:before="15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Style w:val="CodeHTML"/>
                <w:color w:val="1A1A1A"/>
              </w:rPr>
              <w:t>BAPI_PO_GETDETAIL1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66229853" w14:textId="77777777" w:rsidR="00027BBF" w:rsidRDefault="00027BBF">
            <w:pPr>
              <w:spacing w:before="15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Contrôle l'existence d'une commande d'achat (EBELN).</w:t>
            </w:r>
          </w:p>
        </w:tc>
      </w:tr>
    </w:tbl>
    <w:p w14:paraId="5851B6AB" w14:textId="77777777" w:rsidR="00027BBF" w:rsidRDefault="00027BBF">
      <w:pPr>
        <w:pStyle w:val="Titre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3.3 Fonctions techniques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66"/>
        <w:gridCol w:w="5806"/>
      </w:tblGrid>
      <w:tr w:rsidR="00000000" w14:paraId="695B78AE" w14:textId="77777777">
        <w:tc>
          <w:tcPr>
            <w:tcW w:w="1800" w:type="pct"/>
            <w:shd w:val="clear" w:color="auto" w:fill="0F4C81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51D99C4E" w14:textId="77777777" w:rsidR="00027BBF" w:rsidRDefault="00027BBF">
            <w:pPr>
              <w:spacing w:before="150" w:after="24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Fonction</w:t>
            </w:r>
          </w:p>
        </w:tc>
        <w:tc>
          <w:tcPr>
            <w:tcW w:w="0" w:type="auto"/>
            <w:shd w:val="clear" w:color="auto" w:fill="0F4C81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244E428A" w14:textId="77777777" w:rsidR="00027BBF" w:rsidRDefault="00027BBF">
            <w:pPr>
              <w:spacing w:before="150" w:after="24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Rôle</w:t>
            </w:r>
          </w:p>
        </w:tc>
      </w:tr>
      <w:tr w:rsidR="00000000" w14:paraId="15C57466" w14:textId="77777777"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75318F2A" w14:textId="77777777" w:rsidR="00027BBF" w:rsidRDefault="00027BBF">
            <w:pPr>
              <w:spacing w:before="15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Style w:val="CodeHTML"/>
                <w:color w:val="1A1A1A"/>
              </w:rPr>
              <w:t>STFC_CONNECTION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094E23F0" w14:textId="77777777" w:rsidR="00027BBF" w:rsidRDefault="00027BBF">
            <w:pPr>
              <w:spacing w:before="15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Test de liaison RFC (fonction « ping » de l'écran de test).</w:t>
            </w:r>
          </w:p>
        </w:tc>
      </w:tr>
      <w:tr w:rsidR="00000000" w14:paraId="26F9469D" w14:textId="77777777"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530F2819" w14:textId="77777777" w:rsidR="00027BBF" w:rsidRDefault="00027BBF">
            <w:pPr>
              <w:spacing w:before="15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Style w:val="CodeHTML"/>
                <w:color w:val="1A1A1A"/>
              </w:rPr>
              <w:lastRenderedPageBreak/>
              <w:t>RFC_READ_TABLE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07822605" w14:textId="77777777" w:rsidR="00027BBF" w:rsidRDefault="00027BBF">
            <w:pPr>
              <w:spacing w:before="15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Lecture de tables de référence (voir ci-dessous).</w:t>
            </w:r>
          </w:p>
        </w:tc>
      </w:tr>
    </w:tbl>
    <w:p w14:paraId="4416C2BC" w14:textId="77777777" w:rsidR="00027BBF" w:rsidRDefault="00027BBF">
      <w:pPr>
        <w:rPr>
          <w:rFonts w:ascii="Calibri" w:eastAsia="Times New Roman" w:hAnsi="Calibri" w:cs="Calibri"/>
          <w:vanish/>
          <w:color w:val="1A1A1A"/>
          <w:sz w:val="22"/>
          <w:szCs w:val="22"/>
        </w:rPr>
      </w:pP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14"/>
        <w:gridCol w:w="7258"/>
      </w:tblGrid>
      <w:tr w:rsidR="00000000" w14:paraId="68938520" w14:textId="77777777">
        <w:tc>
          <w:tcPr>
            <w:tcW w:w="1000" w:type="pct"/>
            <w:shd w:val="clear" w:color="auto" w:fill="0F4C81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38398E00" w14:textId="77777777" w:rsidR="00027BBF" w:rsidRDefault="00027BBF">
            <w:pPr>
              <w:spacing w:before="150" w:after="24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Table</w:t>
            </w:r>
          </w:p>
        </w:tc>
        <w:tc>
          <w:tcPr>
            <w:tcW w:w="0" w:type="auto"/>
            <w:shd w:val="clear" w:color="auto" w:fill="0F4C81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13095877" w14:textId="77777777" w:rsidR="00027BBF" w:rsidRDefault="00027BBF">
            <w:pPr>
              <w:spacing w:before="150" w:after="24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Données lues</w:t>
            </w:r>
          </w:p>
        </w:tc>
      </w:tr>
      <w:tr w:rsidR="00000000" w14:paraId="7161A319" w14:textId="77777777"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7E6709CB" w14:textId="77777777" w:rsidR="00027BBF" w:rsidRDefault="00027BBF">
            <w:pPr>
              <w:spacing w:before="15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Style w:val="CodeHTML"/>
                <w:color w:val="1A1A1A"/>
              </w:rPr>
              <w:t>SKB1</w:t>
            </w: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 xml:space="preserve"> / </w:t>
            </w:r>
            <w:r>
              <w:rPr>
                <w:rStyle w:val="CodeHTML"/>
                <w:color w:val="1A1A1A"/>
              </w:rPr>
              <w:t>SKAT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51EFA389" w14:textId="77777777" w:rsidR="00027BBF" w:rsidRDefault="00027BBF">
            <w:pPr>
              <w:spacing w:before="15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Comptes généraux et libellés — synchronisation du plan comptable PCGG.</w:t>
            </w:r>
          </w:p>
        </w:tc>
      </w:tr>
      <w:tr w:rsidR="00000000" w14:paraId="32A4B2C7" w14:textId="77777777"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49BAD83D" w14:textId="77777777" w:rsidR="00027BBF" w:rsidRDefault="00027BBF">
            <w:pPr>
              <w:spacing w:before="15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Style w:val="CodeHTML"/>
                <w:color w:val="1A1A1A"/>
              </w:rPr>
              <w:t>LFA1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20067434" w14:textId="77777777" w:rsidR="00027BBF" w:rsidRDefault="00027BBF">
            <w:pPr>
              <w:spacing w:before="15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Fournisseurs — synchronisation du référentiel.</w:t>
            </w:r>
          </w:p>
        </w:tc>
      </w:tr>
      <w:tr w:rsidR="00000000" w14:paraId="000073D9" w14:textId="77777777"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736B457F" w14:textId="77777777" w:rsidR="00027BBF" w:rsidRDefault="00027BBF">
            <w:pPr>
              <w:spacing w:before="15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Style w:val="CodeHTML"/>
                <w:color w:val="1A1A1A"/>
              </w:rPr>
              <w:t>CSKT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755604BB" w14:textId="77777777" w:rsidR="00027BBF" w:rsidRDefault="00027BBF">
            <w:pPr>
              <w:spacing w:before="15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Libellés des centres de coût.</w:t>
            </w:r>
          </w:p>
        </w:tc>
      </w:tr>
      <w:tr w:rsidR="00000000" w14:paraId="5DB01CED" w14:textId="77777777"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2C68ED54" w14:textId="77777777" w:rsidR="00027BBF" w:rsidRDefault="00027BBF">
            <w:pPr>
              <w:spacing w:before="15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Style w:val="CodeHTML"/>
                <w:color w:val="1A1A1A"/>
              </w:rPr>
              <w:t>TCURX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50656A69" w14:textId="77777777" w:rsidR="00027BBF" w:rsidRDefault="00027BBF">
            <w:pPr>
              <w:spacing w:before="15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Nombre de décimales par devise (voir section 5).</w:t>
            </w:r>
          </w:p>
        </w:tc>
      </w:tr>
    </w:tbl>
    <w:p w14:paraId="4852A7AF" w14:textId="77777777" w:rsidR="00027BBF" w:rsidRDefault="00027BBF">
      <w:pPr>
        <w:pStyle w:val="NormalWeb"/>
        <w:rPr>
          <w:rFonts w:ascii="Calibri" w:hAnsi="Calibri" w:cs="Calibri"/>
          <w:color w:val="1A1A1A"/>
          <w:sz w:val="22"/>
          <w:szCs w:val="22"/>
        </w:rPr>
      </w:pPr>
      <w:r>
        <w:rPr>
          <w:rStyle w:val="lev"/>
          <w:rFonts w:ascii="Calibri" w:hAnsi="Calibri" w:cs="Calibri"/>
          <w:color w:val="1A1A1A"/>
          <w:sz w:val="22"/>
          <w:szCs w:val="22"/>
        </w:rPr>
        <w:t>Remarque :</w:t>
      </w:r>
      <w:r>
        <w:rPr>
          <w:rFonts w:ascii="Calibri" w:hAnsi="Calibri" w:cs="Calibri"/>
          <w:color w:val="1A1A1A"/>
          <w:sz w:val="22"/>
          <w:szCs w:val="22"/>
        </w:rPr>
        <w:t xml:space="preserve"> la table </w:t>
      </w:r>
      <w:r>
        <w:rPr>
          <w:rStyle w:val="CodeHTML"/>
          <w:color w:val="1A1A1A"/>
        </w:rPr>
        <w:t>BSEG</w:t>
      </w:r>
      <w:r>
        <w:rPr>
          <w:rFonts w:ascii="Calibri" w:hAnsi="Calibri" w:cs="Calibri"/>
          <w:color w:val="1A1A1A"/>
          <w:sz w:val="22"/>
          <w:szCs w:val="22"/>
        </w:rPr>
        <w:t xml:space="preserve"> n'est pas accessible par </w:t>
      </w:r>
      <w:r>
        <w:rPr>
          <w:rStyle w:val="CodeHTML"/>
          <w:color w:val="1A1A1A"/>
        </w:rPr>
        <w:t>RFC_READ_TABLE</w:t>
      </w:r>
      <w:r>
        <w:rPr>
          <w:rFonts w:ascii="Calibri" w:hAnsi="Calibri" w:cs="Calibri"/>
          <w:color w:val="1A1A1A"/>
          <w:sz w:val="22"/>
          <w:szCs w:val="22"/>
        </w:rPr>
        <w:t xml:space="preserve"> (table de type cluster). Les vérifications de postes s'appuient sur </w:t>
      </w:r>
      <w:r>
        <w:rPr>
          <w:rStyle w:val="CodeHTML"/>
          <w:color w:val="1A1A1A"/>
        </w:rPr>
        <w:t>BSIS</w:t>
      </w:r>
      <w:r>
        <w:rPr>
          <w:rFonts w:ascii="Calibri" w:hAnsi="Calibri" w:cs="Calibri"/>
          <w:color w:val="1A1A1A"/>
          <w:sz w:val="22"/>
          <w:szCs w:val="22"/>
        </w:rPr>
        <w:t xml:space="preserve"> / </w:t>
      </w:r>
      <w:r>
        <w:rPr>
          <w:rStyle w:val="CodeHTML"/>
          <w:color w:val="1A1A1A"/>
        </w:rPr>
        <w:t>BSAS</w:t>
      </w:r>
      <w:r>
        <w:rPr>
          <w:rFonts w:ascii="Calibri" w:hAnsi="Calibri" w:cs="Calibri"/>
          <w:color w:val="1A1A1A"/>
          <w:sz w:val="22"/>
          <w:szCs w:val="22"/>
        </w:rPr>
        <w:t xml:space="preserve">. Il ne s'agit pas d'un défaut d'autorisation. </w:t>
      </w:r>
    </w:p>
    <w:p w14:paraId="25F7BA85" w14:textId="77777777" w:rsidR="00027BBF" w:rsidRDefault="00027BBF">
      <w:pPr>
        <w:pStyle w:val="Titre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4. Structure des pièces transmises</w:t>
      </w:r>
    </w:p>
    <w:p w14:paraId="2BBB40E8" w14:textId="77777777" w:rsidR="00027BBF" w:rsidRDefault="00027BBF">
      <w:pPr>
        <w:pStyle w:val="NormalWeb"/>
        <w:rPr>
          <w:rFonts w:ascii="Calibri" w:hAnsi="Calibri" w:cs="Calibri"/>
          <w:color w:val="1A1A1A"/>
          <w:sz w:val="22"/>
          <w:szCs w:val="22"/>
        </w:rPr>
      </w:pPr>
      <w:r>
        <w:rPr>
          <w:rFonts w:ascii="Calibri" w:hAnsi="Calibri" w:cs="Calibri"/>
          <w:color w:val="1A1A1A"/>
          <w:sz w:val="22"/>
          <w:szCs w:val="22"/>
        </w:rPr>
        <w:t>Chaque opération est traduite en trois structures BAPI :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59"/>
        <w:gridCol w:w="6713"/>
      </w:tblGrid>
      <w:tr w:rsidR="00000000" w14:paraId="66C7AA0C" w14:textId="77777777">
        <w:tc>
          <w:tcPr>
            <w:tcW w:w="1300" w:type="pct"/>
            <w:shd w:val="clear" w:color="auto" w:fill="0F4C81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49B5CDC9" w14:textId="77777777" w:rsidR="00027BBF" w:rsidRDefault="00027BBF">
            <w:pPr>
              <w:spacing w:before="150" w:after="24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Structure</w:t>
            </w:r>
          </w:p>
        </w:tc>
        <w:tc>
          <w:tcPr>
            <w:tcW w:w="0" w:type="auto"/>
            <w:shd w:val="clear" w:color="auto" w:fill="0F4C81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5EA47920" w14:textId="77777777" w:rsidR="00027BBF" w:rsidRDefault="00027BBF">
            <w:pPr>
              <w:spacing w:before="150" w:after="24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Contenu</w:t>
            </w:r>
          </w:p>
        </w:tc>
      </w:tr>
      <w:tr w:rsidR="00000000" w14:paraId="5AD66219" w14:textId="77777777"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14D37E01" w14:textId="77777777" w:rsidR="00027BBF" w:rsidRDefault="00027BBF">
            <w:pPr>
              <w:spacing w:before="15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Style w:val="CodeHTML"/>
                <w:color w:val="1A1A1A"/>
              </w:rPr>
              <w:t>DOCUMENTHEADER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1095B892" w14:textId="77777777" w:rsidR="00027BBF" w:rsidRDefault="00027BBF">
            <w:pPr>
              <w:spacing w:before="15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 xml:space="preserve">Société </w:t>
            </w:r>
            <w:r>
              <w:rPr>
                <w:rStyle w:val="CodeHTML"/>
                <w:color w:val="1A1A1A"/>
              </w:rPr>
              <w:t>2251</w:t>
            </w: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 xml:space="preserve">, type de pièce </w:t>
            </w:r>
            <w:r>
              <w:rPr>
                <w:rStyle w:val="CodeHTML"/>
                <w:color w:val="1A1A1A"/>
              </w:rPr>
              <w:t>SA</w:t>
            </w: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 xml:space="preserve">, </w:t>
            </w:r>
            <w:r>
              <w:rPr>
                <w:rStyle w:val="CodeHTML"/>
                <w:color w:val="1A1A1A"/>
              </w:rPr>
              <w:t>BUS_ACT = RFBU</w:t>
            </w: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 xml:space="preserve">, dates pièce et comptable, référence (n° de bon ou </w:t>
            </w:r>
            <w:r>
              <w:rPr>
                <w:rStyle w:val="CodeHTML"/>
                <w:color w:val="1A1A1A"/>
              </w:rPr>
              <w:t>OP&lt;id&gt;</w:t>
            </w: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), texte d'en-tête (</w:t>
            </w:r>
            <w:r>
              <w:rPr>
                <w:rStyle w:val="CodeHTML"/>
                <w:color w:val="1A1A1A"/>
              </w:rPr>
              <w:t>FDC &lt;type d'opération&gt;</w:t>
            </w: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 xml:space="preserve">), utilisateur </w:t>
            </w:r>
            <w:r>
              <w:rPr>
                <w:rStyle w:val="CodeHTML"/>
                <w:color w:val="1A1A1A"/>
              </w:rPr>
              <w:t>SYSAUTO</w:t>
            </w: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.</w:t>
            </w:r>
          </w:p>
        </w:tc>
      </w:tr>
      <w:tr w:rsidR="00000000" w14:paraId="7780EE24" w14:textId="77777777"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6D7E4799" w14:textId="77777777" w:rsidR="00027BBF" w:rsidRDefault="00027BBF">
            <w:pPr>
              <w:spacing w:before="15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Style w:val="CodeHTML"/>
                <w:color w:val="1A1A1A"/>
              </w:rPr>
              <w:t>ACCOUNTGL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208DB5B7" w14:textId="77777777" w:rsidR="00027BBF" w:rsidRDefault="00027BBF">
            <w:pPr>
              <w:spacing w:before="15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Une ligne par poste : compte général sur 10 caractères, texte de ligne, centre de coût.</w:t>
            </w:r>
          </w:p>
        </w:tc>
      </w:tr>
      <w:tr w:rsidR="00000000" w14:paraId="05DCEBD1" w14:textId="77777777"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283CD1EB" w14:textId="77777777" w:rsidR="00027BBF" w:rsidRDefault="00027BBF">
            <w:pPr>
              <w:spacing w:before="15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Style w:val="CodeHTML"/>
                <w:color w:val="1A1A1A"/>
              </w:rPr>
              <w:t>CURRENCYAMOUNT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404DDB25" w14:textId="77777777" w:rsidR="00027BBF" w:rsidRDefault="00027BBF">
            <w:pPr>
              <w:spacing w:before="15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 xml:space="preserve">Montant par poste, </w:t>
            </w:r>
            <w:r>
              <w:rPr>
                <w:rStyle w:val="CodeHTML"/>
                <w:color w:val="1A1A1A"/>
              </w:rPr>
              <w:t>CURR_TYPE = 00</w:t>
            </w: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 xml:space="preserve">, devise. Convention BAPI : </w:t>
            </w:r>
            <w:r>
              <w:rPr>
                <w:rStyle w:val="lev"/>
                <w:rFonts w:ascii="Calibri" w:eastAsia="Times New Roman" w:hAnsi="Calibri" w:cs="Calibri"/>
                <w:color w:val="1A1A1A"/>
                <w:sz w:val="20"/>
                <w:szCs w:val="20"/>
              </w:rPr>
              <w:t>débit positif, crédit négatif</w:t>
            </w: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.</w:t>
            </w:r>
          </w:p>
        </w:tc>
      </w:tr>
    </w:tbl>
    <w:p w14:paraId="074F6E72" w14:textId="77777777" w:rsidR="00027BBF" w:rsidRDefault="00027BBF">
      <w:pPr>
        <w:pStyle w:val="Titre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4.1 Mapping comptable actuel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84"/>
        <w:gridCol w:w="1996"/>
        <w:gridCol w:w="3992"/>
      </w:tblGrid>
      <w:tr w:rsidR="00000000" w14:paraId="6A1B733B" w14:textId="77777777">
        <w:tc>
          <w:tcPr>
            <w:tcW w:w="1700" w:type="pct"/>
            <w:shd w:val="clear" w:color="auto" w:fill="0F4C81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0D4CC3C3" w14:textId="77777777" w:rsidR="00027BBF" w:rsidRDefault="00027BBF">
            <w:pPr>
              <w:spacing w:before="150" w:after="24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Type de compte (application)</w:t>
            </w:r>
          </w:p>
        </w:tc>
        <w:tc>
          <w:tcPr>
            <w:tcW w:w="1100" w:type="pct"/>
            <w:shd w:val="clear" w:color="auto" w:fill="0F4C81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54FEDA18" w14:textId="77777777" w:rsidR="00027BBF" w:rsidRDefault="00027BBF">
            <w:pPr>
              <w:spacing w:before="150" w:after="24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Compte SAP</w:t>
            </w:r>
          </w:p>
        </w:tc>
        <w:tc>
          <w:tcPr>
            <w:tcW w:w="0" w:type="auto"/>
            <w:shd w:val="clear" w:color="auto" w:fill="0F4C81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5001A4C8" w14:textId="77777777" w:rsidR="00027BBF" w:rsidRDefault="00027BBF">
            <w:pPr>
              <w:spacing w:before="150" w:after="24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Libellé</w:t>
            </w:r>
          </w:p>
        </w:tc>
      </w:tr>
      <w:tr w:rsidR="00000000" w14:paraId="251F1A1D" w14:textId="77777777"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3A2091D3" w14:textId="77777777" w:rsidR="00027BBF" w:rsidRDefault="00027BBF">
            <w:pPr>
              <w:spacing w:before="15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CAISSE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0E871B01" w14:textId="77777777" w:rsidR="00027BBF" w:rsidRDefault="00027BBF">
            <w:pPr>
              <w:spacing w:before="15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Style w:val="CodeHTML"/>
                <w:color w:val="1A1A1A"/>
              </w:rPr>
              <w:t>57101000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7023B68C" w14:textId="77777777" w:rsidR="00027BBF" w:rsidRDefault="00027BBF">
            <w:pPr>
              <w:spacing w:before="15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Caisse siège social en FCFA</w:t>
            </w:r>
          </w:p>
        </w:tc>
      </w:tr>
      <w:tr w:rsidR="00000000" w14:paraId="7BE54C33" w14:textId="77777777"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35398AC0" w14:textId="77777777" w:rsidR="00027BBF" w:rsidRDefault="00027BBF">
            <w:pPr>
              <w:spacing w:before="15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lastRenderedPageBreak/>
              <w:t>PORTEFEUILLE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7B8CB4C6" w14:textId="77777777" w:rsidR="00027BBF" w:rsidRDefault="00027BBF">
            <w:pPr>
              <w:spacing w:before="15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Style w:val="CodeHTML"/>
                <w:color w:val="1A1A1A"/>
              </w:rPr>
              <w:t>52101000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600005A4" w14:textId="77777777" w:rsidR="00027BBF" w:rsidRDefault="00027BBF">
            <w:pPr>
              <w:spacing w:before="15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Banque</w:t>
            </w:r>
          </w:p>
        </w:tc>
      </w:tr>
      <w:tr w:rsidR="00000000" w14:paraId="2DA0F0BB" w14:textId="77777777"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26A948C0" w14:textId="77777777" w:rsidR="00027BBF" w:rsidRDefault="00027BBF">
            <w:pPr>
              <w:spacing w:before="15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RECETTE (encaissement)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4758A9EB" w14:textId="77777777" w:rsidR="00027BBF" w:rsidRDefault="00027BBF">
            <w:pPr>
              <w:spacing w:before="15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Style w:val="CodeHTML"/>
                <w:color w:val="1A1A1A"/>
              </w:rPr>
              <w:t>72130000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2F7B70BE" w14:textId="77777777" w:rsidR="00027BBF" w:rsidRDefault="00027BBF">
            <w:pPr>
              <w:spacing w:before="15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Vente divers</w:t>
            </w:r>
          </w:p>
        </w:tc>
      </w:tr>
      <w:tr w:rsidR="00000000" w14:paraId="6702F8D3" w14:textId="77777777"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12400942" w14:textId="77777777" w:rsidR="00027BBF" w:rsidRDefault="00027BBF">
            <w:pPr>
              <w:spacing w:before="15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CHARGE (décaissement)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3DAFDBDA" w14:textId="77777777" w:rsidR="00027BBF" w:rsidRDefault="00027BBF">
            <w:pPr>
              <w:spacing w:before="15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Style w:val="CodeHTML"/>
                <w:color w:val="1A1A1A"/>
              </w:rPr>
              <w:t>62620000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1E9220D9" w14:textId="77777777" w:rsidR="00027BBF" w:rsidRDefault="00027BBF">
            <w:pPr>
              <w:spacing w:before="15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Compte par défaut, remplacé par le compte de la nature comptable lorsqu'il est renseigné</w:t>
            </w:r>
          </w:p>
        </w:tc>
      </w:tr>
      <w:tr w:rsidR="00000000" w14:paraId="34BEAE36" w14:textId="77777777"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7810A83E" w14:textId="77777777" w:rsidR="00027BBF" w:rsidRDefault="00027BBF">
            <w:pPr>
              <w:spacing w:before="15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CREDIT_EMPLOYE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32133A73" w14:textId="77777777" w:rsidR="00027BBF" w:rsidRDefault="00027BBF">
            <w:pPr>
              <w:spacing w:before="15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Style w:val="CodeHTML"/>
                <w:color w:val="1A1A1A"/>
              </w:rPr>
              <w:t>42110000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26B62538" w14:textId="77777777" w:rsidR="00027BBF" w:rsidRDefault="00027BBF">
            <w:pPr>
              <w:spacing w:before="15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Personnel, avances</w:t>
            </w:r>
          </w:p>
        </w:tc>
      </w:tr>
      <w:tr w:rsidR="00000000" w14:paraId="77B24D45" w14:textId="77777777"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122E116E" w14:textId="77777777" w:rsidR="00027BBF" w:rsidRDefault="00027BBF">
            <w:pPr>
              <w:spacing w:before="15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GAIN_CHANGE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0C5F6B33" w14:textId="77777777" w:rsidR="00027BBF" w:rsidRDefault="00027BBF">
            <w:pPr>
              <w:spacing w:before="15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Style w:val="CodeHTML"/>
                <w:color w:val="1A1A1A"/>
              </w:rPr>
              <w:t>77610000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43A04CE2" w14:textId="77777777" w:rsidR="00027BBF" w:rsidRDefault="00027BBF">
            <w:pPr>
              <w:spacing w:before="15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Gains de change</w:t>
            </w:r>
          </w:p>
        </w:tc>
      </w:tr>
      <w:tr w:rsidR="00000000" w14:paraId="47AC5780" w14:textId="77777777"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0E4B41BC" w14:textId="77777777" w:rsidR="00027BBF" w:rsidRDefault="00027BBF">
            <w:pPr>
              <w:spacing w:before="15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PERTE_CHANGE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782591E6" w14:textId="77777777" w:rsidR="00027BBF" w:rsidRDefault="00027BBF">
            <w:pPr>
              <w:spacing w:before="15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Style w:val="CodeHTML"/>
                <w:color w:val="1A1A1A"/>
              </w:rPr>
              <w:t>67610000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545B2521" w14:textId="77777777" w:rsidR="00027BBF" w:rsidRDefault="00027BBF">
            <w:pPr>
              <w:spacing w:before="15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Pertes de change</w:t>
            </w:r>
          </w:p>
        </w:tc>
      </w:tr>
    </w:tbl>
    <w:p w14:paraId="39A5B4A6" w14:textId="77777777" w:rsidR="00027BBF" w:rsidRDefault="00027BBF">
      <w:pPr>
        <w:pStyle w:val="NormalWeb"/>
        <w:rPr>
          <w:rFonts w:ascii="Calibri" w:hAnsi="Calibri" w:cs="Calibri"/>
          <w:color w:val="1A1A1A"/>
          <w:sz w:val="22"/>
          <w:szCs w:val="22"/>
        </w:rPr>
      </w:pPr>
      <w:r>
        <w:rPr>
          <w:rFonts w:ascii="Calibri" w:hAnsi="Calibri" w:cs="Calibri"/>
          <w:color w:val="1A1A1A"/>
          <w:sz w:val="22"/>
          <w:szCs w:val="22"/>
        </w:rPr>
        <w:t xml:space="preserve">Centres de coût transmis : </w:t>
      </w:r>
      <w:r>
        <w:rPr>
          <w:rStyle w:val="CodeHTML"/>
          <w:color w:val="1A1A1A"/>
        </w:rPr>
        <w:t>22100-DSI</w:t>
      </w:r>
      <w:r>
        <w:rPr>
          <w:rFonts w:ascii="Calibri" w:hAnsi="Calibri" w:cs="Calibri"/>
          <w:color w:val="1A1A1A"/>
          <w:sz w:val="22"/>
          <w:szCs w:val="22"/>
        </w:rPr>
        <w:t xml:space="preserve">, </w:t>
      </w:r>
      <w:r>
        <w:rPr>
          <w:rStyle w:val="CodeHTML"/>
          <w:color w:val="1A1A1A"/>
        </w:rPr>
        <w:t>33100-DUS</w:t>
      </w:r>
      <w:r>
        <w:rPr>
          <w:rFonts w:ascii="Calibri" w:hAnsi="Calibri" w:cs="Calibri"/>
          <w:color w:val="1A1A1A"/>
          <w:sz w:val="22"/>
          <w:szCs w:val="22"/>
        </w:rPr>
        <w:t xml:space="preserve">, </w:t>
      </w:r>
      <w:r>
        <w:rPr>
          <w:rStyle w:val="CodeHTML"/>
          <w:color w:val="1A1A1A"/>
        </w:rPr>
        <w:t>41100-DVR</w:t>
      </w:r>
      <w:r>
        <w:rPr>
          <w:rFonts w:ascii="Calibri" w:hAnsi="Calibri" w:cs="Calibri"/>
          <w:color w:val="1A1A1A"/>
          <w:sz w:val="22"/>
          <w:szCs w:val="22"/>
        </w:rPr>
        <w:t xml:space="preserve"> — identiques entre l'application et SAP. </w:t>
      </w:r>
    </w:p>
    <w:p w14:paraId="25101468" w14:textId="77777777" w:rsidR="00027BBF" w:rsidRDefault="00027BBF">
      <w:pPr>
        <w:pStyle w:val="NormalWeb"/>
        <w:rPr>
          <w:rFonts w:ascii="Calibri" w:hAnsi="Calibri" w:cs="Calibri"/>
          <w:color w:val="1A1A1A"/>
          <w:sz w:val="22"/>
          <w:szCs w:val="22"/>
        </w:rPr>
      </w:pPr>
      <w:r>
        <w:rPr>
          <w:rStyle w:val="lev"/>
          <w:rFonts w:ascii="Calibri" w:hAnsi="Calibri" w:cs="Calibri"/>
          <w:color w:val="1A1A1A"/>
          <w:sz w:val="22"/>
          <w:szCs w:val="22"/>
        </w:rPr>
        <w:t>Sens comptable :</w:t>
      </w:r>
      <w:r>
        <w:rPr>
          <w:rFonts w:ascii="Calibri" w:hAnsi="Calibri" w:cs="Calibri"/>
          <w:color w:val="1A1A1A"/>
          <w:sz w:val="22"/>
          <w:szCs w:val="22"/>
        </w:rPr>
        <w:t xml:space="preserve"> </w:t>
      </w:r>
      <w:r>
        <w:rPr>
          <w:rFonts w:ascii="Calibri" w:hAnsi="Calibri" w:cs="Calibri"/>
          <w:color w:val="1A1A1A"/>
          <w:sz w:val="22"/>
          <w:szCs w:val="22"/>
        </w:rPr>
        <w:t xml:space="preserve">l'application tient ses soldes en « crédit − débit », soit l'inverse de SAP. Le sens est donc volontairement inversé à l'envoi : un crédit applicatif devient un débit SAP. Vérifié sur pièce réelle. </w:t>
      </w:r>
    </w:p>
    <w:p w14:paraId="74EB93EC" w14:textId="77777777" w:rsidR="00027BBF" w:rsidRDefault="00027BBF">
      <w:pPr>
        <w:pStyle w:val="Titre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5. Anomalie corrigée : décimales des devises</w:t>
      </w:r>
    </w:p>
    <w:p w14:paraId="0C96C324" w14:textId="77777777" w:rsidR="00027BBF" w:rsidRDefault="00027BBF">
      <w:pPr>
        <w:shd w:val="clear" w:color="auto" w:fill="FEF3F2"/>
        <w:divId w:val="608393573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Style w:val="lev"/>
          <w:rFonts w:ascii="Calibri" w:eastAsia="Times New Roman" w:hAnsi="Calibri" w:cs="Calibri"/>
          <w:color w:val="1A1A1A"/>
          <w:sz w:val="22"/>
          <w:szCs w:val="22"/>
        </w:rPr>
        <w:t>Anomalie majeure détectée et corrigée le 31 juillet 2026.</w:t>
      </w:r>
      <w:r>
        <w:rPr>
          <w:rFonts w:ascii="Calibri" w:eastAsia="Times New Roman" w:hAnsi="Calibri" w:cs="Calibri"/>
          <w:color w:val="1A1A1A"/>
          <w:sz w:val="22"/>
          <w:szCs w:val="22"/>
        </w:rPr>
        <w:br/>
        <w:t xml:space="preserve">Toutes les écritures libellées en </w:t>
      </w:r>
      <w:r>
        <w:rPr>
          <w:rStyle w:val="lev"/>
          <w:rFonts w:ascii="Calibri" w:eastAsia="Times New Roman" w:hAnsi="Calibri" w:cs="Calibri"/>
          <w:color w:val="1A1A1A"/>
          <w:sz w:val="22"/>
          <w:szCs w:val="22"/>
        </w:rPr>
        <w:t>francs CFA étaient comptabilisées au centième de leur valeur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 : une opération de 1 000 000 XOF produisait une pièce de 10 000 XOF. </w:t>
      </w:r>
    </w:p>
    <w:p w14:paraId="0EC9000B" w14:textId="77777777" w:rsidR="00027BBF" w:rsidRDefault="00027BBF">
      <w:pPr>
        <w:pStyle w:val="NormalWeb"/>
        <w:rPr>
          <w:rFonts w:ascii="Calibri" w:hAnsi="Calibri" w:cs="Calibri"/>
          <w:color w:val="1A1A1A"/>
          <w:sz w:val="22"/>
          <w:szCs w:val="22"/>
        </w:rPr>
      </w:pPr>
      <w:r>
        <w:rPr>
          <w:rStyle w:val="lev"/>
          <w:rFonts w:ascii="Calibri" w:hAnsi="Calibri" w:cs="Calibri"/>
          <w:color w:val="1A1A1A"/>
          <w:sz w:val="22"/>
          <w:szCs w:val="22"/>
        </w:rPr>
        <w:t>Cause :</w:t>
      </w:r>
      <w:r>
        <w:rPr>
          <w:rFonts w:ascii="Calibri" w:hAnsi="Calibri" w:cs="Calibri"/>
          <w:color w:val="1A1A1A"/>
          <w:sz w:val="22"/>
          <w:szCs w:val="22"/>
        </w:rPr>
        <w:t xml:space="preserve"> le champ </w:t>
      </w:r>
      <w:r>
        <w:rPr>
          <w:rStyle w:val="CodeHTML"/>
          <w:color w:val="1A1A1A"/>
        </w:rPr>
        <w:t>AMT_DOCCUR</w:t>
      </w:r>
      <w:r>
        <w:rPr>
          <w:rFonts w:ascii="Calibri" w:hAnsi="Calibri" w:cs="Calibri"/>
          <w:color w:val="1A1A1A"/>
          <w:sz w:val="22"/>
          <w:szCs w:val="22"/>
        </w:rPr>
        <w:t xml:space="preserve"> </w:t>
      </w:r>
      <w:r>
        <w:rPr>
          <w:rFonts w:ascii="Calibri" w:hAnsi="Calibri" w:cs="Calibri"/>
          <w:color w:val="1A1A1A"/>
          <w:sz w:val="22"/>
          <w:szCs w:val="22"/>
        </w:rPr>
        <w:t xml:space="preserve">des BAPI est interprété avec </w:t>
      </w:r>
      <w:r>
        <w:rPr>
          <w:rStyle w:val="lev"/>
          <w:rFonts w:ascii="Calibri" w:hAnsi="Calibri" w:cs="Calibri"/>
          <w:color w:val="1A1A1A"/>
          <w:sz w:val="22"/>
          <w:szCs w:val="22"/>
        </w:rPr>
        <w:t>deux décimales implicites</w:t>
      </w:r>
      <w:r>
        <w:rPr>
          <w:rFonts w:ascii="Calibri" w:hAnsi="Calibri" w:cs="Calibri"/>
          <w:color w:val="1A1A1A"/>
          <w:sz w:val="22"/>
          <w:szCs w:val="22"/>
        </w:rPr>
        <w:t xml:space="preserve">, quelle que soit la devise. Or le </w:t>
      </w:r>
      <w:r>
        <w:rPr>
          <w:rStyle w:val="CodeHTML"/>
          <w:color w:val="1A1A1A"/>
        </w:rPr>
        <w:t>XOF</w:t>
      </w:r>
      <w:r>
        <w:rPr>
          <w:rFonts w:ascii="Calibri" w:hAnsi="Calibri" w:cs="Calibri"/>
          <w:color w:val="1A1A1A"/>
          <w:sz w:val="22"/>
          <w:szCs w:val="22"/>
        </w:rPr>
        <w:t xml:space="preserve"> et le </w:t>
      </w:r>
      <w:r>
        <w:rPr>
          <w:rStyle w:val="CodeHTML"/>
          <w:color w:val="1A1A1A"/>
        </w:rPr>
        <w:t>XAF</w:t>
      </w:r>
      <w:r>
        <w:rPr>
          <w:rFonts w:ascii="Calibri" w:hAnsi="Calibri" w:cs="Calibri"/>
          <w:color w:val="1A1A1A"/>
          <w:sz w:val="22"/>
          <w:szCs w:val="22"/>
        </w:rPr>
        <w:t xml:space="preserve"> sont déclarés à </w:t>
      </w:r>
      <w:r>
        <w:rPr>
          <w:rStyle w:val="lev"/>
          <w:rFonts w:ascii="Calibri" w:hAnsi="Calibri" w:cs="Calibri"/>
          <w:color w:val="1A1A1A"/>
          <w:sz w:val="22"/>
          <w:szCs w:val="22"/>
        </w:rPr>
        <w:t>zéro décimale</w:t>
      </w:r>
      <w:r>
        <w:rPr>
          <w:rFonts w:ascii="Calibri" w:hAnsi="Calibri" w:cs="Calibri"/>
          <w:color w:val="1A1A1A"/>
          <w:sz w:val="22"/>
          <w:szCs w:val="22"/>
        </w:rPr>
        <w:t xml:space="preserve"> dans la table </w:t>
      </w:r>
      <w:r>
        <w:rPr>
          <w:rStyle w:val="CodeHTML"/>
          <w:color w:val="1A1A1A"/>
        </w:rPr>
        <w:t>TCURX</w:t>
      </w:r>
      <w:r>
        <w:rPr>
          <w:rFonts w:ascii="Calibri" w:hAnsi="Calibri" w:cs="Calibri"/>
          <w:color w:val="1A1A1A"/>
          <w:sz w:val="22"/>
          <w:szCs w:val="22"/>
        </w:rPr>
        <w:t xml:space="preserve"> (au même titre que le </w:t>
      </w:r>
      <w:r>
        <w:rPr>
          <w:rStyle w:val="CodeHTML"/>
          <w:color w:val="1A1A1A"/>
        </w:rPr>
        <w:t>JPY</w:t>
      </w:r>
      <w:r>
        <w:rPr>
          <w:rFonts w:ascii="Calibri" w:hAnsi="Calibri" w:cs="Calibri"/>
          <w:color w:val="1A1A1A"/>
          <w:sz w:val="22"/>
          <w:szCs w:val="22"/>
        </w:rPr>
        <w:t xml:space="preserve">). SAP divisait donc par 100 toute valeur reçue. Les devises absentes de </w:t>
      </w:r>
      <w:r>
        <w:rPr>
          <w:rStyle w:val="CodeHTML"/>
          <w:color w:val="1A1A1A"/>
        </w:rPr>
        <w:t>TCURX</w:t>
      </w:r>
      <w:r>
        <w:rPr>
          <w:rFonts w:ascii="Calibri" w:hAnsi="Calibri" w:cs="Calibri"/>
          <w:color w:val="1A1A1A"/>
          <w:sz w:val="22"/>
          <w:szCs w:val="22"/>
        </w:rPr>
        <w:t xml:space="preserve"> — </w:t>
      </w:r>
      <w:r>
        <w:rPr>
          <w:rStyle w:val="CodeHTML"/>
          <w:color w:val="1A1A1A"/>
        </w:rPr>
        <w:t>USD</w:t>
      </w:r>
      <w:r>
        <w:rPr>
          <w:rFonts w:ascii="Calibri" w:hAnsi="Calibri" w:cs="Calibri"/>
          <w:color w:val="1A1A1A"/>
          <w:sz w:val="22"/>
          <w:szCs w:val="22"/>
        </w:rPr>
        <w:t xml:space="preserve">, </w:t>
      </w:r>
      <w:r>
        <w:rPr>
          <w:rStyle w:val="CodeHTML"/>
          <w:color w:val="1A1A1A"/>
        </w:rPr>
        <w:t>EUR</w:t>
      </w:r>
      <w:r>
        <w:rPr>
          <w:rFonts w:ascii="Calibri" w:hAnsi="Calibri" w:cs="Calibri"/>
          <w:color w:val="1A1A1A"/>
          <w:sz w:val="22"/>
          <w:szCs w:val="22"/>
        </w:rPr>
        <w:t xml:space="preserve"> — ayant deux décimales par défaut, elles étaient correctes, ce qui masquait l'anomalie. </w:t>
      </w:r>
    </w:p>
    <w:p w14:paraId="50134FCE" w14:textId="77777777" w:rsidR="00027BBF" w:rsidRDefault="00027BBF">
      <w:pPr>
        <w:pStyle w:val="NormalWeb"/>
        <w:rPr>
          <w:rFonts w:ascii="Calibri" w:hAnsi="Calibri" w:cs="Calibri"/>
          <w:color w:val="1A1A1A"/>
          <w:sz w:val="22"/>
          <w:szCs w:val="22"/>
        </w:rPr>
      </w:pPr>
      <w:r>
        <w:rPr>
          <w:rStyle w:val="lev"/>
          <w:rFonts w:ascii="Calibri" w:hAnsi="Calibri" w:cs="Calibri"/>
          <w:color w:val="1A1A1A"/>
          <w:sz w:val="22"/>
          <w:szCs w:val="22"/>
        </w:rPr>
        <w:t>Correction :</w:t>
      </w:r>
      <w:r>
        <w:rPr>
          <w:rFonts w:ascii="Calibri" w:hAnsi="Calibri" w:cs="Calibri"/>
          <w:color w:val="1A1A1A"/>
          <w:sz w:val="22"/>
          <w:szCs w:val="22"/>
        </w:rPr>
        <w:t xml:space="preserve"> un facteur </w:t>
      </w:r>
      <w:r>
        <w:rPr>
          <w:rStyle w:val="CodeHTML"/>
          <w:color w:val="1A1A1A"/>
        </w:rPr>
        <w:t>10^(2 − décimales)</w:t>
      </w:r>
      <w:r>
        <w:rPr>
          <w:rFonts w:ascii="Calibri" w:hAnsi="Calibri" w:cs="Calibri"/>
          <w:color w:val="1A1A1A"/>
          <w:sz w:val="22"/>
          <w:szCs w:val="22"/>
        </w:rPr>
        <w:t xml:space="preserve"> est désormais appliqué avant l'envoi (×100 pour le XOF, ×1 pour l'USD). Le nombre de décimales est lu dans </w:t>
      </w:r>
      <w:r>
        <w:rPr>
          <w:rStyle w:val="CodeHTML"/>
          <w:color w:val="1A1A1A"/>
        </w:rPr>
        <w:t>TCURX</w:t>
      </w:r>
      <w:r>
        <w:rPr>
          <w:rFonts w:ascii="Calibri" w:hAnsi="Calibri" w:cs="Calibri"/>
          <w:color w:val="1A1A1A"/>
          <w:sz w:val="22"/>
          <w:szCs w:val="22"/>
        </w:rPr>
        <w:t xml:space="preserve"> et mis en cache. 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55"/>
        <w:gridCol w:w="1205"/>
        <w:gridCol w:w="2044"/>
        <w:gridCol w:w="4168"/>
      </w:tblGrid>
      <w:tr w:rsidR="00000000" w14:paraId="42B0EF18" w14:textId="77777777">
        <w:tc>
          <w:tcPr>
            <w:tcW w:w="0" w:type="auto"/>
            <w:shd w:val="clear" w:color="auto" w:fill="0F4C81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0FE97951" w14:textId="77777777" w:rsidR="00027BBF" w:rsidRDefault="00027BBF">
            <w:pPr>
              <w:spacing w:before="150" w:after="24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Opération</w:t>
            </w:r>
          </w:p>
        </w:tc>
        <w:tc>
          <w:tcPr>
            <w:tcW w:w="0" w:type="auto"/>
            <w:shd w:val="clear" w:color="auto" w:fill="0F4C81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0ADFC5FC" w14:textId="77777777" w:rsidR="00027BBF" w:rsidRDefault="00027BBF">
            <w:pPr>
              <w:spacing w:before="150" w:after="24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Devise</w:t>
            </w:r>
          </w:p>
        </w:tc>
        <w:tc>
          <w:tcPr>
            <w:tcW w:w="0" w:type="auto"/>
            <w:shd w:val="clear" w:color="auto" w:fill="0F4C81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45BB18CE" w14:textId="77777777" w:rsidR="00027BBF" w:rsidRDefault="00027BBF">
            <w:pPr>
              <w:spacing w:before="150" w:after="24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Montant réel</w:t>
            </w:r>
          </w:p>
        </w:tc>
        <w:tc>
          <w:tcPr>
            <w:tcW w:w="0" w:type="auto"/>
            <w:shd w:val="clear" w:color="auto" w:fill="0F4C81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35B382E2" w14:textId="77777777" w:rsidR="00027BBF" w:rsidRDefault="00027BBF">
            <w:pPr>
              <w:spacing w:before="150" w:after="24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Comptabilisé avant correction</w:t>
            </w:r>
          </w:p>
        </w:tc>
      </w:tr>
      <w:tr w:rsidR="00000000" w14:paraId="7078FEAC" w14:textId="77777777"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18D14124" w14:textId="77777777" w:rsidR="00027BBF" w:rsidRDefault="00027BBF">
            <w:pPr>
              <w:spacing w:before="15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24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2EBCB841" w14:textId="77777777" w:rsidR="00027BBF" w:rsidRDefault="00027BBF">
            <w:pPr>
              <w:spacing w:before="15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XOF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18F5559B" w14:textId="77777777" w:rsidR="00027BBF" w:rsidRDefault="00027BBF">
            <w:pPr>
              <w:spacing w:before="15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52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16E1D36F" w14:textId="77777777" w:rsidR="00027BBF" w:rsidRDefault="00027BBF">
            <w:pPr>
              <w:spacing w:before="15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0,52</w:t>
            </w:r>
          </w:p>
        </w:tc>
      </w:tr>
      <w:tr w:rsidR="00000000" w14:paraId="3AE9CD8B" w14:textId="77777777"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6CCEF2E9" w14:textId="77777777" w:rsidR="00027BBF" w:rsidRDefault="00027BBF">
            <w:pPr>
              <w:spacing w:before="15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45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5A49BA2C" w14:textId="77777777" w:rsidR="00027BBF" w:rsidRDefault="00027BBF">
            <w:pPr>
              <w:spacing w:before="15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XOF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5978089E" w14:textId="77777777" w:rsidR="00027BBF" w:rsidRDefault="00027BBF">
            <w:pPr>
              <w:spacing w:before="15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1 000 000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6CEF7F0B" w14:textId="77777777" w:rsidR="00027BBF" w:rsidRDefault="00027BBF">
            <w:pPr>
              <w:spacing w:before="15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10 000</w:t>
            </w:r>
          </w:p>
        </w:tc>
      </w:tr>
      <w:tr w:rsidR="00000000" w14:paraId="3902AD2A" w14:textId="77777777"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367F33C6" w14:textId="77777777" w:rsidR="00027BBF" w:rsidRDefault="00027BBF">
            <w:pPr>
              <w:spacing w:before="15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lastRenderedPageBreak/>
              <w:t>46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48F20A72" w14:textId="77777777" w:rsidR="00027BBF" w:rsidRDefault="00027BBF">
            <w:pPr>
              <w:spacing w:before="15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XOF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08879740" w14:textId="77777777" w:rsidR="00027BBF" w:rsidRDefault="00027BBF">
            <w:pPr>
              <w:spacing w:before="15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150 000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54C231F0" w14:textId="77777777" w:rsidR="00027BBF" w:rsidRDefault="00027BBF">
            <w:pPr>
              <w:spacing w:before="15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1 500</w:t>
            </w:r>
          </w:p>
        </w:tc>
      </w:tr>
      <w:tr w:rsidR="00000000" w14:paraId="61483096" w14:textId="77777777"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36B9EA18" w14:textId="77777777" w:rsidR="00027BBF" w:rsidRDefault="00027BBF">
            <w:pPr>
              <w:spacing w:before="15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48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15565949" w14:textId="77777777" w:rsidR="00027BBF" w:rsidRDefault="00027BBF">
            <w:pPr>
              <w:spacing w:before="15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XOF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2CAC12B2" w14:textId="77777777" w:rsidR="00027BBF" w:rsidRDefault="00027BBF">
            <w:pPr>
              <w:spacing w:before="15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25 000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605613F3" w14:textId="77777777" w:rsidR="00027BBF" w:rsidRDefault="00027BBF">
            <w:pPr>
              <w:spacing w:before="15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250</w:t>
            </w:r>
          </w:p>
        </w:tc>
      </w:tr>
      <w:tr w:rsidR="00000000" w14:paraId="7E62FBF2" w14:textId="77777777"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297CC622" w14:textId="77777777" w:rsidR="00027BBF" w:rsidRDefault="00027BBF">
            <w:pPr>
              <w:spacing w:before="15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53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32C9BF73" w14:textId="77777777" w:rsidR="00027BBF" w:rsidRDefault="00027BBF">
            <w:pPr>
              <w:spacing w:before="15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USD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00C261FE" w14:textId="77777777" w:rsidR="00027BBF" w:rsidRDefault="00027BBF">
            <w:pPr>
              <w:spacing w:before="15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250 000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3C35FE21" w14:textId="77777777" w:rsidR="00027BBF" w:rsidRDefault="00027BBF">
            <w:pPr>
              <w:spacing w:before="15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250 000 (correct)</w:t>
            </w:r>
          </w:p>
        </w:tc>
      </w:tr>
    </w:tbl>
    <w:p w14:paraId="366874EA" w14:textId="77777777" w:rsidR="00027BBF" w:rsidRDefault="00027BBF">
      <w:pPr>
        <w:shd w:val="clear" w:color="auto" w:fill="ECFDF5"/>
        <w:divId w:val="1149830672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Style w:val="lev"/>
          <w:rFonts w:ascii="Calibri" w:eastAsia="Times New Roman" w:hAnsi="Calibri" w:cs="Calibri"/>
          <w:color w:val="1A1A1A"/>
          <w:sz w:val="22"/>
          <w:szCs w:val="22"/>
        </w:rPr>
        <w:t>Vérification après correction :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opération de 2 002 XOF transmise le 31/07/2026 → pièce </w:t>
      </w:r>
      <w:r>
        <w:rPr>
          <w:rStyle w:val="CodeHTML"/>
          <w:color w:val="1A1A1A"/>
        </w:rPr>
        <w:t>0100351480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comptabilisée à </w:t>
      </w:r>
      <w:r>
        <w:rPr>
          <w:rStyle w:val="lev"/>
          <w:rFonts w:ascii="Calibri" w:eastAsia="Times New Roman" w:hAnsi="Calibri" w:cs="Calibri"/>
          <w:color w:val="1A1A1A"/>
          <w:sz w:val="22"/>
          <w:szCs w:val="22"/>
        </w:rPr>
        <w:t>2 002,00 XOF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. Anomalie résolue. </w:t>
      </w:r>
    </w:p>
    <w:p w14:paraId="605A148A" w14:textId="77777777" w:rsidR="00027BBF" w:rsidRDefault="00027BBF">
      <w:pPr>
        <w:pStyle w:val="NormalWeb"/>
        <w:rPr>
          <w:rFonts w:ascii="Calibri" w:hAnsi="Calibri" w:cs="Calibri"/>
          <w:color w:val="1A1A1A"/>
          <w:sz w:val="22"/>
          <w:szCs w:val="22"/>
        </w:rPr>
      </w:pPr>
      <w:r>
        <w:rPr>
          <w:rFonts w:ascii="Calibri" w:hAnsi="Calibri" w:cs="Calibri"/>
          <w:color w:val="1A1A1A"/>
          <w:sz w:val="22"/>
          <w:szCs w:val="22"/>
        </w:rPr>
        <w:t xml:space="preserve">Les pièces listées ci-dessus ont été créées sur le </w:t>
      </w:r>
      <w:r>
        <w:rPr>
          <w:rStyle w:val="lev"/>
          <w:rFonts w:ascii="Calibri" w:hAnsi="Calibri" w:cs="Calibri"/>
          <w:color w:val="1A1A1A"/>
          <w:sz w:val="22"/>
          <w:szCs w:val="22"/>
        </w:rPr>
        <w:t>système clone</w:t>
      </w:r>
      <w:r>
        <w:rPr>
          <w:rFonts w:ascii="Calibri" w:hAnsi="Calibri" w:cs="Calibri"/>
          <w:color w:val="1A1A1A"/>
          <w:sz w:val="22"/>
          <w:szCs w:val="22"/>
        </w:rPr>
        <w:t xml:space="preserve"> : la </w:t>
      </w:r>
      <w:r>
        <w:rPr>
          <w:rFonts w:ascii="Calibri" w:hAnsi="Calibri" w:cs="Calibri"/>
          <w:color w:val="1A1A1A"/>
          <w:sz w:val="22"/>
          <w:szCs w:val="22"/>
        </w:rPr>
        <w:t xml:space="preserve">comptabilité réelle n'est pas affectée. Elles peuvent être contrepassées ou laissées en l'état. </w:t>
      </w:r>
    </w:p>
    <w:p w14:paraId="7AD2E2AC" w14:textId="77777777" w:rsidR="00027BBF" w:rsidRDefault="00027BBF">
      <w:pPr>
        <w:pStyle w:val="Titre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6. Points à valider</w:t>
      </w:r>
    </w:p>
    <w:p w14:paraId="074ED9F2" w14:textId="77777777" w:rsidR="00027BBF" w:rsidRDefault="00027BBF">
      <w:pPr>
        <w:pStyle w:val="Titre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6.1 Pour la comptabilité</w:t>
      </w:r>
    </w:p>
    <w:p w14:paraId="770BDD52" w14:textId="77777777" w:rsidR="00027BBF" w:rsidRDefault="00027BBF">
      <w:pPr>
        <w:shd w:val="clear" w:color="auto" w:fill="FFFAEB"/>
        <w:divId w:val="345790206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Style w:val="lev"/>
          <w:rFonts w:ascii="Calibri" w:eastAsia="Times New Roman" w:hAnsi="Calibri" w:cs="Calibri"/>
          <w:color w:val="1A1A1A"/>
          <w:sz w:val="22"/>
          <w:szCs w:val="22"/>
        </w:rPr>
        <w:t>Question 1 — Compte de caisse et devise.</w:t>
      </w:r>
      <w:r>
        <w:rPr>
          <w:rFonts w:ascii="Calibri" w:eastAsia="Times New Roman" w:hAnsi="Calibri" w:cs="Calibri"/>
          <w:color w:val="1A1A1A"/>
          <w:sz w:val="22"/>
          <w:szCs w:val="22"/>
        </w:rPr>
        <w:br/>
        <w:t xml:space="preserve">Le mapping associe un compte SAP unique à chaque type de compte, </w:t>
      </w:r>
      <w:r>
        <w:rPr>
          <w:rStyle w:val="lev"/>
          <w:rFonts w:ascii="Calibri" w:eastAsia="Times New Roman" w:hAnsi="Calibri" w:cs="Calibri"/>
          <w:color w:val="1A1A1A"/>
          <w:sz w:val="22"/>
          <w:szCs w:val="22"/>
        </w:rPr>
        <w:t>sans distinction de devise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. Une caisse tenue en USD est donc imputée sur </w:t>
      </w:r>
      <w:r>
        <w:rPr>
          <w:rStyle w:val="CodeHTML"/>
          <w:color w:val="1A1A1A"/>
        </w:rPr>
        <w:t>57101000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« Caisse siège social </w:t>
      </w:r>
      <w:r>
        <w:rPr>
          <w:rStyle w:val="lev"/>
          <w:rFonts w:ascii="Calibri" w:eastAsia="Times New Roman" w:hAnsi="Calibri" w:cs="Calibri"/>
          <w:color w:val="1A1A1A"/>
          <w:sz w:val="22"/>
          <w:szCs w:val="22"/>
        </w:rPr>
        <w:t>en FCFA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».</w:t>
      </w:r>
      <w:r>
        <w:rPr>
          <w:rFonts w:ascii="Calibri" w:eastAsia="Times New Roman" w:hAnsi="Calibri" w:cs="Calibri"/>
          <w:color w:val="1A1A1A"/>
          <w:sz w:val="22"/>
          <w:szCs w:val="22"/>
        </w:rPr>
        <w:br/>
      </w:r>
      <w:r>
        <w:rPr>
          <w:rStyle w:val="Accentuation"/>
          <w:rFonts w:ascii="Calibri" w:eastAsia="Times New Roman" w:hAnsi="Calibri" w:cs="Calibri"/>
          <w:color w:val="1A1A1A"/>
          <w:sz w:val="22"/>
          <w:szCs w:val="22"/>
        </w:rPr>
        <w:t>Faut-il un compte de caisse distinct par devise, ou ce compte accepte-t-il plusieurs devises ?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</w:t>
      </w:r>
    </w:p>
    <w:p w14:paraId="1D368CC6" w14:textId="77777777" w:rsidR="00027BBF" w:rsidRDefault="00027BBF">
      <w:pPr>
        <w:shd w:val="clear" w:color="auto" w:fill="FFFAEB"/>
        <w:divId w:val="9186187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Style w:val="lev"/>
          <w:rFonts w:ascii="Calibri" w:eastAsia="Times New Roman" w:hAnsi="Calibri" w:cs="Calibri"/>
          <w:color w:val="1A1A1A"/>
          <w:sz w:val="22"/>
          <w:szCs w:val="22"/>
        </w:rPr>
        <w:t>Question 2 — Compte de recette.</w:t>
      </w:r>
      <w:r>
        <w:rPr>
          <w:rFonts w:ascii="Calibri" w:eastAsia="Times New Roman" w:hAnsi="Calibri" w:cs="Calibri"/>
          <w:color w:val="1A1A1A"/>
          <w:sz w:val="22"/>
          <w:szCs w:val="22"/>
        </w:rPr>
        <w:br/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Les encaissements sont imputés sur </w:t>
      </w:r>
      <w:r>
        <w:rPr>
          <w:rStyle w:val="CodeHTML"/>
          <w:color w:val="1A1A1A"/>
        </w:rPr>
        <w:t>72130000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« Vente divers ».</w:t>
      </w:r>
      <w:r>
        <w:rPr>
          <w:rFonts w:ascii="Calibri" w:eastAsia="Times New Roman" w:hAnsi="Calibri" w:cs="Calibri"/>
          <w:color w:val="1A1A1A"/>
          <w:sz w:val="22"/>
          <w:szCs w:val="22"/>
        </w:rPr>
        <w:br/>
      </w:r>
      <w:r>
        <w:rPr>
          <w:rStyle w:val="Accentuation"/>
          <w:rFonts w:ascii="Calibri" w:eastAsia="Times New Roman" w:hAnsi="Calibri" w:cs="Calibri"/>
          <w:color w:val="1A1A1A"/>
          <w:sz w:val="22"/>
          <w:szCs w:val="22"/>
        </w:rPr>
        <w:t>Est-ce le compte attendu pour un encaissement client ?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</w:t>
      </w:r>
    </w:p>
    <w:p w14:paraId="50C356AE" w14:textId="77777777" w:rsidR="00027BBF" w:rsidRDefault="00027BBF">
      <w:pPr>
        <w:shd w:val="clear" w:color="auto" w:fill="FFFAEB"/>
        <w:divId w:val="226305643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Style w:val="lev"/>
          <w:rFonts w:ascii="Calibri" w:eastAsia="Times New Roman" w:hAnsi="Calibri" w:cs="Calibri"/>
          <w:color w:val="1A1A1A"/>
          <w:sz w:val="22"/>
          <w:szCs w:val="22"/>
        </w:rPr>
        <w:t>Question 3 — Compte de charge par défaut.</w:t>
      </w:r>
      <w:r>
        <w:rPr>
          <w:rFonts w:ascii="Calibri" w:eastAsia="Times New Roman" w:hAnsi="Calibri" w:cs="Calibri"/>
          <w:color w:val="1A1A1A"/>
          <w:sz w:val="22"/>
          <w:szCs w:val="22"/>
        </w:rPr>
        <w:br/>
        <w:t xml:space="preserve">Lorsque la nature comptable d'une opération est renseignée, son compte est utilisé. À défaut, l'application retombe sur </w:t>
      </w:r>
      <w:r>
        <w:rPr>
          <w:rStyle w:val="CodeHTML"/>
          <w:color w:val="1A1A1A"/>
        </w:rPr>
        <w:t>62620000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« Fournitures informatiques ».</w:t>
      </w:r>
      <w:r>
        <w:rPr>
          <w:rFonts w:ascii="Calibri" w:eastAsia="Times New Roman" w:hAnsi="Calibri" w:cs="Calibri"/>
          <w:color w:val="1A1A1A"/>
          <w:sz w:val="22"/>
          <w:szCs w:val="22"/>
        </w:rPr>
        <w:br/>
      </w:r>
      <w:r>
        <w:rPr>
          <w:rStyle w:val="Accentuation"/>
          <w:rFonts w:ascii="Calibri" w:eastAsia="Times New Roman" w:hAnsi="Calibri" w:cs="Calibri"/>
          <w:color w:val="1A1A1A"/>
          <w:sz w:val="22"/>
          <w:szCs w:val="22"/>
        </w:rPr>
        <w:t>Quel compte générique utiliser comme valeur de repli ?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</w:t>
      </w:r>
    </w:p>
    <w:p w14:paraId="70E12760" w14:textId="77777777" w:rsidR="00027BBF" w:rsidRDefault="00027BBF">
      <w:pPr>
        <w:pStyle w:val="Titre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6.2 Pour l'équipe SAP</w:t>
      </w:r>
    </w:p>
    <w:p w14:paraId="08B089BC" w14:textId="77777777" w:rsidR="00027BBF" w:rsidRDefault="00027BBF">
      <w:pPr>
        <w:shd w:val="clear" w:color="auto" w:fill="FFFAEB"/>
        <w:divId w:val="1586068861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Style w:val="lev"/>
          <w:rFonts w:ascii="Calibri" w:eastAsia="Times New Roman" w:hAnsi="Calibri" w:cs="Calibri"/>
          <w:color w:val="1A1A1A"/>
          <w:sz w:val="22"/>
          <w:szCs w:val="22"/>
        </w:rPr>
        <w:t>Question 4 — Centre de coût 99999.</w:t>
      </w:r>
      <w:r>
        <w:rPr>
          <w:rFonts w:ascii="Calibri" w:eastAsia="Times New Roman" w:hAnsi="Calibri" w:cs="Calibri"/>
          <w:color w:val="1A1A1A"/>
          <w:sz w:val="22"/>
          <w:szCs w:val="22"/>
        </w:rPr>
        <w:br/>
        <w:t xml:space="preserve">Sur les postes de produit, SAP affecte le centre de coût </w:t>
      </w:r>
      <w:r>
        <w:rPr>
          <w:rStyle w:val="CodeHTML"/>
          <w:color w:val="1A1A1A"/>
        </w:rPr>
        <w:t>0000099999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, alors que </w:t>
      </w:r>
      <w:r>
        <w:rPr>
          <w:rFonts w:ascii="Calibri" w:eastAsia="Times New Roman" w:hAnsi="Calibri" w:cs="Calibri"/>
          <w:color w:val="1A1A1A"/>
          <w:sz w:val="22"/>
          <w:szCs w:val="22"/>
        </w:rPr>
        <w:t>l'application n'en transmet aucun sur ces lignes.</w:t>
      </w:r>
      <w:r>
        <w:rPr>
          <w:rFonts w:ascii="Calibri" w:eastAsia="Times New Roman" w:hAnsi="Calibri" w:cs="Calibri"/>
          <w:color w:val="1A1A1A"/>
          <w:sz w:val="22"/>
          <w:szCs w:val="22"/>
        </w:rPr>
        <w:br/>
      </w:r>
      <w:r>
        <w:rPr>
          <w:rStyle w:val="Accentuation"/>
          <w:rFonts w:ascii="Calibri" w:eastAsia="Times New Roman" w:hAnsi="Calibri" w:cs="Calibri"/>
          <w:color w:val="1A1A1A"/>
          <w:sz w:val="22"/>
          <w:szCs w:val="22"/>
        </w:rPr>
        <w:t>S'agit-il d'une substitution automatique ? Est-elle acceptable, ou faut-il transmettre un centre de coût explicite ?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</w:t>
      </w:r>
    </w:p>
    <w:p w14:paraId="77A0AE83" w14:textId="77777777" w:rsidR="00027BBF" w:rsidRDefault="00027BBF">
      <w:pPr>
        <w:shd w:val="clear" w:color="auto" w:fill="FFFAEB"/>
        <w:divId w:val="1254824822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Style w:val="lev"/>
          <w:rFonts w:ascii="Calibri" w:eastAsia="Times New Roman" w:hAnsi="Calibri" w:cs="Calibri"/>
          <w:color w:val="1A1A1A"/>
          <w:sz w:val="22"/>
          <w:szCs w:val="22"/>
        </w:rPr>
        <w:t>Question 5 — Environnement cible.</w:t>
      </w:r>
      <w:r>
        <w:rPr>
          <w:rFonts w:ascii="Calibri" w:eastAsia="Times New Roman" w:hAnsi="Calibri" w:cs="Calibri"/>
          <w:color w:val="1A1A1A"/>
          <w:sz w:val="22"/>
          <w:szCs w:val="22"/>
        </w:rPr>
        <w:br/>
      </w:r>
      <w:r>
        <w:rPr>
          <w:rStyle w:val="Accentuation"/>
          <w:rFonts w:ascii="Calibri" w:eastAsia="Times New Roman" w:hAnsi="Calibri" w:cs="Calibri"/>
          <w:color w:val="1A1A1A"/>
          <w:sz w:val="22"/>
          <w:szCs w:val="22"/>
        </w:rPr>
        <w:t xml:space="preserve">Confirmer que </w:t>
      </w:r>
      <w:r>
        <w:rPr>
          <w:rStyle w:val="CodeHTML"/>
          <w:i/>
          <w:iCs/>
          <w:color w:val="1A1A1A"/>
        </w:rPr>
        <w:t>10.200.200.200</w:t>
      </w:r>
      <w:r>
        <w:rPr>
          <w:rStyle w:val="Accentuation"/>
          <w:rFonts w:ascii="Calibri" w:eastAsia="Times New Roman" w:hAnsi="Calibri" w:cs="Calibri"/>
          <w:color w:val="1A1A1A"/>
          <w:sz w:val="22"/>
          <w:szCs w:val="22"/>
        </w:rPr>
        <w:t xml:space="preserve"> est bien le système clone, et indiquer les coordonnées du système de production destiné à la mise en service.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</w:t>
      </w:r>
    </w:p>
    <w:p w14:paraId="6A53C0C9" w14:textId="77777777" w:rsidR="00027BBF" w:rsidRDefault="00027BBF">
      <w:pPr>
        <w:shd w:val="clear" w:color="auto" w:fill="FFFAEB"/>
        <w:divId w:val="319382449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Style w:val="lev"/>
          <w:rFonts w:ascii="Calibri" w:eastAsia="Times New Roman" w:hAnsi="Calibri" w:cs="Calibri"/>
          <w:color w:val="1A1A1A"/>
          <w:sz w:val="22"/>
          <w:szCs w:val="22"/>
        </w:rPr>
        <w:t>Question 6 — Autorisations du compte SYSAUTO.</w:t>
      </w:r>
      <w:r>
        <w:rPr>
          <w:rFonts w:ascii="Calibri" w:eastAsia="Times New Roman" w:hAnsi="Calibri" w:cs="Calibri"/>
          <w:color w:val="1A1A1A"/>
          <w:sz w:val="22"/>
          <w:szCs w:val="22"/>
        </w:rPr>
        <w:br/>
        <w:t xml:space="preserve">L'application utilise </w:t>
      </w:r>
      <w:r>
        <w:rPr>
          <w:rStyle w:val="CodeHTML"/>
          <w:color w:val="1A1A1A"/>
        </w:rPr>
        <w:t>RFC_READ_TABLE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pour lire </w:t>
      </w:r>
      <w:r>
        <w:rPr>
          <w:rStyle w:val="CodeHTML"/>
          <w:color w:val="1A1A1A"/>
        </w:rPr>
        <w:t>SKB1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, </w:t>
      </w:r>
      <w:r>
        <w:rPr>
          <w:rStyle w:val="CodeHTML"/>
          <w:color w:val="1A1A1A"/>
        </w:rPr>
        <w:t>SKAT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, </w:t>
      </w:r>
      <w:r>
        <w:rPr>
          <w:rStyle w:val="CodeHTML"/>
          <w:color w:val="1A1A1A"/>
        </w:rPr>
        <w:t>LFA1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, </w:t>
      </w:r>
      <w:r>
        <w:rPr>
          <w:rStyle w:val="CodeHTML"/>
          <w:color w:val="1A1A1A"/>
        </w:rPr>
        <w:t>CSKT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et </w:t>
      </w:r>
      <w:r>
        <w:rPr>
          <w:rStyle w:val="CodeHTML"/>
          <w:color w:val="1A1A1A"/>
        </w:rPr>
        <w:t>TCURX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. La lecture de </w:t>
      </w:r>
      <w:r>
        <w:rPr>
          <w:rStyle w:val="CodeHTML"/>
          <w:color w:val="1A1A1A"/>
        </w:rPr>
        <w:t>TCURX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est </w:t>
      </w:r>
      <w:r>
        <w:rPr>
          <w:rStyle w:val="lev"/>
          <w:rFonts w:ascii="Calibri" w:eastAsia="Times New Roman" w:hAnsi="Calibri" w:cs="Calibri"/>
          <w:color w:val="1A1A1A"/>
          <w:sz w:val="22"/>
          <w:szCs w:val="22"/>
        </w:rPr>
        <w:t>indispensable à l'exactitude des montants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depuis la correction décrite en section 5.</w:t>
      </w:r>
      <w:r>
        <w:rPr>
          <w:rFonts w:ascii="Calibri" w:eastAsia="Times New Roman" w:hAnsi="Calibri" w:cs="Calibri"/>
          <w:color w:val="1A1A1A"/>
          <w:sz w:val="22"/>
          <w:szCs w:val="22"/>
        </w:rPr>
        <w:br/>
      </w:r>
      <w:r>
        <w:rPr>
          <w:rStyle w:val="Accentuation"/>
          <w:rFonts w:ascii="Calibri" w:eastAsia="Times New Roman" w:hAnsi="Calibri" w:cs="Calibri"/>
          <w:color w:val="1A1A1A"/>
          <w:sz w:val="22"/>
          <w:szCs w:val="22"/>
        </w:rPr>
        <w:t>Ces autorisations seront-elles maintenues sur l'environnement de production ?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</w:t>
      </w:r>
    </w:p>
    <w:p w14:paraId="2A17E01F" w14:textId="77777777" w:rsidR="00027BBF" w:rsidRDefault="00027BBF">
      <w:pPr>
        <w:pStyle w:val="Titre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7. Pièces de référence</w:t>
      </w:r>
    </w:p>
    <w:p w14:paraId="70FDDDD3" w14:textId="77777777" w:rsidR="00027BBF" w:rsidRDefault="00027BBF">
      <w:pPr>
        <w:pStyle w:val="NormalWeb"/>
        <w:rPr>
          <w:rFonts w:ascii="Calibri" w:hAnsi="Calibri" w:cs="Calibri"/>
          <w:color w:val="1A1A1A"/>
          <w:sz w:val="22"/>
          <w:szCs w:val="22"/>
        </w:rPr>
      </w:pPr>
      <w:r>
        <w:rPr>
          <w:rFonts w:ascii="Calibri" w:hAnsi="Calibri" w:cs="Calibri"/>
          <w:color w:val="1A1A1A"/>
          <w:sz w:val="22"/>
          <w:szCs w:val="22"/>
        </w:rPr>
        <w:lastRenderedPageBreak/>
        <w:t xml:space="preserve">Pièces créées lors des tests du 31 juillet 2026, consultables en transaction </w:t>
      </w:r>
      <w:r>
        <w:rPr>
          <w:rStyle w:val="lev"/>
          <w:rFonts w:ascii="Calibri" w:hAnsi="Calibri" w:cs="Calibri"/>
          <w:color w:val="1A1A1A"/>
          <w:sz w:val="22"/>
          <w:szCs w:val="22"/>
        </w:rPr>
        <w:t>FB03</w:t>
      </w:r>
      <w:r>
        <w:rPr>
          <w:rFonts w:ascii="Calibri" w:hAnsi="Calibri" w:cs="Calibri"/>
          <w:color w:val="1A1A1A"/>
          <w:sz w:val="22"/>
          <w:szCs w:val="22"/>
        </w:rPr>
        <w:t xml:space="preserve"> :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72"/>
        <w:gridCol w:w="866"/>
        <w:gridCol w:w="941"/>
        <w:gridCol w:w="5893"/>
      </w:tblGrid>
      <w:tr w:rsidR="00000000" w14:paraId="5A6876DE" w14:textId="77777777">
        <w:tc>
          <w:tcPr>
            <w:tcW w:w="0" w:type="auto"/>
            <w:shd w:val="clear" w:color="auto" w:fill="0F4C81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5633DC51" w14:textId="77777777" w:rsidR="00027BBF" w:rsidRDefault="00027BBF">
            <w:pPr>
              <w:spacing w:before="150" w:after="24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Pièce</w:t>
            </w:r>
          </w:p>
        </w:tc>
        <w:tc>
          <w:tcPr>
            <w:tcW w:w="0" w:type="auto"/>
            <w:shd w:val="clear" w:color="auto" w:fill="0F4C81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1E97E239" w14:textId="77777777" w:rsidR="00027BBF" w:rsidRDefault="00027BBF">
            <w:pPr>
              <w:spacing w:before="150" w:after="24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Société</w:t>
            </w:r>
          </w:p>
        </w:tc>
        <w:tc>
          <w:tcPr>
            <w:tcW w:w="0" w:type="auto"/>
            <w:shd w:val="clear" w:color="auto" w:fill="0F4C81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43CE7388" w14:textId="77777777" w:rsidR="00027BBF" w:rsidRDefault="00027BBF">
            <w:pPr>
              <w:spacing w:before="150" w:after="24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Exercice</w:t>
            </w:r>
          </w:p>
        </w:tc>
        <w:tc>
          <w:tcPr>
            <w:tcW w:w="0" w:type="auto"/>
            <w:shd w:val="clear" w:color="auto" w:fill="0F4C81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6233058A" w14:textId="77777777" w:rsidR="00027BBF" w:rsidRDefault="00027BBF">
            <w:pPr>
              <w:spacing w:before="150" w:after="24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Objet</w:t>
            </w:r>
          </w:p>
        </w:tc>
      </w:tr>
      <w:tr w:rsidR="00000000" w14:paraId="3AF05711" w14:textId="77777777"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74A50686" w14:textId="77777777" w:rsidR="00027BBF" w:rsidRDefault="00027BBF">
            <w:pPr>
              <w:spacing w:before="15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Style w:val="CodeHTML"/>
                <w:color w:val="1A1A1A"/>
              </w:rPr>
              <w:t>0100351478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79F847C0" w14:textId="77777777" w:rsidR="00027BBF" w:rsidRDefault="00027BBF">
            <w:pPr>
              <w:spacing w:before="15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2251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44E5815E" w14:textId="77777777" w:rsidR="00027BBF" w:rsidRDefault="00027BBF">
            <w:pPr>
              <w:spacing w:before="15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2026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33A0CD4A" w14:textId="77777777" w:rsidR="00027BBF" w:rsidRDefault="00027BBF">
            <w:pPr>
              <w:spacing w:before="15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Encaissement 250 000 USD (référence OP53)</w:t>
            </w:r>
          </w:p>
        </w:tc>
      </w:tr>
      <w:tr w:rsidR="00000000" w14:paraId="64D89D92" w14:textId="77777777"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3148F015" w14:textId="77777777" w:rsidR="00027BBF" w:rsidRDefault="00027BBF">
            <w:pPr>
              <w:spacing w:before="15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Style w:val="CodeHTML"/>
                <w:color w:val="1A1A1A"/>
              </w:rPr>
              <w:t>0100351479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562F255A" w14:textId="77777777" w:rsidR="00027BBF" w:rsidRDefault="00027BBF">
            <w:pPr>
              <w:spacing w:before="15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2251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69B8D1B9" w14:textId="77777777" w:rsidR="00027BBF" w:rsidRDefault="00027BBF">
            <w:pPr>
              <w:spacing w:before="15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2026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725292DA" w14:textId="77777777" w:rsidR="00027BBF" w:rsidRDefault="00027BBF">
            <w:pPr>
              <w:spacing w:before="15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Décaissement — montant erroné, avant correction (référence BC-9)</w:t>
            </w:r>
          </w:p>
        </w:tc>
      </w:tr>
      <w:tr w:rsidR="00000000" w14:paraId="2820878F" w14:textId="77777777"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6521C4ED" w14:textId="77777777" w:rsidR="00027BBF" w:rsidRDefault="00027BBF">
            <w:pPr>
              <w:spacing w:before="15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Style w:val="CodeHTML"/>
                <w:color w:val="1A1A1A"/>
              </w:rPr>
              <w:t>0100351480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5B8C9E99" w14:textId="77777777" w:rsidR="00027BBF" w:rsidRDefault="00027BBF">
            <w:pPr>
              <w:spacing w:before="15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2251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3CAD4001" w14:textId="77777777" w:rsidR="00027BBF" w:rsidRDefault="00027BBF">
            <w:pPr>
              <w:spacing w:before="15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2026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5D7D39D5" w14:textId="77777777" w:rsidR="00027BBF" w:rsidRDefault="00027BBF">
            <w:pPr>
              <w:spacing w:before="15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 xml:space="preserve">Décaissement 2 002 XOF — </w:t>
            </w:r>
            <w:r>
              <w:rPr>
                <w:rStyle w:val="lev"/>
                <w:rFonts w:ascii="Calibri" w:eastAsia="Times New Roman" w:hAnsi="Calibri" w:cs="Calibri"/>
                <w:color w:val="1A1A1A"/>
                <w:sz w:val="20"/>
                <w:szCs w:val="20"/>
              </w:rPr>
              <w:t>après correction</w:t>
            </w: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 xml:space="preserve"> (référence BC-12)</w:t>
            </w:r>
          </w:p>
        </w:tc>
      </w:tr>
    </w:tbl>
    <w:p w14:paraId="02FD3100" w14:textId="77777777" w:rsidR="00027BBF" w:rsidRDefault="00027BBF">
      <w:pPr>
        <w:pStyle w:val="meta"/>
        <w:rPr>
          <w:rFonts w:ascii="Calibri" w:hAnsi="Calibri" w:cs="Calibri"/>
        </w:rPr>
      </w:pPr>
      <w:r>
        <w:rPr>
          <w:rFonts w:ascii="Calibri" w:hAnsi="Calibri" w:cs="Calibri"/>
        </w:rPr>
        <w:t xml:space="preserve">Clé de recherche : les 18 chiffres retournés par la BAPI se décomposent en numéro de pièce (10) + société (4) + exercice (4). </w:t>
      </w:r>
    </w:p>
    <w:sectPr w:rsidR="00027BBF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125A"/>
    <w:rsid w:val="00027BBF"/>
    <w:rsid w:val="008F125A"/>
    <w:rsid w:val="00BC72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01CB387F"/>
  <w15:chartTrackingRefBased/>
  <w15:docId w15:val="{2BA3947C-0CC1-4A7F-8187-3A3B61A61C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fr-FR" w:eastAsia="fr-F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paragraph" w:styleId="Titre1">
    <w:name w:val="heading 1"/>
    <w:basedOn w:val="Normal"/>
    <w:link w:val="Titre1Car"/>
    <w:uiPriority w:val="9"/>
    <w:qFormat/>
    <w:pPr>
      <w:pBdr>
        <w:bottom w:val="single" w:sz="12" w:space="5" w:color="0F4C81"/>
      </w:pBdr>
      <w:spacing w:before="100" w:beforeAutospacing="1" w:after="100" w:afterAutospacing="1"/>
      <w:outlineLvl w:val="0"/>
    </w:pPr>
    <w:rPr>
      <w:b/>
      <w:bCs/>
      <w:color w:val="0F4C81"/>
      <w:kern w:val="36"/>
      <w:sz w:val="40"/>
      <w:szCs w:val="40"/>
    </w:rPr>
  </w:style>
  <w:style w:type="paragraph" w:styleId="Titre2">
    <w:name w:val="heading 2"/>
    <w:basedOn w:val="Normal"/>
    <w:link w:val="Titre2Car"/>
    <w:uiPriority w:val="9"/>
    <w:qFormat/>
    <w:pPr>
      <w:spacing w:before="330" w:after="100" w:afterAutospacing="1"/>
      <w:outlineLvl w:val="1"/>
    </w:pPr>
    <w:rPr>
      <w:b/>
      <w:bCs/>
      <w:color w:val="0F4C81"/>
      <w:sz w:val="28"/>
      <w:szCs w:val="28"/>
    </w:rPr>
  </w:style>
  <w:style w:type="paragraph" w:styleId="Titre3">
    <w:name w:val="heading 3"/>
    <w:basedOn w:val="Normal"/>
    <w:link w:val="Titre3Car"/>
    <w:uiPriority w:val="9"/>
    <w:qFormat/>
    <w:pPr>
      <w:spacing w:before="240" w:after="100" w:afterAutospacing="1"/>
      <w:outlineLvl w:val="2"/>
    </w:pPr>
    <w:rPr>
      <w:b/>
      <w:bCs/>
      <w:color w:val="333333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styleId="CodeHTML">
    <w:name w:val="HTML Code"/>
    <w:basedOn w:val="Policepardfaut"/>
    <w:uiPriority w:val="99"/>
    <w:semiHidden/>
    <w:unhideWhenUsed/>
    <w:rPr>
      <w:rFonts w:ascii="Consolas" w:eastAsiaTheme="minorEastAsia" w:hAnsi="Consolas" w:cs="Courier New" w:hint="default"/>
      <w:sz w:val="20"/>
      <w:szCs w:val="20"/>
      <w:shd w:val="clear" w:color="auto" w:fill="F2F4F7"/>
    </w:rPr>
  </w:style>
  <w:style w:type="character" w:customStyle="1" w:styleId="Titre1Car">
    <w:name w:val="Titre 1 Car"/>
    <w:basedOn w:val="Policepardfaut"/>
    <w:link w:val="Titre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customStyle="1" w:styleId="msonormal0">
    <w:name w:val="msonormal"/>
    <w:basedOn w:val="Normal"/>
    <w:pPr>
      <w:spacing w:before="100" w:beforeAutospacing="1" w:after="100" w:afterAutospacing="1"/>
    </w:pPr>
  </w:style>
  <w:style w:type="paragraph" w:customStyle="1" w:styleId="alerte">
    <w:name w:val="alerte"/>
    <w:basedOn w:val="Normal"/>
    <w:pPr>
      <w:pBdr>
        <w:left w:val="single" w:sz="24" w:space="11" w:color="B42318"/>
      </w:pBdr>
      <w:shd w:val="clear" w:color="auto" w:fill="FEF3F2"/>
      <w:spacing w:before="210" w:after="210"/>
    </w:pPr>
  </w:style>
  <w:style w:type="paragraph" w:customStyle="1" w:styleId="ok">
    <w:name w:val="ok"/>
    <w:basedOn w:val="Normal"/>
    <w:pPr>
      <w:pBdr>
        <w:left w:val="single" w:sz="24" w:space="11" w:color="047857"/>
      </w:pBdr>
      <w:shd w:val="clear" w:color="auto" w:fill="ECFDF5"/>
      <w:spacing w:before="210" w:after="210"/>
    </w:pPr>
  </w:style>
  <w:style w:type="paragraph" w:customStyle="1" w:styleId="question">
    <w:name w:val="question"/>
    <w:basedOn w:val="Normal"/>
    <w:pPr>
      <w:pBdr>
        <w:left w:val="single" w:sz="24" w:space="11" w:color="B54708"/>
      </w:pBdr>
      <w:shd w:val="clear" w:color="auto" w:fill="FFFAEB"/>
      <w:spacing w:before="210" w:after="210"/>
    </w:pPr>
  </w:style>
  <w:style w:type="paragraph" w:customStyle="1" w:styleId="meta">
    <w:name w:val="meta"/>
    <w:basedOn w:val="Normal"/>
    <w:pPr>
      <w:spacing w:before="100" w:beforeAutospacing="1" w:after="100" w:afterAutospacing="1"/>
    </w:pPr>
    <w:rPr>
      <w:color w:val="555555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pPr>
      <w:spacing w:before="100" w:beforeAutospacing="1" w:after="100" w:afterAutospacing="1"/>
    </w:pPr>
  </w:style>
  <w:style w:type="character" w:styleId="lev">
    <w:name w:val="Strong"/>
    <w:basedOn w:val="Policepardfaut"/>
    <w:uiPriority w:val="22"/>
    <w:qFormat/>
    <w:rPr>
      <w:b/>
      <w:bCs/>
    </w:rPr>
  </w:style>
  <w:style w:type="character" w:styleId="Accentuation">
    <w:name w:val="Emphasis"/>
    <w:basedOn w:val="Policepardfaut"/>
    <w:uiPriority w:val="20"/>
    <w:qFormat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186187">
      <w:marLeft w:val="0"/>
      <w:marRight w:val="0"/>
      <w:marTop w:val="210"/>
      <w:marBottom w:val="210"/>
      <w:divBdr>
        <w:top w:val="none" w:sz="0" w:space="0" w:color="auto"/>
        <w:left w:val="single" w:sz="24" w:space="11" w:color="B54708"/>
        <w:bottom w:val="none" w:sz="0" w:space="0" w:color="auto"/>
        <w:right w:val="none" w:sz="0" w:space="0" w:color="auto"/>
      </w:divBdr>
    </w:div>
    <w:div w:id="226305643">
      <w:marLeft w:val="0"/>
      <w:marRight w:val="0"/>
      <w:marTop w:val="210"/>
      <w:marBottom w:val="210"/>
      <w:divBdr>
        <w:top w:val="none" w:sz="0" w:space="0" w:color="auto"/>
        <w:left w:val="single" w:sz="24" w:space="11" w:color="B54708"/>
        <w:bottom w:val="none" w:sz="0" w:space="0" w:color="auto"/>
        <w:right w:val="none" w:sz="0" w:space="0" w:color="auto"/>
      </w:divBdr>
    </w:div>
    <w:div w:id="319382449">
      <w:marLeft w:val="0"/>
      <w:marRight w:val="0"/>
      <w:marTop w:val="210"/>
      <w:marBottom w:val="210"/>
      <w:divBdr>
        <w:top w:val="none" w:sz="0" w:space="0" w:color="auto"/>
        <w:left w:val="single" w:sz="24" w:space="11" w:color="B54708"/>
        <w:bottom w:val="none" w:sz="0" w:space="0" w:color="auto"/>
        <w:right w:val="none" w:sz="0" w:space="0" w:color="auto"/>
      </w:divBdr>
    </w:div>
    <w:div w:id="345790206">
      <w:marLeft w:val="0"/>
      <w:marRight w:val="0"/>
      <w:marTop w:val="210"/>
      <w:marBottom w:val="210"/>
      <w:divBdr>
        <w:top w:val="none" w:sz="0" w:space="0" w:color="auto"/>
        <w:left w:val="single" w:sz="24" w:space="11" w:color="B54708"/>
        <w:bottom w:val="none" w:sz="0" w:space="0" w:color="auto"/>
        <w:right w:val="none" w:sz="0" w:space="0" w:color="auto"/>
      </w:divBdr>
    </w:div>
    <w:div w:id="608393573">
      <w:marLeft w:val="0"/>
      <w:marRight w:val="0"/>
      <w:marTop w:val="210"/>
      <w:marBottom w:val="210"/>
      <w:divBdr>
        <w:top w:val="none" w:sz="0" w:space="0" w:color="auto"/>
        <w:left w:val="single" w:sz="24" w:space="11" w:color="B42318"/>
        <w:bottom w:val="none" w:sz="0" w:space="0" w:color="auto"/>
        <w:right w:val="none" w:sz="0" w:space="0" w:color="auto"/>
      </w:divBdr>
    </w:div>
    <w:div w:id="1149830672">
      <w:marLeft w:val="0"/>
      <w:marRight w:val="0"/>
      <w:marTop w:val="210"/>
      <w:marBottom w:val="210"/>
      <w:divBdr>
        <w:top w:val="none" w:sz="0" w:space="0" w:color="auto"/>
        <w:left w:val="single" w:sz="24" w:space="11" w:color="047857"/>
        <w:bottom w:val="none" w:sz="0" w:space="0" w:color="auto"/>
        <w:right w:val="none" w:sz="0" w:space="0" w:color="auto"/>
      </w:divBdr>
    </w:div>
    <w:div w:id="1254824822">
      <w:marLeft w:val="0"/>
      <w:marRight w:val="0"/>
      <w:marTop w:val="210"/>
      <w:marBottom w:val="210"/>
      <w:divBdr>
        <w:top w:val="none" w:sz="0" w:space="0" w:color="auto"/>
        <w:left w:val="single" w:sz="24" w:space="11" w:color="B54708"/>
        <w:bottom w:val="none" w:sz="0" w:space="0" w:color="auto"/>
        <w:right w:val="none" w:sz="0" w:space="0" w:color="auto"/>
      </w:divBdr>
    </w:div>
    <w:div w:id="1586068861">
      <w:marLeft w:val="0"/>
      <w:marRight w:val="0"/>
      <w:marTop w:val="210"/>
      <w:marBottom w:val="210"/>
      <w:divBdr>
        <w:top w:val="none" w:sz="0" w:space="0" w:color="auto"/>
        <w:left w:val="single" w:sz="24" w:space="11" w:color="B54708"/>
        <w:bottom w:val="none" w:sz="0" w:space="0" w:color="auto"/>
        <w:right w:val="none" w:sz="0" w:space="0" w:color="auto"/>
      </w:divBdr>
    </w:div>
  </w:divs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1144</Words>
  <Characters>6294</Characters>
  <Application>Microsoft Office Word</Application>
  <DocSecurity>4</DocSecurity>
  <Lines>52</Lines>
  <Paragraphs>14</Paragraphs>
  <ScaleCrop>false</ScaleCrop>
  <Company/>
  <LinksUpToDate>false</LinksUpToDate>
  <CharactersWithSpaces>7424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Intégration SAP — Fond de Caisse</dc:title>
  <dc:subject/>
  <dc:creator>Yannick Atse</dc:creator>
  <cp:keywords/>
  <dc:description/>
  <cp:lastModifiedBy>Yannick Atse</cp:lastModifiedBy>
  <cp:revision>2</cp:revision>
  <dcterms:created xsi:type="dcterms:W3CDTF">2026-08-03T08:15:00Z</dcterms:created>
  <dcterms:modified xsi:type="dcterms:W3CDTF">2026-08-03T08:15:00Z</dcterms:modified>
</cp:coreProperties>
</file>